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2026-03-17</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linear models that screen each covariate separately in its own model, linear models that screen all covariates simultaneously in a single model, and LASSO</w:t>
      </w:r>
      <w:r>
        <w:t xml:space="preserve"> </w:t>
      </w:r>
      <w:r>
        <w:t xml:space="preserve">(Tibshirani 1996)</w:t>
      </w:r>
      <w:r>
        <w:t xml:space="preserve"> </w:t>
      </w:r>
      <w:r>
        <w:t xml:space="preserve">models that screen all covariates simultaneously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w:t>
      </w:r>
      <w:r>
        <w:t xml:space="preserve"> </w:t>
      </w:r>
      <w:r>
        <w:rPr>
          <w:i/>
          <w:iCs/>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
          <w:iCs/>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
          <w:iCs/>
        </w:rPr>
        <w:t xml:space="preserve">p</w:t>
      </w:r>
      <w:r>
        <w:t xml:space="preserve">-value for that covariate was less than 0.05 in the screening model that evaluated it.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(lambda)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
          <w:iCs/>
        </w:rPr>
        <w:t xml:space="preserve">p</w:t>
      </w:r>
      <w:r>
        <w:t xml:space="preserve">-hacking) and two a priori selection approaches that did not use the data to screen and select covariates. The</w:t>
      </w:r>
      <w:r>
        <w:t xml:space="preserve"> </w:t>
      </w:r>
      <w:r>
        <w:rPr>
          <w:i/>
          <w:iCs/>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
          <w:iCs/>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a priori approaches and the data-driven approaches that did not include</w:t>
      </w:r>
      <w:r>
        <w:t xml:space="preserve"> </w:t>
      </w:r>
      <m:oMath>
        <m:r>
          <m:t>X</m:t>
        </m:r>
      </m:oMath>
      <w:r>
        <w:t xml:space="preserve">. Among the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mean Type II error rate across all research contexts for each approach. The a priori no covariates approach displayed the highest average Type II error (0.449), which reinforces the value of using covariates to increase statistical power to detect true effects. Among the approaches that used covariates, the candidate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4</w:t>
        </w:r>
      </w:hyperlink>
      <w:r>
        <w:t xml:space="preserve">). First, it is clear that the no covariates approach was always associated with the highest Type II error rates across all values of all dimensions of the research contexts. Second, the a priori all covariates approach tended to under-perform (i.e., higher Type II error rates) relative to the candidate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percentage of good covariates covariates (i.e., covariates with non-zero correlations with Y), and Y-covariate correlation strength),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 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a priori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candidate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a priori no covariates approach),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candidate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w:r>
        <w:t xml:space="preserve">$\%_cov}$</w:t>
      </w:r>
      <w:r>
        <w:t xml:space="preserve">=0.25 and</w:t>
      </w:r>
      <w:r>
        <w:t xml:space="preserve"> </w:t>
      </w:r>
      <m:oMath>
        <m:sSub>
          <m:e>
            <m:r>
              <m:t>β</m:t>
            </m:r>
          </m:e>
          <m:sub>
            <m:r>
              <m:t>X</m:t>
            </m:r>
          </m:sub>
        </m:sSub>
      </m:oMath>
      <w:r>
        <w:t xml:space="preserve">=0.5), the Type II error rate for the simultaneous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candidate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covariate linear models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LASSO with</w:t>
      </w:r>
      <w:r>
        <w:t xml:space="preserve"> </w:t>
      </w:r>
      <m:oMath>
        <m:r>
          <m:t>X</m:t>
        </m:r>
      </m:oMath>
      <w:r>
        <w:t xml:space="preserve">. Finally, if perfect control of Type I error rate at the nominal alpha is desired, screening with separate covariate linear models without</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r>
          <m:t>h</m:t>
        </m:r>
        <m:r>
          <m:t>a</m:t>
        </m:r>
        <m:r>
          <m:t>t</m:t>
        </m:r>
        <m:r>
          <m:t>Y</m:t>
        </m:r>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 Nonetheless, we believe our paper provides strong evidence to support the clear benefits of using baseline covariates. We hope that we have also clarified the relative costs and benefits of key approaches to selecting them in experimental research.</w:t>
      </w:r>
    </w:p>
    <w:bookmarkEnd w:id="63"/>
    <w:bookmarkStart w:id="104" w:name="references"/>
    <w:p>
      <w:pPr>
        <w:pStyle w:val="Heading1"/>
      </w:pPr>
      <w:r>
        <w:t xml:space="preserve">References</w:t>
      </w:r>
    </w:p>
    <w:bookmarkStart w:id="10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6">
        <w:r>
          <w:rPr>
            <w:rStyle w:val="Hyperlink"/>
          </w:rPr>
          <w:t xml:space="preserve">https://doi.org/10.1177/0956797613499923</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78">
        <w:r>
          <w:rPr>
            <w:rStyle w:val="Hyperlink"/>
          </w:rPr>
          <w:t xml:space="preserve">https://doi.org/10.1037/a0033407</w:t>
        </w:r>
      </w:hyperlink>
      <w:r>
        <w:t xml:space="preserve">.</w:t>
      </w:r>
    </w:p>
    <w:bookmarkEnd w:id="79"/>
    <w:bookmarkStart w:id="8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0">
        <w:r>
          <w:rPr>
            <w:rStyle w:val="Hyperlink"/>
          </w:rPr>
          <w:t xml:space="preserve">https://doi.org/10.1016/j.annepidem.2005.09.007</w:t>
        </w:r>
      </w:hyperlink>
      <w:r>
        <w:t xml:space="preserve">.</w:t>
      </w:r>
    </w:p>
    <w:bookmarkEnd w:id="81"/>
    <w:bookmarkStart w:id="8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2">
        <w:r>
          <w:rPr>
            <w:rStyle w:val="Hyperlink"/>
          </w:rPr>
          <w:t xml:space="preserve">https://doi.org/10.1016/j.jclinepi.2003.09.014</w:t>
        </w:r>
      </w:hyperlink>
      <w:r>
        <w:t xml:space="preserve">.</w:t>
      </w:r>
    </w:p>
    <w:bookmarkEnd w:id="83"/>
    <w:bookmarkStart w:id="8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4">
        <w:r>
          <w:rPr>
            <w:rStyle w:val="Hyperlink"/>
          </w:rPr>
          <w:t xml:space="preserve">https://doi.org/10.1371/journal.pmed.0020124</w:t>
        </w:r>
      </w:hyperlink>
      <w:r>
        <w:t xml:space="preserve">.</w:t>
      </w:r>
    </w:p>
    <w:bookmarkEnd w:id="85"/>
    <w:bookmarkStart w:id="8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6">
        <w:r>
          <w:rPr>
            <w:rStyle w:val="Hyperlink"/>
          </w:rPr>
          <w:t xml:space="preserve">https://doi.org/10.1186/1745-6215-15-139</w:t>
        </w:r>
      </w:hyperlink>
      <w:r>
        <w:t xml:space="preserve">.</w:t>
      </w:r>
    </w:p>
    <w:bookmarkEnd w:id="87"/>
    <w:bookmarkStart w:id="8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8"/>
    <w:bookmarkStart w:id="90" w:name="Xacb972bec6951688223e59e5436f5358068fdee"/>
    <w:p>
      <w:pPr>
        <w:pStyle w:val="Bibliography"/>
      </w:pPr>
      <w:r>
        <w:t xml:space="preserve">Miller, G A, and J P Chapman. 2001.</w:t>
      </w:r>
      <w:r>
        <w:t xml:space="preserve"> </w:t>
      </w:r>
      <w:r>
        <w:t xml:space="preserve">“</w:t>
      </w:r>
      <w:hyperlink r:id="rId89">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0"/>
    <w:bookmarkStart w:id="91"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1"/>
    <w:bookmarkStart w:id="93"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2">
        <w:r>
          <w:rPr>
            <w:rStyle w:val="Hyperlink"/>
          </w:rPr>
          <w:t xml:space="preserve">https://doi.org/10.1080/03610928508828942</w:t>
        </w:r>
      </w:hyperlink>
      <w:r>
        <w:t xml:space="preserve">.</w:t>
      </w:r>
    </w:p>
    <w:bookmarkEnd w:id="93"/>
    <w:bookmarkStart w:id="95"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4">
        <w:r>
          <w:rPr>
            <w:rStyle w:val="Hyperlink"/>
          </w:rPr>
          <w:t xml:space="preserve">https://doi.org/10.1177/0956797611417632</w:t>
        </w:r>
      </w:hyperlink>
      <w:r>
        <w:t xml:space="preserve">.</w:t>
      </w:r>
    </w:p>
    <w:bookmarkEnd w:id="95"/>
    <w:bookmarkStart w:id="97"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6">
        <w:r>
          <w:rPr>
            <w:rStyle w:val="Hyperlink"/>
          </w:rPr>
          <w:t xml:space="preserve">https://doi.org/10.1037/a0033242</w:t>
        </w:r>
      </w:hyperlink>
      <w:r>
        <w:t xml:space="preserve">.</w:t>
      </w:r>
    </w:p>
    <w:bookmarkEnd w:id="97"/>
    <w:bookmarkStart w:id="99"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8">
        <w:r>
          <w:rPr>
            <w:rStyle w:val="Hyperlink"/>
          </w:rPr>
          <w:t xml:space="preserve">https://doi.org/10.1016/j.jclinepi.2014.11.001</w:t>
        </w:r>
      </w:hyperlink>
      <w:r>
        <w:t xml:space="preserve">.</w:t>
      </w:r>
    </w:p>
    <w:bookmarkEnd w:id="99"/>
    <w:bookmarkStart w:id="101"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0">
        <w:r>
          <w:rPr>
            <w:rStyle w:val="Hyperlink"/>
          </w:rPr>
          <w:t xml:space="preserve">https://doi.org/10.1111/j.2517-6161.1996.tb02080.x</w:t>
        </w:r>
      </w:hyperlink>
      <w:r>
        <w:t xml:space="preserve">.</w:t>
      </w:r>
    </w:p>
    <w:bookmarkEnd w:id="101"/>
    <w:bookmarkStart w:id="10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2026-03-18T00:22:29Z</dcterms:created>
  <dcterms:modified xsi:type="dcterms:W3CDTF">2026-03-18T00:22:29Z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