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1.png" ContentType="image/png"/>
  <Override PartName="/word/media/rId34.png" ContentType="image/png"/>
  <Override PartName="/word/media/rId5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2026-06-19</w:t>
      </w:r>
    </w:p>
    <w:p>
      <w:pPr>
        <w:pStyle w:val="AbstractTitle"/>
      </w:pPr>
      <w:r>
        <w:t xml:space="preserve">Abstract</w:t>
      </w:r>
    </w:p>
    <w:p>
      <w:pPr>
        <w:pStyle w:val="Abstract"/>
      </w:pPr>
      <w:r>
        <w:t xml:space="preserve">Including covariates when testing an experimentally manipulated independent variable (</w:t>
      </w:r>
      <m:oMath>
        <m:r>
          <m:t>X</m:t>
        </m:r>
      </m:oMath>
      <w:r>
        <w:t xml:space="preserve">) can reduce Type II error by accounting for additional variance in the outcome. Selecting optimal covariates, however, is challenging. Iterating over many covariates and retaining only those that increase the</w:t>
      </w:r>
      <w:r>
        <w:t xml:space="preserve"> </w:t>
      </w:r>
      <m:oMath>
        <m:r>
          <m:t>X</m:t>
        </m:r>
      </m:oMath>
      <w:r>
        <w:t xml:space="preserve"> </w:t>
      </w:r>
      <w:r>
        <w:t xml:space="preserve">effect (</w:t>
      </w:r>
      <w:r>
        <w:rPr>
          <w:i/>
          <w:iCs/>
        </w:rPr>
        <w:t xml:space="preserve">p</w:t>
      </w:r>
      <w:r>
        <w:t xml:space="preserve">-hacking) substantially inflates Type I error. Consequently, researchers often adopt two extremes: including no covariates or all covariates. Although these approaches do not nominally increase Type I error rates, both fail to maximize power. Data-driven approaches may offer a more effective alternative.</w:t>
      </w:r>
    </w:p>
    <w:p>
      <w:pPr>
        <w:pStyle w:val="Abstract"/>
      </w:pPr>
      <w:r>
        <w:t xml:space="preser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w:t>
      </w:r>
      <w:r>
        <w:rPr>
          <w:i/>
          <w:iCs/>
        </w:rPr>
        <w:t xml:space="preserve">p</w:t>
      </w:r>
      <w:r>
        <w:t xml:space="preserve">-hacking, linear models that screen each covariate separately without and with</w:t>
      </w:r>
      <w:r>
        <w:t xml:space="preserve"> </w:t>
      </w:r>
      <m:oMath>
        <m:r>
          <m:t>X</m:t>
        </m:r>
      </m:oMath>
      <w:r>
        <w:t xml:space="preserve">, linear models that screen all covariates simultaneously without and with</w:t>
      </w:r>
      <w:r>
        <w:t xml:space="preserve"> </w:t>
      </w:r>
      <m:oMath>
        <m:r>
          <m:t>X</m:t>
        </m:r>
      </m:oMath>
      <w:r>
        <w:t xml:space="preserve">, and LASSO models that screen all covariates simultaneously without and with</w:t>
      </w:r>
      <w:r>
        <w:t xml:space="preserve"> </w:t>
      </w:r>
      <m:oMath>
        <m:r>
          <m:t>X</m:t>
        </m:r>
      </m:oMath>
      <w:r>
        <w:t xml:space="preserve">).</w:t>
      </w:r>
    </w:p>
    <w:p>
      <w:pPr>
        <w:pStyle w:val="Abstract"/>
      </w:pPr>
      <w:r>
        <w:t xml:space="preserve">We calculated the probability of Type I and Type II errors across methods and research contexts. Our results provide strong evidence of the benefits of using covariates and practical guidance for selecting covariates in experimental research.</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A valid test of the effect of such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reduce Type II errors when testing IV effects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the optimal covariates to reduce Type II errors is not straightforward. Historically, researchers often iterated over a large set of available covariates and included only those covariates that increased the effect size of the test of their focal IV (and their chances of obtaining a significant</w:t>
      </w:r>
      <w:r>
        <w:t xml:space="preserve"> </w:t>
      </w:r>
      <w:r>
        <w:rPr>
          <w:i/>
          <w:iCs/>
        </w:rPr>
        <w:t xml:space="preserve">p</w:t>
      </w:r>
      <w:r>
        <w:t xml:space="preserve">-value).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w:t>
      </w:r>
      <w:r>
        <w:t xml:space="preserve"> </w:t>
      </w:r>
      <w:r>
        <w:t xml:space="preserve">that both minimize Type II errors and control Type I errors at alpha. Traditionally, researchers have relied on two somewhat extreme strategies for selecting covariates. At one end, the researcher could decide to avoid the use of covariates altogether with no risk to Type I error control. But this decision would increase the probability of Type II errors due to lower statistical power.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Type II error rate and statistical power because a subset of these covariates may not manifest strong, or any, relationships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determine which covariates to include in the subsequent primary analysis that tests the focal IV. These data-driven approaches include a “</w:t>
      </w:r>
      <w:r>
        <w:rPr>
          <w:i/>
          <w:iCs/>
        </w:rPr>
        <w:t xml:space="preserve">p</w:t>
      </w:r>
      <w:r>
        <w:t xml:space="preserve">-hacking approach and six additional approaches that vary by the modeling approach (i.e., separate linear models vs. simultaneous linear model vs. LASSO</w:t>
      </w:r>
      <w:r>
        <w:t xml:space="preserve">(Tibshirani 1996)</w:t>
      </w:r>
      <w:r>
        <w:t xml:space="preserve">) for the screening model and whether</w:t>
      </w:r>
      <w:r>
        <w:t xml:space="preserve"> </w:t>
      </w:r>
      <m:oMath>
        <m:r>
          <m:t>X</m:t>
        </m:r>
      </m:oMath>
      <w:r>
        <w:t xml:space="preserve"> </w:t>
      </w:r>
      <w:r>
        <w:t xml:space="preserve">was included in the screening model. Further detail on these approaches is provided below. For all traditional and data-driven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decrease Type II error rate while controlling Type I error rate 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earlier,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did not use the data to screen and select covariates. Instead the</w:t>
      </w:r>
      <w:r>
        <w:t xml:space="preserve"> </w:t>
      </w:r>
      <w:r>
        <w:t xml:space="preserve">“no covariates”</w:t>
      </w:r>
      <w:r>
        <w:t xml:space="preserve"> </w:t>
      </w:r>
      <w:r>
        <w:t xml:space="preserve">and</w:t>
      </w:r>
      <w:r>
        <w:t xml:space="preserve"> </w:t>
      </w:r>
      <w:r>
        <w:t xml:space="preserve">“all covariates”</w:t>
      </w:r>
      <w:r>
        <w:t xml:space="preserve"> </w:t>
      </w:r>
      <w:r>
        <w:t xml:space="preserve">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separate screening models were used for each covariate and covariates were selected to be included in the primary analysis if the effect of</w:t>
      </w:r>
      <w:r>
        <w:t xml:space="preserve"> </w:t>
      </w:r>
      <m:oMath>
        <m:r>
          <m:t>X</m:t>
        </m:r>
      </m:oMath>
      <w:r>
        <w:t xml:space="preserve"> </w:t>
      </w:r>
      <w:r>
        <w:t xml:space="preserve">became descriptively larger in the screening model that included that covariate. This approach replicates the real-world practice of</w:t>
      </w:r>
      <w:r>
        <w:t xml:space="preserve"> </w:t>
      </w:r>
      <w:r>
        <w:rPr>
          <w:i/>
          <w:iCs/>
        </w:rPr>
        <w:t xml:space="preserve">p</w:t>
      </w:r>
      <w:r>
        <w:t xml:space="preserve">-hacking where researchers aim to increase the effect size of a focal variable to match a pre-existing hypothesis. For the remaining six data-driven approaches, covariates were selected to be included in the analysis based on the size or statistical test of the covariate rather than X in the screening model.</w:t>
      </w:r>
    </w:p>
    <w:p>
      <w:pPr>
        <w:pStyle w:val="BodyText"/>
      </w:pPr>
      <w:r>
        <w:t xml:space="preserve">The screening models for these remaining six data-driven approaches (excluding</w:t>
      </w:r>
      <w:r>
        <w:t xml:space="preserve"> </w:t>
      </w:r>
      <w:r>
        <w:rPr>
          <w:i/>
          <w:iCs/>
        </w:rPr>
        <w:t xml:space="preserve">p</w:t>
      </w:r>
      <w:r>
        <w:t xml:space="preserve">-hacking) differed across two dimensions. First, we considered three modeling approaches for the screening models: linear models that screened each covariate separately in its own model (</w:t>
      </w:r>
      <w:r>
        <w:t xml:space="preserve">“separate lm”</w:t>
      </w:r>
      <w:r>
        <w:t xml:space="preserve"> </w:t>
      </w:r>
      <w:r>
        <w:t xml:space="preserve">approach), linear models that screened all covariates simultaneously in a single model (</w:t>
      </w:r>
      <w:r>
        <w:t xml:space="preserve">“simultaneous lm”</w:t>
      </w:r>
      <w:r>
        <w:t xml:space="preserve"> </w:t>
      </w:r>
      <w:r>
        <w:t xml:space="preserve">approach), and LASSO</w:t>
      </w:r>
      <w:r>
        <w:t xml:space="preserve"> </w:t>
      </w:r>
      <w:r>
        <w:t xml:space="preserve">(Tibshirani 1996)</w:t>
      </w:r>
      <w:r>
        <w:t xml:space="preserve"> </w:t>
      </w:r>
      <w:r>
        <w:t xml:space="preserve">models that screened all covariates simultaneously in a single model (</w:t>
      </w:r>
      <w:r>
        <w:t xml:space="preserve">“simultaneous LASSO”</w:t>
      </w:r>
      <w:r>
        <w:t xml:space="preserve"> </w:t>
      </w:r>
      <w:r>
        <w:t xml:space="preserve">approach). Across these three approaches, we also either exclude or include</w:t>
      </w:r>
      <w:r>
        <w:t xml:space="preserve"> </w:t>
      </w:r>
      <m:oMath>
        <m:r>
          <m:t>X</m:t>
        </m:r>
      </m:oMath>
      <w:r>
        <w:t xml:space="preserve"> </w:t>
      </w:r>
      <w:r>
        <w:t xml:space="preserve">in the screening models (notated as w/o or with</w:t>
      </w:r>
      <w:r>
        <w:t xml:space="preserve"> </w:t>
      </w:r>
      <m:oMath>
        <m:r>
          <m:t>X</m:t>
        </m:r>
      </m:oMath>
      <w:r>
        <w:t xml:space="preserve">). For the simultaneous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lm w/o</w:t>
      </w:r>
      <w:r>
        <w:t xml:space="preserve"> </w:t>
      </w:r>
      <m:oMath>
        <m:r>
          <m:t>X</m:t>
        </m:r>
      </m:oMath>
      <w:r>
        <w:t xml:space="preserve">, separate lm with</w:t>
      </w:r>
      <w:r>
        <w:t xml:space="preserve"> </w:t>
      </w:r>
      <m:oMath>
        <m:r>
          <m:t>X</m:t>
        </m:r>
      </m:oMath>
      <w:r>
        <w:t xml:space="preserve">, simultaneous lm w/o</w:t>
      </w:r>
      <w:r>
        <w:t xml:space="preserve"> </w:t>
      </w:r>
      <m:oMath>
        <m:r>
          <m:t>X</m:t>
        </m:r>
      </m:oMath>
      <w:r>
        <w:t xml:space="preserve">, and simultaneous lm with</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 size and</w:t>
      </w:r>
      <w:r>
        <w:t xml:space="preserve"> </w:t>
      </w:r>
      <w:r>
        <w:rPr>
          <w:i/>
          <w:iCs/>
        </w:rPr>
        <w:t xml:space="preserve">p</w:t>
      </w:r>
      <w:r>
        <w:t xml:space="preserve">-value for</w:t>
      </w:r>
      <w:r>
        <w:t xml:space="preserve"> </w:t>
      </w:r>
      <m:oMath>
        <m:r>
          <m:t>X</m:t>
        </m:r>
      </m:oMath>
      <w:r>
        <w:t xml:space="preserve"> </w:t>
      </w:r>
      <w:r>
        <w:t xml:space="preserve">were not used for covariate selection. For the LASSO models (simultaneous LASSO w/o</w:t>
      </w:r>
      <w:r>
        <w:t xml:space="preserve"> </w:t>
      </w:r>
      <m:oMath>
        <m:r>
          <m:t>X</m:t>
        </m:r>
      </m:oMath>
      <w:r>
        <w:t xml:space="preserve"> </w:t>
      </w:r>
      <w:r>
        <w:t xml:space="preserve">and simultaneous LASSO with</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cov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Separate cov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Simultaneous cov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cov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cov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39"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covariate selection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0.100</w:t>
                  </w:r>
                </w:p>
              </w:tc>
              <w:tc>
                <w:tcPr/>
                <w:p>
                  <w:pPr>
                    <w:pStyle w:val="Compact"/>
                    <w:jc w:val="left"/>
                    <w:jc w:val="center"/>
                  </w:pPr>
                  <w:r>
                    <w:t xml:space="preserve">0.300</w:t>
                  </w:r>
                </w:p>
              </w:tc>
              <w:tc>
                <w:tcPr/>
                <w:p>
                  <w:pPr>
                    <w:pStyle w:val="Compact"/>
                    <w:jc w:val="left"/>
                    <w:jc w:val="center"/>
                  </w:pPr>
                  <w:r>
                    <w:t xml:space="preserve">0.600</w:t>
                  </w:r>
                </w:p>
              </w:tc>
            </w:tr>
            <w:tr>
              <w:tc>
                <w:tcPr/>
                <w:p>
                  <w:pPr>
                    <w:pStyle w:val="Compact"/>
                    <w:jc w:val="left"/>
                    <w:jc w:val="center"/>
                  </w:pPr>
                  <w:r>
                    <w:t xml:space="preserve">Separate lm w/o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lm w/o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with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32"/>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distribution-bx"/>
          <w:p>
            <w:pPr>
              <w:pStyle w:val="Compact"/>
              <w:jc w:val="center"/>
            </w:pPr>
            <w:r>
              <w:drawing>
                <wp:inline>
                  <wp:extent cx="5334000" cy="6096000"/>
                  <wp:effectExtent b="0" l="0" r="0" t="0"/>
                  <wp:docPr descr="" title="" id="35" name="Picture"/>
                  <a:graphic>
                    <a:graphicData uri="http://schemas.openxmlformats.org/drawingml/2006/picture">
                      <pic:pic>
                        <pic:nvPicPr>
                          <pic:cNvPr descr="index_files/figure-docx/notebooks-mak_figures-fig-distribution-bx-output-1.png" id="36" name="Picture"/>
                          <pic:cNvPicPr>
                            <a:picLocks noChangeArrowheads="1" noChangeAspect="1"/>
                          </pic:cNvPicPr>
                        </pic:nvPicPr>
                        <pic:blipFill>
                          <a:blip r:embed="rId34"/>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except for the</w:t>
      </w:r>
      <w:r>
        <w:t xml:space="preserve"> </w:t>
      </w:r>
      <w:r>
        <w:rPr>
          <w:i/>
          <w:iCs/>
        </w:rPr>
        <w:t xml:space="preserve">p</w:t>
      </w:r>
      <w:r>
        <w:t xml:space="preserve">-hacking approach, yielded unbiased estimates. The</w:t>
      </w:r>
      <w:r>
        <w:t xml:space="preserve"> </w:t>
      </w:r>
      <w:r>
        <w:rPr>
          <w:i/>
          <w:iCs/>
        </w:rPr>
        <w:t xml:space="preserve">p</w:t>
      </w:r>
      <w:r>
        <w:t xml:space="preserve">-hacking approach yielded substantial optimistic (over-estimation) bias in the magnitude of the parameter estimates as seen in both the mean</w:t>
      </w:r>
      <w:r>
        <w:t xml:space="preserve"> </w:t>
      </w:r>
      <m:oMath>
        <m:sSub>
          <m:e>
            <m:r>
              <m:t>b</m:t>
            </m:r>
          </m:e>
          <m:sub>
            <m:r>
              <m:t>X</m:t>
            </m:r>
          </m:sub>
        </m:sSub>
      </m:oMath>
      <w:r>
        <w:t xml:space="preserve"> </w:t>
      </w:r>
      <w:r>
        <w:t xml:space="preserve">and the rightward shift of the sampling distribution. This distortion results from this approach selecting covariates that magnify the positive effect of</w:t>
      </w:r>
      <w:r>
        <w:t xml:space="preserve"> </w:t>
      </w:r>
      <m:oMath>
        <m:r>
          <m:t>X</m:t>
        </m:r>
      </m:oMath>
      <w:r>
        <w:t xml:space="preserve"> </w:t>
      </w:r>
      <w:r>
        <w:t xml:space="preserve">in any specific sample (even when the effect is due to chance), producing a distribution that does not accurately reflect the true population parameter.</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unsurprisingly continued to yield positively biased estimates for the same reasons mentioned above. 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39"/>
    <w:bookmarkStart w:id="50"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w:t>
      </w:r>
      <w:r>
        <w:t xml:space="preserve">(Simmons, Nelson, and Simonsohn 2011; Baker 2016; Ioannidis 2005; Fanelli 2010)</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43" w:name="fig-bar-1"/>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1-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0.298 in the worst case context (see Shiny dashboard for error rates in all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type1-panel"/>
          <w:p>
            <w:pPr>
              <w:pStyle w:val="Compact"/>
              <w:jc w:val="center"/>
            </w:pPr>
            <w:r>
              <w:drawing>
                <wp:inline>
                  <wp:extent cx="5334000" cy="4000499"/>
                  <wp:effectExtent b="0" l="0" r="0" t="0"/>
                  <wp:docPr descr="" title="" id="46" name="Picture"/>
                  <a:graphic>
                    <a:graphicData uri="http://schemas.openxmlformats.org/drawingml/2006/picture">
                      <pic:pic>
                        <pic:nvPicPr>
                          <pic:cNvPr descr="index_files/figure-docx/notebooks-mak_figures-fig-type1-panel-output-1.png" id="47" name="Picture"/>
                          <pic:cNvPicPr>
                            <a:picLocks noChangeArrowheads="1" noChangeAspect="1"/>
                          </pic:cNvPicPr>
                        </pic:nvPicPr>
                        <pic:blipFill>
                          <a:blip r:embed="rId4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pooled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54" w:name="fig-bar-2"/>
          <w:p>
            <w:pPr>
              <w:pStyle w:val="Compact"/>
              <w:jc w:val="center"/>
            </w:pPr>
            <w:r>
              <w:drawing>
                <wp:inline>
                  <wp:extent cx="5334000" cy="3048000"/>
                  <wp:effectExtent b="0" l="0" r="0" t="0"/>
                  <wp:docPr descr="" title="" id="52" name="Picture"/>
                  <a:graphic>
                    <a:graphicData uri="http://schemas.openxmlformats.org/drawingml/2006/picture">
                      <pic:pic>
                        <pic:nvPicPr>
                          <pic:cNvPr descr="index_files/figure-docx/notebooks-mak_figures-fig-bar-2-output-1.png" id="53" name="Picture"/>
                          <pic:cNvPicPr>
                            <a:picLocks noChangeArrowheads="1" noChangeAspect="1"/>
                          </pic:cNvPicPr>
                        </pic:nvPicPr>
                        <pic:blipFill>
                          <a:blip r:embed="rId5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9" w:name="fig-panel-2"/>
          <w:p>
            <w:pPr>
              <w:pStyle w:val="Compact"/>
              <w:jc w:val="center"/>
            </w:pPr>
            <w:r>
              <w:drawing>
                <wp:inline>
                  <wp:extent cx="5334000" cy="6400800"/>
                  <wp:effectExtent b="0" l="0" r="0" t="0"/>
                  <wp:docPr descr="" title="" id="57" name="Picture"/>
                  <a:graphic>
                    <a:graphicData uri="http://schemas.openxmlformats.org/drawingml/2006/picture">
                      <pic:pic>
                        <pic:nvPicPr>
                          <pic:cNvPr descr="index_files/figure-docx/notebooks-mak_figures-fig-panel-2-output-1.png" id="58" name="Picture"/>
                          <pic:cNvPicPr>
                            <a:picLocks noChangeArrowheads="1" noChangeAspect="1"/>
                          </pic:cNvPicPr>
                        </pic:nvPicPr>
                        <pic:blipFill>
                          <a:blip r:embed="rId5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We observed average Type I rates of 0.113, consistent with Simmons et al. However, our simulations further suggest that this estimate may meaningfully underestimate the potential magnitude of the</w:t>
      </w:r>
      <w:r>
        <w:t xml:space="preserve"> </w:t>
      </w:r>
      <w:r>
        <w:rPr>
          <w:i/>
          <w:iCs/>
        </w:rPr>
        <w:t xml:space="preserve">p</w:t>
      </w:r>
      <w:r>
        <w:t xml:space="preserve">-hacking problem in common research contexts. In some research contexts, Type I error rates reached up to 0.298 (range: 0.051-0.298). Additionally,</w:t>
      </w:r>
      <w:r>
        <w:t xml:space="preserve"> </w:t>
      </w:r>
      <w:r>
        <w:rPr>
          <w:i/>
          <w:iCs/>
        </w:rPr>
        <w:t xml:space="preserve">p</w:t>
      </w:r>
      <w:r>
        <w:t xml:space="preserve">-hacking produced substantially biased parameter estimates, indicating that even when true effects exist, the estimated effect sizes are likely to be overly optimistic.</w:t>
      </w:r>
    </w:p>
    <w:p>
      <w:pPr>
        <w:pStyle w:val="BodyText"/>
      </w:pPr>
      <w:r>
        <w:t xml:space="preserve">When no covariates were used,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reduction in Type II error rate,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LASSO with</w:t>
      </w:r>
      <w:r>
        <w:t xml:space="preserve"> </w:t>
      </w:r>
      <m:oMath>
        <m:r>
          <m:t>X</m:t>
        </m:r>
      </m:oMath>
      <w:r>
        <w:t xml:space="preserve"> </w:t>
      </w:r>
      <w:r>
        <w:t xml:space="preserve">approach was 0.203 lower than the all covariates approach!</w:t>
      </w:r>
    </w:p>
    <w:p>
      <w:pPr>
        <w:pStyle w:val="BodyText"/>
      </w:pPr>
      <w:r>
        <w:t xml:space="preserve">There are several issues to consider when comparing among the several top data-driven approaches. The approach with the lowest mean Type II error rate (0.337) was the simultaneous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lm with</w:t>
      </w:r>
      <w:r>
        <w:t xml:space="preserve"> </w:t>
      </w:r>
      <m:oMath>
        <m:r>
          <m:t>X</m:t>
        </m:r>
      </m:oMath>
      <w:r>
        <w:t xml:space="preserve"> </w:t>
      </w:r>
      <w:r>
        <w:t xml:space="preserve">may feel easier, or more familiar to some researchers. When compared to the LASSO with</w:t>
      </w:r>
      <w:r>
        <w:t xml:space="preserve"> </w:t>
      </w:r>
      <m:oMath>
        <m:r>
          <m:t>X</m:t>
        </m:r>
      </m:oMath>
      <w:r>
        <w:t xml:space="preserve"> </w:t>
      </w:r>
      <w:r>
        <w:t xml:space="preserve">approach, the separate lm approach also yielded an unbiased estimate of</w:t>
      </w:r>
      <w:r>
        <w:t xml:space="preserve"> </w:t>
      </w:r>
      <m:oMath>
        <m:sSub>
          <m:e>
            <m:r>
              <m:t>β</m:t>
            </m:r>
          </m:e>
          <m:sub>
            <m:r>
              <m:t>X</m:t>
            </m:r>
          </m:sub>
        </m:sSub>
      </m:oMath>
      <w:r>
        <w:t xml:space="preserve"> </w:t>
      </w:r>
      <w:r>
        <w:t xml:space="preserve">and a better Type I error rate (0.052) but with slightly worse Type II error rate (0.341). Finally, if perfect control of Type I error rate at the nominal alpha is desired, screening with separate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two previously discussed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Finally, this simulation study evaluated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We believe our paper provides strong evidence to support the clear benefits of using baseline covariates. In our opinion, we believe that either the simultaneous LASSO with</w:t>
      </w:r>
      <w:r>
        <w:t xml:space="preserve"> </w:t>
      </w:r>
      <m:oMath>
        <m:r>
          <m:t>X</m:t>
        </m:r>
      </m:oMath>
      <w:r>
        <w:t xml:space="preserve"> </w:t>
      </w:r>
      <w:r>
        <w:t xml:space="preserve">or the separate lm with</w:t>
      </w:r>
      <w:r>
        <w:t xml:space="preserve"> </w:t>
      </w:r>
      <m:oMath>
        <m:r>
          <m:t>X</m:t>
        </m:r>
      </m:oMath>
      <w:r>
        <w:t xml:space="preserve"> </w:t>
      </w:r>
      <w:r>
        <w:t xml:space="preserve">are the superior choices when considering both Type I/II error rates and parameter estimate bias. However, we also hope that we have also clarified the relative costs and benefits across all of these approaches to allow researchers to make informed decisions based on their own priorities and research context.</w:t>
      </w:r>
    </w:p>
    <w:bookmarkEnd w:id="63"/>
    <w:bookmarkStart w:id="64" w:name="acknowledgments"/>
    <w:p>
      <w:pPr>
        <w:pStyle w:val="Heading1"/>
      </w:pPr>
      <w:r>
        <w:t xml:space="preserve">Acknowledgments</w:t>
      </w:r>
    </w:p>
    <w:p>
      <w:pPr>
        <w:pStyle w:val="FirstParagraph"/>
      </w:pPr>
      <w:r>
        <w:t xml:space="preserve">The authors wish to thank Christopher Janssen for developing the interactive shiny dashboard on our OSF page.</w:t>
      </w:r>
    </w:p>
    <w:bookmarkEnd w:id="64"/>
    <w:bookmarkStart w:id="109" w:name="references"/>
    <w:p>
      <w:pPr>
        <w:pStyle w:val="Heading1"/>
      </w:pPr>
      <w:r>
        <w:t xml:space="preserve">References</w:t>
      </w:r>
    </w:p>
    <w:bookmarkStart w:id="108" w:name="refs"/>
    <w:bookmarkStart w:id="66" w:name="ref-baker1500ScientistsLift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65">
        <w:r>
          <w:rPr>
            <w:rStyle w:val="Hyperlink"/>
          </w:rPr>
          <w:t xml:space="preserve">https://doi.org/10.1038/533452a</w:t>
        </w:r>
      </w:hyperlink>
      <w:r>
        <w:t xml:space="preserve">.</w:t>
      </w:r>
    </w:p>
    <w:bookmarkEnd w:id="66"/>
    <w:bookmarkStart w:id="68"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7">
        <w:r>
          <w:rPr>
            <w:rStyle w:val="Hyperlink"/>
          </w:rPr>
          <w:t xml:space="preserve">https://doi.org/10.1016/0197-2456(89)90055-x</w:t>
        </w:r>
      </w:hyperlink>
      <w:r>
        <w:t xml:space="preserve">.</w:t>
      </w:r>
    </w:p>
    <w:bookmarkEnd w:id="68"/>
    <w:bookmarkStart w:id="70"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9">
        <w:r>
          <w:rPr>
            <w:rStyle w:val="Hyperlink"/>
          </w:rPr>
          <w:t xml:space="preserve">https://doi.org/10.1177/0956797613499923</w:t>
        </w:r>
      </w:hyperlink>
      <w:r>
        <w:t xml:space="preserve">.</w:t>
      </w:r>
    </w:p>
    <w:bookmarkEnd w:id="70"/>
    <w:bookmarkStart w:id="72"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71">
        <w:r>
          <w:rPr>
            <w:rStyle w:val="Hyperlink"/>
          </w:rPr>
          <w:t xml:space="preserve">https://doi.org/10.1038/nrn3475</w:t>
        </w:r>
      </w:hyperlink>
      <w:r>
        <w:t xml:space="preserve">.</w:t>
      </w:r>
    </w:p>
    <w:bookmarkEnd w:id="72"/>
    <w:bookmarkStart w:id="7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3">
        <w:r>
          <w:rPr>
            <w:rStyle w:val="Hyperlink"/>
          </w:rPr>
          <w:t xml:space="preserve">https://doi.org/10.21231/GNT1-HW21</w:t>
        </w:r>
      </w:hyperlink>
      <w:r>
        <w:t xml:space="preserve">.</w:t>
      </w:r>
    </w:p>
    <w:bookmarkEnd w:id="74"/>
    <w:bookmarkStart w:id="76"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5">
        <w:r>
          <w:rPr>
            <w:rStyle w:val="Hyperlink"/>
          </w:rPr>
          <w:t xml:space="preserve">https://doi.org/10.1037/h0045186</w:t>
        </w:r>
      </w:hyperlink>
      <w:r>
        <w:t xml:space="preserve">.</w:t>
      </w:r>
    </w:p>
    <w:bookmarkEnd w:id="76"/>
    <w:bookmarkStart w:id="77"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7"/>
    <w:bookmarkStart w:id="78"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8"/>
    <w:bookmarkStart w:id="80"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9">
        <w:r>
          <w:rPr>
            <w:rStyle w:val="Hyperlink"/>
          </w:rPr>
          <w:t xml:space="preserve">https://doi.org/10.1186/1471-2288-14-49</w:t>
        </w:r>
      </w:hyperlink>
      <w:r>
        <w:t xml:space="preserve">.</w:t>
      </w:r>
    </w:p>
    <w:bookmarkEnd w:id="80"/>
    <w:bookmarkStart w:id="82" w:name="ref-fanelliPositiveResultsIncrease2010"/>
    <w:p>
      <w:pPr>
        <w:pStyle w:val="Bibliography"/>
      </w:pPr>
      <w:r>
        <w:t xml:space="preserve">Fanelli, Daniele. 2010.</w:t>
      </w:r>
      <w:r>
        <w:t xml:space="preserve"> </w:t>
      </w:r>
      <w:r>
        <w:t xml:space="preserve">“</w:t>
      </w:r>
      <w:r>
        <w:t xml:space="preserve">‘</w:t>
      </w:r>
      <w:r>
        <w:t xml:space="preserve">Positive</w:t>
      </w:r>
      <w:r>
        <w:t xml:space="preserve">’</w:t>
      </w:r>
      <w:r>
        <w:t xml:space="preserve"> </w:t>
      </w:r>
      <w:r>
        <w:t xml:space="preserve">Results Increase Down</w:t>
      </w:r>
      <w:r>
        <w:t xml:space="preserve"> </w:t>
      </w:r>
      <w:r>
        <w:t xml:space="preserve">the</w:t>
      </w:r>
      <w:r>
        <w:t xml:space="preserve"> </w:t>
      </w:r>
      <w:r>
        <w:t xml:space="preserve">Hierarchy</w:t>
      </w:r>
      <w:r>
        <w:t xml:space="preserve"> </w:t>
      </w:r>
      <w:r>
        <w:t xml:space="preserve">of the</w:t>
      </w:r>
      <w:r>
        <w:t xml:space="preserve"> </w:t>
      </w:r>
      <w:r>
        <w:t xml:space="preserve">Sciences</w:t>
      </w:r>
      <w:r>
        <w:t xml:space="preserve">.”</w:t>
      </w:r>
      <w:r>
        <w:t xml:space="preserve"> </w:t>
      </w:r>
      <w:r>
        <w:rPr>
          <w:i/>
          <w:iCs/>
        </w:rPr>
        <w:t xml:space="preserve">PLOS ONE</w:t>
      </w:r>
      <w:r>
        <w:t xml:space="preserve"> </w:t>
      </w:r>
      <w:r>
        <w:t xml:space="preserve">5 (4): e10068.</w:t>
      </w:r>
      <w:r>
        <w:t xml:space="preserve"> </w:t>
      </w:r>
      <w:hyperlink r:id="rId81">
        <w:r>
          <w:rPr>
            <w:rStyle w:val="Hyperlink"/>
          </w:rPr>
          <w:t xml:space="preserve">https://doi.org/10.1371/journal.pone.0010068</w:t>
        </w:r>
      </w:hyperlink>
      <w:r>
        <w:t xml:space="preserve">.</w:t>
      </w:r>
    </w:p>
    <w:bookmarkEnd w:id="82"/>
    <w:bookmarkStart w:id="84"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83">
        <w:r>
          <w:rPr>
            <w:rStyle w:val="Hyperlink"/>
          </w:rPr>
          <w:t xml:space="preserve">https://doi.org/10.1037/a0033407</w:t>
        </w:r>
      </w:hyperlink>
      <w:r>
        <w:t xml:space="preserve">.</w:t>
      </w:r>
    </w:p>
    <w:bookmarkEnd w:id="84"/>
    <w:bookmarkStart w:id="86"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5">
        <w:r>
          <w:rPr>
            <w:rStyle w:val="Hyperlink"/>
          </w:rPr>
          <w:t xml:space="preserve">https://doi.org/10.1016/j.annepidem.2005.09.007</w:t>
        </w:r>
      </w:hyperlink>
      <w:r>
        <w:t xml:space="preserve">.</w:t>
      </w:r>
    </w:p>
    <w:bookmarkEnd w:id="86"/>
    <w:bookmarkStart w:id="88"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7">
        <w:r>
          <w:rPr>
            <w:rStyle w:val="Hyperlink"/>
          </w:rPr>
          <w:t xml:space="preserve">https://doi.org/10.1016/j.jclinepi.2003.09.014</w:t>
        </w:r>
      </w:hyperlink>
      <w:r>
        <w:t xml:space="preserve">.</w:t>
      </w:r>
    </w:p>
    <w:bookmarkEnd w:id="88"/>
    <w:bookmarkStart w:id="90"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9">
        <w:r>
          <w:rPr>
            <w:rStyle w:val="Hyperlink"/>
          </w:rPr>
          <w:t xml:space="preserve">https://doi.org/10.1371/journal.pmed.0020124</w:t>
        </w:r>
      </w:hyperlink>
      <w:r>
        <w:t xml:space="preserve">.</w:t>
      </w:r>
    </w:p>
    <w:bookmarkEnd w:id="90"/>
    <w:bookmarkStart w:id="92"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91">
        <w:r>
          <w:rPr>
            <w:rStyle w:val="Hyperlink"/>
          </w:rPr>
          <w:t xml:space="preserve">https://doi.org/10.1186/1745-6215-15-139</w:t>
        </w:r>
      </w:hyperlink>
      <w:r>
        <w:t xml:space="preserve">.</w:t>
      </w:r>
    </w:p>
    <w:bookmarkEnd w:id="92"/>
    <w:bookmarkStart w:id="93"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3"/>
    <w:bookmarkStart w:id="95" w:name="Xacb972bec6951688223e59e5436f5358068fdee"/>
    <w:p>
      <w:pPr>
        <w:pStyle w:val="Bibliography"/>
      </w:pPr>
      <w:r>
        <w:t xml:space="preserve">Miller, G A, and J P Chapman. 2001.</w:t>
      </w:r>
      <w:r>
        <w:t xml:space="preserve"> </w:t>
      </w:r>
      <w:r>
        <w:t xml:space="preserve">“</w:t>
      </w:r>
      <w:hyperlink r:id="rId94">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7">
        <w:r>
          <w:rPr>
            <w:rStyle w:val="Hyperlink"/>
          </w:rPr>
          <w:t xml:space="preserve">https://doi.org/10.1080/03610928508828942</w:t>
        </w:r>
      </w:hyperlink>
      <w:r>
        <w:t xml:space="preserve">.</w:t>
      </w:r>
    </w:p>
    <w:bookmarkEnd w:id="98"/>
    <w:bookmarkStart w:id="100"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9">
        <w:r>
          <w:rPr>
            <w:rStyle w:val="Hyperlink"/>
          </w:rPr>
          <w:t xml:space="preserve">https://doi.org/10.1177/0956797611417632</w:t>
        </w:r>
      </w:hyperlink>
      <w:r>
        <w:t xml:space="preserve">.</w:t>
      </w:r>
    </w:p>
    <w:bookmarkEnd w:id="100"/>
    <w:bookmarkStart w:id="102"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101">
        <w:r>
          <w:rPr>
            <w:rStyle w:val="Hyperlink"/>
          </w:rPr>
          <w:t xml:space="preserve">https://doi.org/10.1037/a0033242</w:t>
        </w:r>
      </w:hyperlink>
      <w:r>
        <w:t xml:space="preserve">.</w:t>
      </w:r>
    </w:p>
    <w:bookmarkEnd w:id="102"/>
    <w:bookmarkStart w:id="104"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103">
        <w:r>
          <w:rPr>
            <w:rStyle w:val="Hyperlink"/>
          </w:rPr>
          <w:t xml:space="preserve">https://doi.org/10.1016/j.jclinepi.2014.11.001</w:t>
        </w:r>
      </w:hyperlink>
      <w:r>
        <w:t xml:space="preserve">.</w:t>
      </w:r>
    </w:p>
    <w:bookmarkEnd w:id="104"/>
    <w:bookmarkStart w:id="106"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5">
        <w:r>
          <w:rPr>
            <w:rStyle w:val="Hyperlink"/>
          </w:rPr>
          <w:t xml:space="preserve">https://doi.org/10.1111/j.2517-6161.1996.tb02080.x</w:t>
        </w:r>
      </w:hyperlink>
      <w:r>
        <w:t xml:space="preserve">.</w:t>
      </w:r>
    </w:p>
    <w:bookmarkEnd w:id="106"/>
    <w:bookmarkStart w:id="107"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hyperlink" Id="rId67" Target="https://doi.org/10.1016/0197-2456(89)90055-x" TargetMode="External" /><Relationship Type="http://schemas.openxmlformats.org/officeDocument/2006/relationships/hyperlink" Id="rId85" Target="https://doi.org/10.1016/j.annepidem.2005.09.007" TargetMode="External" /><Relationship Type="http://schemas.openxmlformats.org/officeDocument/2006/relationships/hyperlink" Id="rId87" Target="https://doi.org/10.1016/j.jclinepi.2003.09.014" TargetMode="External" /><Relationship Type="http://schemas.openxmlformats.org/officeDocument/2006/relationships/hyperlink" Id="rId103" Target="https://doi.org/10.1016/j.jclinepi.2014.11.001" TargetMode="External" /><Relationship Type="http://schemas.openxmlformats.org/officeDocument/2006/relationships/hyperlink" Id="rId101" Target="https://doi.org/10.1037/a0033242" TargetMode="External" /><Relationship Type="http://schemas.openxmlformats.org/officeDocument/2006/relationships/hyperlink" Id="rId83" Target="https://doi.org/10.1037/a0033407" TargetMode="External" /><Relationship Type="http://schemas.openxmlformats.org/officeDocument/2006/relationships/hyperlink" Id="rId75" Target="https://doi.org/10.1037/h0045186" TargetMode="External" /><Relationship Type="http://schemas.openxmlformats.org/officeDocument/2006/relationships/hyperlink" Id="rId65" Target="https://doi.org/10.1038/533452a" TargetMode="External" /><Relationship Type="http://schemas.openxmlformats.org/officeDocument/2006/relationships/hyperlink" Id="rId71" Target="https://doi.org/10.1038/nrn3475" TargetMode="External" /><Relationship Type="http://schemas.openxmlformats.org/officeDocument/2006/relationships/hyperlink" Id="rId97" Target="https://doi.org/10.1080/03610928508828942" TargetMode="External" /><Relationship Type="http://schemas.openxmlformats.org/officeDocument/2006/relationships/hyperlink" Id="rId105" Target="https://doi.org/10.1111/j.2517-6161.1996.tb02080.x" TargetMode="External" /><Relationship Type="http://schemas.openxmlformats.org/officeDocument/2006/relationships/hyperlink" Id="rId99" Target="https://doi.org/10.1177/0956797611417632" TargetMode="External" /><Relationship Type="http://schemas.openxmlformats.org/officeDocument/2006/relationships/hyperlink" Id="rId69" Target="https://doi.org/10.1177/0956797613499923" TargetMode="External" /><Relationship Type="http://schemas.openxmlformats.org/officeDocument/2006/relationships/hyperlink" Id="rId79" Target="https://doi.org/10.1186/1471-2288-14-49" TargetMode="External" /><Relationship Type="http://schemas.openxmlformats.org/officeDocument/2006/relationships/hyperlink" Id="rId91" Target="https://doi.org/10.1186/1745-6215-15-139" TargetMode="External" /><Relationship Type="http://schemas.openxmlformats.org/officeDocument/2006/relationships/hyperlink" Id="rId89" Target="https://doi.org/10.1371/journal.pmed.0020124" TargetMode="External" /><Relationship Type="http://schemas.openxmlformats.org/officeDocument/2006/relationships/hyperlink" Id="rId81" Target="https://doi.org/10.1371/journal.pone.0010068" TargetMode="External" /><Relationship Type="http://schemas.openxmlformats.org/officeDocument/2006/relationships/hyperlink" Id="rId73"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94"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16/0197-2456(89)90055-x" TargetMode="External" /><Relationship Type="http://schemas.openxmlformats.org/officeDocument/2006/relationships/hyperlink" Id="rId85" Target="https://doi.org/10.1016/j.annepidem.2005.09.007" TargetMode="External" /><Relationship Type="http://schemas.openxmlformats.org/officeDocument/2006/relationships/hyperlink" Id="rId87" Target="https://doi.org/10.1016/j.jclinepi.2003.09.014" TargetMode="External" /><Relationship Type="http://schemas.openxmlformats.org/officeDocument/2006/relationships/hyperlink" Id="rId103" Target="https://doi.org/10.1016/j.jclinepi.2014.11.001" TargetMode="External" /><Relationship Type="http://schemas.openxmlformats.org/officeDocument/2006/relationships/hyperlink" Id="rId101" Target="https://doi.org/10.1037/a0033242" TargetMode="External" /><Relationship Type="http://schemas.openxmlformats.org/officeDocument/2006/relationships/hyperlink" Id="rId83" Target="https://doi.org/10.1037/a0033407" TargetMode="External" /><Relationship Type="http://schemas.openxmlformats.org/officeDocument/2006/relationships/hyperlink" Id="rId75" Target="https://doi.org/10.1037/h0045186" TargetMode="External" /><Relationship Type="http://schemas.openxmlformats.org/officeDocument/2006/relationships/hyperlink" Id="rId65" Target="https://doi.org/10.1038/533452a" TargetMode="External" /><Relationship Type="http://schemas.openxmlformats.org/officeDocument/2006/relationships/hyperlink" Id="rId71" Target="https://doi.org/10.1038/nrn3475" TargetMode="External" /><Relationship Type="http://schemas.openxmlformats.org/officeDocument/2006/relationships/hyperlink" Id="rId97" Target="https://doi.org/10.1080/03610928508828942" TargetMode="External" /><Relationship Type="http://schemas.openxmlformats.org/officeDocument/2006/relationships/hyperlink" Id="rId105" Target="https://doi.org/10.1111/j.2517-6161.1996.tb02080.x" TargetMode="External" /><Relationship Type="http://schemas.openxmlformats.org/officeDocument/2006/relationships/hyperlink" Id="rId99" Target="https://doi.org/10.1177/0956797611417632" TargetMode="External" /><Relationship Type="http://schemas.openxmlformats.org/officeDocument/2006/relationships/hyperlink" Id="rId69" Target="https://doi.org/10.1177/0956797613499923" TargetMode="External" /><Relationship Type="http://schemas.openxmlformats.org/officeDocument/2006/relationships/hyperlink" Id="rId79" Target="https://doi.org/10.1186/1471-2288-14-49" TargetMode="External" /><Relationship Type="http://schemas.openxmlformats.org/officeDocument/2006/relationships/hyperlink" Id="rId91" Target="https://doi.org/10.1186/1745-6215-15-139" TargetMode="External" /><Relationship Type="http://schemas.openxmlformats.org/officeDocument/2006/relationships/hyperlink" Id="rId89" Target="https://doi.org/10.1371/journal.pmed.0020124" TargetMode="External" /><Relationship Type="http://schemas.openxmlformats.org/officeDocument/2006/relationships/hyperlink" Id="rId81" Target="https://doi.org/10.1371/journal.pone.0010068" TargetMode="External" /><Relationship Type="http://schemas.openxmlformats.org/officeDocument/2006/relationships/hyperlink" Id="rId73"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94"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2026-06-20T02:33:19Z</dcterms:created>
  <dcterms:modified xsi:type="dcterms:W3CDTF">2026-06-20T02:33:19Z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Including covariates when testing an experimentally manipulated independent variable (X) can reduce Type II error by accounting for additional variance in the outcome. Selecting optimal covariates, however, is challenging. Iterating over many covariates and retaining only those that increase the X effect (p-hacking) substantially inflates Type I error. Consequently, researchers often adopt two extremes: including no covariates or all covariates. Although these approaches do not nominally increase Type I error rates, both fail to maximize power. Data-driven approaches may offer a more effective alternative.We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(p-hacking, linear models that screen each covariate separately without and with X, linear models that screen all covariates simultaneously without and with X, and LASSO models that screen all covariates simultaneously without and with X).We calculated the probability of Type I and Type II errors across methods and research contexts. Our results provide strong evidence of the benefits of using covariates and practical guidance for selecting covariates in experimental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2026-06-19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