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2026-05-05</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 and without</w:t>
      </w:r>
      <w:r>
        <w:t xml:space="preserve"> </w:t>
      </w:r>
      <m:oMath>
        <m:r>
          <m:t>X</m:t>
        </m:r>
      </m:oMath>
      <w:r>
        <w:t xml:space="preserve">, linear models that screen all covariates simultaneously with and without</w:t>
      </w:r>
      <w:r>
        <w:t xml:space="preserve"> </w:t>
      </w:r>
      <m:oMath>
        <m:r>
          <m:t>X</m:t>
        </m:r>
      </m:oMath>
      <w:r>
        <w:t xml:space="preserve">, and LASSO models that screen all covariates simultaneously with and without</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include or exclude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include or exclude</w:t>
      </w:r>
      <w:r>
        <w:t xml:space="preserve"> </w:t>
      </w:r>
      <m:oMath>
        <m:r>
          <m:t>X</m:t>
        </m:r>
      </m:oMath>
      <w:r>
        <w:t xml:space="preserve"> </w:t>
      </w:r>
      <w:r>
        <w:t xml:space="preserve">in the screening models (notated as with or w/o</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with</w:t>
      </w:r>
      <w:r>
        <w:t xml:space="preserve"> </w:t>
      </w:r>
      <m:oMath>
        <m:r>
          <m:t>X</m:t>
        </m:r>
      </m:oMath>
      <w:r>
        <w:t xml:space="preserve">, separate cov lm w/o</w:t>
      </w:r>
      <w:r>
        <w:t xml:space="preserve"> </w:t>
      </w:r>
      <m:oMath>
        <m:r>
          <m:t>X</m:t>
        </m:r>
      </m:oMath>
      <w:r>
        <w:t xml:space="preserve">, simultaneous cov lm with</w:t>
      </w:r>
      <w:r>
        <w:t xml:space="preserve"> </w:t>
      </w:r>
      <m:oMath>
        <m:r>
          <m:t>X</m:t>
        </m:r>
      </m:oMath>
      <w:r>
        <w:t xml:space="preserve">, and simultaneous cov lm w/o</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with</w:t>
      </w:r>
      <w:r>
        <w:t xml:space="preserve"> </w:t>
      </w:r>
      <m:oMath>
        <m:r>
          <m:t>X</m:t>
        </m:r>
      </m:oMath>
      <w:r>
        <w:t xml:space="preserve"> </w:t>
      </w:r>
      <w:r>
        <w:t xml:space="preserve">and simultaneous cov LASS w/o</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w:t>
      </w:r>
      <w:r>
        <w:t xml:space="preserve"> </w:t>
      </w:r>
      <w:r>
        <w:t xml:space="preserve">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traditional no covariates approach</w:t>
      </w:r>
      <w:r>
        <w:t xml:space="preserve">),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hyperlink w:anchor="tbl-rec">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rec"/>
          <w:p>
            <w:pPr>
              <w:jc w:val="center"/>
            </w:pPr>
            <w:pPr>
              <w:jc w:val="left"/>
              <w:spacing w:before="200"/>
              <w:pStyle w:val="ImageCaption"/>
            </w:pPr>
            <w:r>
              <w:t xml:space="preserve">Table 4: Summary of selection methods, evaluation of bias and Type I and II error rates, and recommendations.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Method</w:t>
                  </w:r>
                </w:p>
              </w:tc>
              <w:tc>
                <w:tcPr/>
                <w:p>
                  <w:pPr>
                    <w:pStyle w:val="Compact"/>
                    <w:jc w:val="left"/>
                    <w:jc w:val="center"/>
                  </w:pPr>
                  <w:r>
                    <w:t xml:space="preserve">Bias</w:t>
                  </w:r>
                </w:p>
              </w:tc>
              <w:tc>
                <w:tcPr/>
                <w:p>
                  <w:pPr>
                    <w:pStyle w:val="Compact"/>
                    <w:jc w:val="left"/>
                    <w:jc w:val="center"/>
                  </w:pPr>
                  <w:r>
                    <w:t xml:space="preserve">Type I error</w:t>
                  </w:r>
                </w:p>
              </w:tc>
              <w:tc>
                <w:tcPr/>
                <w:p>
                  <w:pPr>
                    <w:pStyle w:val="Compact"/>
                    <w:jc w:val="left"/>
                    <w:jc w:val="center"/>
                  </w:pPr>
                  <w:r>
                    <w:t xml:space="preserve">Type II error</w:t>
                  </w:r>
                </w:p>
              </w:tc>
              <w:tc>
                <w:tcPr/>
                <w:p>
                  <w:pPr>
                    <w:pStyle w:val="Compact"/>
                    <w:jc w:val="left"/>
                    <w:jc w:val="center"/>
                  </w:pPr>
                  <w:r>
                    <w:t xml:space="preserve">Recommendation</w:t>
                  </w:r>
                </w:p>
              </w:tc>
              <w:tc>
                <w:tcPr/>
                <w:p>
                  <w:pPr>
                    <w:pStyle w:val="Compact"/>
                    <w:jc w:val="left"/>
                    <w:jc w:val="center"/>
                  </w:pPr>
                  <w:r>
                    <w:t xml:space="preserve">Notes</w:t>
                  </w:r>
                </w:p>
              </w:tc>
            </w:tr>
            <w:tr>
              <w:tc>
                <w:tcPr/>
                <w:p>
                  <w:pPr>
                    <w:pStyle w:val="Compact"/>
                    <w:jc w:val="left"/>
                    <w:jc w:val="center"/>
                  </w:pPr>
                  <w:r>
                    <w:t xml:space="preserve">No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jc w:val="left"/>
                    <w:jc w:val="center"/>
                  </w:pPr>
                  <w:r>
                    <w:t xml:space="preserve">0.449</w:t>
                  </w:r>
                </w:p>
              </w:tc>
              <w:tc>
                <w:tcPr/>
                <w:p>
                  <w:pPr>
                    <w:pStyle w:val="Compact"/>
                  </w:pPr>
                </w:p>
              </w:tc>
              <w:tc>
                <w:tcPr/>
                <w:p>
                  <w:pPr>
                    <w:pStyle w:val="Compact"/>
                  </w:pPr>
                </w:p>
              </w:tc>
            </w:tr>
            <w:tr>
              <w:tc>
                <w:tcPr/>
                <w:p>
                  <w:pPr>
                    <w:pStyle w:val="Compact"/>
                    <w:jc w:val="left"/>
                    <w:jc w:val="center"/>
                  </w:pPr>
                  <w:r>
                    <w:t xml:space="preserve">All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pPr>
                </w:p>
              </w:tc>
              <w:tc>
                <w:tcPr/>
                <w:p>
                  <w:pPr>
                    <w:pStyle w:val="Compact"/>
                  </w:pPr>
                </w:p>
              </w:tc>
              <w:tc>
                <w:tcPr/>
                <w:p>
                  <w:pPr>
                    <w:pStyle w:val="Compact"/>
                  </w:pPr>
                </w:p>
              </w:tc>
            </w:tr>
            <w:tr>
              <w:tc>
                <w:tcPr/>
                <w:p>
                  <w:pPr>
                    <w:pStyle w:val="Compact"/>
                    <w:jc w:val="left"/>
                    <w:jc w:val="center"/>
                  </w:pPr>
                  <w:r>
                    <w:t xml:space="preserve">p-hacking</w:t>
                  </w:r>
                </w:p>
              </w:tc>
              <w:tc>
                <w:tcPr/>
                <w:p>
                  <w:pPr>
                    <w:pStyle w:val="Compact"/>
                    <w:jc w:val="left"/>
                    <w:jc w:val="center"/>
                  </w:pPr>
                  <w:r>
                    <w:t xml:space="preserve">unacceptable</w:t>
                  </w:r>
                </w:p>
              </w:tc>
              <w:tc>
                <w:tcPr/>
                <w:p>
                  <w:pPr>
                    <w:pStyle w:val="Compact"/>
                    <w:jc w:val="left"/>
                    <w:jc w:val="center"/>
                  </w:pPr>
                  <w:r>
                    <w:t xml:space="preserve">0.198</w:t>
                  </w:r>
                </w:p>
              </w:tc>
              <w:tc>
                <w:tcPr/>
                <w:p>
                  <w:pPr>
                    <w:pStyle w:val="Compact"/>
                    <w:jc w:val="left"/>
                    <w:jc w:val="center"/>
                  </w:pPr>
                  <w:r>
                    <w:t xml:space="preserve">0.358</w:t>
                  </w:r>
                </w:p>
              </w:tc>
              <w:tc>
                <w:tcPr/>
                <w:p>
                  <w:pPr>
                    <w:pStyle w:val="Compact"/>
                  </w:pPr>
                </w:p>
              </w:tc>
              <w:tc>
                <w:tcPr/>
                <w:p>
                  <w:pPr>
                    <w:pStyle w:val="Compact"/>
                  </w:pPr>
                </w:p>
              </w:tc>
            </w:tr>
            <w:tr>
              <w:tc>
                <w:tcPr/>
                <w:p>
                  <w:pPr>
                    <w:pStyle w:val="Compact"/>
                    <w:jc w:val="left"/>
                    <w:jc w:val="center"/>
                  </w:pPr>
                  <w:r>
                    <w:t xml:space="preserve">Separate cov lm with X</w:t>
                  </w:r>
                </w:p>
              </w:tc>
              <w:tc>
                <w:tcPr/>
                <w:p>
                  <w:pPr>
                    <w:pStyle w:val="Compact"/>
                    <w:jc w:val="left"/>
                    <w:jc w:val="center"/>
                  </w:pPr>
                  <w:r>
                    <w:t xml:space="preserve">none</w:t>
                  </w:r>
                </w:p>
              </w:tc>
              <w:tc>
                <w:tcPr/>
                <w:p>
                  <w:pPr>
                    <w:pStyle w:val="Compact"/>
                    <w:jc w:val="left"/>
                    <w:jc w:val="center"/>
                  </w:pPr>
                  <w:r>
                    <w:t xml:space="preserve">0.052</w:t>
                  </w:r>
                </w:p>
              </w:tc>
              <w:tc>
                <w:tcPr/>
                <w:p>
                  <w:pPr>
                    <w:pStyle w:val="Compact"/>
                    <w:jc w:val="left"/>
                    <w:jc w:val="center"/>
                  </w:pPr>
                  <w:r>
                    <w:t xml:space="preserve">0.341</w:t>
                  </w:r>
                </w:p>
              </w:tc>
              <w:tc>
                <w:tcPr/>
                <w:p>
                  <w:pPr>
                    <w:pStyle w:val="Compact"/>
                  </w:pPr>
                </w:p>
              </w:tc>
              <w:tc>
                <w:tcPr/>
                <w:p>
                  <w:pPr>
                    <w:pStyle w:val="Compact"/>
                  </w:pPr>
                </w:p>
              </w:tc>
            </w:tr>
            <w:tr>
              <w:tc>
                <w:tcPr/>
                <w:p>
                  <w:pPr>
                    <w:pStyle w:val="Compact"/>
                    <w:jc w:val="left"/>
                    <w:jc w:val="center"/>
                  </w:pPr>
                  <w:r>
                    <w:t xml:space="preserve">Separate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0.347</w:t>
                  </w:r>
                </w:p>
              </w:tc>
              <w:tc>
                <w:tcPr/>
                <w:p>
                  <w:pPr>
                    <w:pStyle w:val="Compact"/>
                  </w:pPr>
                </w:p>
              </w:tc>
              <w:tc>
                <w:tcPr/>
                <w:p>
                  <w:pPr>
                    <w:pStyle w:val="Compact"/>
                  </w:pPr>
                </w:p>
              </w:tc>
            </w:tr>
            <w:tr>
              <w:tc>
                <w:tcPr/>
                <w:p>
                  <w:pPr>
                    <w:pStyle w:val="Compact"/>
                    <w:jc w:val="left"/>
                    <w:jc w:val="center"/>
                  </w:pPr>
                  <w:r>
                    <w:t xml:space="preserve">Simultaneous cov lm with X</w:t>
                  </w:r>
                </w:p>
              </w:tc>
              <w:tc>
                <w:tcPr/>
                <w:p>
                  <w:pPr>
                    <w:pStyle w:val="Compact"/>
                    <w:jc w:val="left"/>
                    <w:jc w:val="center"/>
                  </w:pPr>
                  <w:r>
                    <w:t xml:space="preserve">none</w:t>
                  </w:r>
                </w:p>
              </w:tc>
              <w:tc>
                <w:tcPr/>
                <w:p>
                  <w:pPr>
                    <w:pStyle w:val="Compact"/>
                    <w:jc w:val="left"/>
                    <w:jc w:val="center"/>
                  </w:pPr>
                  <w:r>
                    <w:t xml:space="preserve">0.060</w:t>
                  </w:r>
                </w:p>
              </w:tc>
              <w:tc>
                <w:tcPr/>
                <w:p>
                  <w:pPr>
                    <w:pStyle w:val="Compact"/>
                    <w:jc w:val="left"/>
                    <w:jc w:val="center"/>
                  </w:pPr>
                  <w:r>
                    <w:t xml:space="preserve">0.345</w:t>
                  </w:r>
                </w:p>
              </w:tc>
              <w:tc>
                <w:tcPr/>
                <w:p>
                  <w:pPr>
                    <w:pStyle w:val="Compact"/>
                  </w:pPr>
                </w:p>
              </w:tc>
              <w:tc>
                <w:tcPr/>
                <w:p>
                  <w:pPr>
                    <w:pStyle w:val="Compact"/>
                  </w:pPr>
                </w:p>
              </w:tc>
            </w:tr>
            <w:tr>
              <w:tc>
                <w:tcPr/>
                <w:p>
                  <w:pPr>
                    <w:pStyle w:val="Compact"/>
                    <w:jc w:val="left"/>
                    <w:jc w:val="center"/>
                  </w:pPr>
                  <w:r>
                    <w:t xml:space="preserve">Simultaneous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0.368</w:t>
                  </w:r>
                </w:p>
              </w:tc>
              <w:tc>
                <w:tcPr/>
                <w:p>
                  <w:pPr>
                    <w:pStyle w:val="Compact"/>
                  </w:pPr>
                </w:p>
              </w:tc>
              <w:tc>
                <w:tcPr/>
                <w:p>
                  <w:pPr>
                    <w:pStyle w:val="Compact"/>
                  </w:pPr>
                </w:p>
              </w:tc>
            </w:tr>
            <w:tr>
              <w:tc>
                <w:tcPr/>
                <w:p>
                  <w:pPr>
                    <w:pStyle w:val="Compact"/>
                    <w:jc w:val="left"/>
                    <w:jc w:val="center"/>
                  </w:pPr>
                  <w:r>
                    <w:t xml:space="preserve">Simultaneous cov LASSO with X</w:t>
                  </w:r>
                </w:p>
              </w:tc>
              <w:tc>
                <w:tcPr/>
                <w:p>
                  <w:pPr>
                    <w:pStyle w:val="Compact"/>
                    <w:jc w:val="left"/>
                    <w:jc w:val="center"/>
                  </w:pPr>
                  <w:r>
                    <w:t xml:space="preserve">none</w:t>
                  </w:r>
                </w:p>
              </w:tc>
              <w:tc>
                <w:tcPr/>
                <w:p>
                  <w:pPr>
                    <w:pStyle w:val="Compact"/>
                    <w:jc w:val="left"/>
                    <w:jc w:val="center"/>
                  </w:pPr>
                  <w:r>
                    <w:t xml:space="preserve">0.057</w:t>
                  </w:r>
                </w:p>
              </w:tc>
              <w:tc>
                <w:tcPr/>
                <w:p>
                  <w:pPr>
                    <w:pStyle w:val="Compact"/>
                    <w:jc w:val="left"/>
                    <w:jc w:val="center"/>
                  </w:pPr>
                  <w:r>
                    <w:t xml:space="preserve">0.337</w:t>
                  </w:r>
                </w:p>
              </w:tc>
              <w:tc>
                <w:tcPr/>
                <w:p>
                  <w:pPr>
                    <w:pStyle w:val="Compact"/>
                  </w:pPr>
                </w:p>
              </w:tc>
              <w:tc>
                <w:tcPr/>
                <w:p>
                  <w:pPr>
                    <w:pStyle w:val="Compact"/>
                  </w:pPr>
                </w:p>
              </w:tc>
            </w:tr>
            <w:tr>
              <w:tc>
                <w:tcPr/>
                <w:p>
                  <w:pPr>
                    <w:pStyle w:val="Compact"/>
                    <w:jc w:val="left"/>
                    <w:jc w:val="center"/>
                  </w:pPr>
                  <w:r>
                    <w:t xml:space="preserve">Simultaneous cov LASSO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0.352</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Tables for Main Manuscript</w:t>
        </w:r>
      </w:hyperlink>
    </w:p>
    <w:bookmarkEnd w:id="65"/>
    <w:bookmarkStart w:id="106" w:name="references"/>
    <w:p>
      <w:pPr>
        <w:pStyle w:val="Heading1"/>
      </w:pPr>
      <w:r>
        <w:t xml:space="preserve">References</w:t>
      </w:r>
    </w:p>
    <w:bookmarkStart w:id="105"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8">
        <w:r>
          <w:rPr>
            <w:rStyle w:val="Hyperlink"/>
          </w:rPr>
          <w:t xml:space="preserve">https://doi.org/10.1177/0956797613499923</w:t>
        </w:r>
      </w:hyperlink>
      <w:r>
        <w:t xml:space="preserve">.</w:t>
      </w:r>
    </w:p>
    <w:bookmarkEnd w:id="69"/>
    <w:bookmarkStart w:id="7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0">
        <w:r>
          <w:rPr>
            <w:rStyle w:val="Hyperlink"/>
          </w:rPr>
          <w:t xml:space="preserve">https://doi.org/10.1038/nrn3475</w:t>
        </w:r>
      </w:hyperlink>
      <w:r>
        <w:t xml:space="preserve">.</w:t>
      </w:r>
    </w:p>
    <w:bookmarkEnd w:id="71"/>
    <w:bookmarkStart w:id="7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2">
        <w:r>
          <w:rPr>
            <w:rStyle w:val="Hyperlink"/>
          </w:rPr>
          <w:t xml:space="preserve">https://doi.org/10.21231/GNT1-HW21</w:t>
        </w:r>
      </w:hyperlink>
      <w:r>
        <w:t xml:space="preserve">.</w:t>
      </w:r>
    </w:p>
    <w:bookmarkEnd w:id="73"/>
    <w:bookmarkStart w:id="7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4">
        <w:r>
          <w:rPr>
            <w:rStyle w:val="Hyperlink"/>
          </w:rPr>
          <w:t xml:space="preserve">https://doi.org/10.1037/h0045186</w:t>
        </w:r>
      </w:hyperlink>
      <w:r>
        <w:t xml:space="preserve">.</w:t>
      </w:r>
    </w:p>
    <w:bookmarkEnd w:id="75"/>
    <w:bookmarkStart w:id="7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6"/>
    <w:bookmarkStart w:id="7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7"/>
    <w:bookmarkStart w:id="7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8">
        <w:r>
          <w:rPr>
            <w:rStyle w:val="Hyperlink"/>
          </w:rPr>
          <w:t xml:space="preserve">https://doi.org/10.1186/1471-2288-14-49</w:t>
        </w:r>
      </w:hyperlink>
      <w:r>
        <w:t xml:space="preserve">.</w:t>
      </w:r>
    </w:p>
    <w:bookmarkEnd w:id="79"/>
    <w:bookmarkStart w:id="81"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0">
        <w:r>
          <w:rPr>
            <w:rStyle w:val="Hyperlink"/>
          </w:rPr>
          <w:t xml:space="preserve">https://doi.org/10.1037/a0033407</w:t>
        </w:r>
      </w:hyperlink>
      <w:r>
        <w:t xml:space="preserve">.</w:t>
      </w:r>
    </w:p>
    <w:bookmarkEnd w:id="81"/>
    <w:bookmarkStart w:id="83"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2">
        <w:r>
          <w:rPr>
            <w:rStyle w:val="Hyperlink"/>
          </w:rPr>
          <w:t xml:space="preserve">https://doi.org/10.1016/j.annepidem.2005.09.007</w:t>
        </w:r>
      </w:hyperlink>
      <w:r>
        <w:t xml:space="preserve">.</w:t>
      </w:r>
    </w:p>
    <w:bookmarkEnd w:id="83"/>
    <w:bookmarkStart w:id="85"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4">
        <w:r>
          <w:rPr>
            <w:rStyle w:val="Hyperlink"/>
          </w:rPr>
          <w:t xml:space="preserve">https://doi.org/10.1016/j.jclinepi.2003.09.014</w:t>
        </w:r>
      </w:hyperlink>
      <w:r>
        <w:t xml:space="preserve">.</w:t>
      </w:r>
    </w:p>
    <w:bookmarkEnd w:id="85"/>
    <w:bookmarkStart w:id="87"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6">
        <w:r>
          <w:rPr>
            <w:rStyle w:val="Hyperlink"/>
          </w:rPr>
          <w:t xml:space="preserve">https://doi.org/10.1371/journal.pmed.0020124</w:t>
        </w:r>
      </w:hyperlink>
      <w:r>
        <w:t xml:space="preserve">.</w:t>
      </w:r>
    </w:p>
    <w:bookmarkEnd w:id="87"/>
    <w:bookmarkStart w:id="89"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8">
        <w:r>
          <w:rPr>
            <w:rStyle w:val="Hyperlink"/>
          </w:rPr>
          <w:t xml:space="preserve">https://doi.org/10.1186/1745-6215-15-139</w:t>
        </w:r>
      </w:hyperlink>
      <w:r>
        <w:t xml:space="preserve">.</w:t>
      </w:r>
    </w:p>
    <w:bookmarkEnd w:id="89"/>
    <w:bookmarkStart w:id="90"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0"/>
    <w:bookmarkStart w:id="92" w:name="Xacb972bec6951688223e59e5436f5358068fdee"/>
    <w:p>
      <w:pPr>
        <w:pStyle w:val="Bibliography"/>
      </w:pPr>
      <w:r>
        <w:t xml:space="preserve">Miller, G A, and J P Chapman. 2001.</w:t>
      </w:r>
      <w:r>
        <w:t xml:space="preserve"> </w:t>
      </w:r>
      <w:r>
        <w:t xml:space="preserve">“</w:t>
      </w:r>
      <w:hyperlink r:id="rId91">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2"/>
    <w:bookmarkStart w:id="93"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3"/>
    <w:bookmarkStart w:id="9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4">
        <w:r>
          <w:rPr>
            <w:rStyle w:val="Hyperlink"/>
          </w:rPr>
          <w:t xml:space="preserve">https://doi.org/10.1080/03610928508828942</w:t>
        </w:r>
      </w:hyperlink>
      <w:r>
        <w:t xml:space="preserve">.</w:t>
      </w:r>
    </w:p>
    <w:bookmarkEnd w:id="95"/>
    <w:bookmarkStart w:id="9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6">
        <w:r>
          <w:rPr>
            <w:rStyle w:val="Hyperlink"/>
          </w:rPr>
          <w:t xml:space="preserve">https://doi.org/10.1177/0956797611417632</w:t>
        </w:r>
      </w:hyperlink>
      <w:r>
        <w:t xml:space="preserve">.</w:t>
      </w:r>
    </w:p>
    <w:bookmarkEnd w:id="97"/>
    <w:bookmarkStart w:id="9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8">
        <w:r>
          <w:rPr>
            <w:rStyle w:val="Hyperlink"/>
          </w:rPr>
          <w:t xml:space="preserve">https://doi.org/10.1037/a0033242</w:t>
        </w:r>
      </w:hyperlink>
      <w:r>
        <w:t xml:space="preserve">.</w:t>
      </w:r>
    </w:p>
    <w:bookmarkEnd w:id="99"/>
    <w:bookmarkStart w:id="10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0">
        <w:r>
          <w:rPr>
            <w:rStyle w:val="Hyperlink"/>
          </w:rPr>
          <w:t xml:space="preserve">https://doi.org/10.1016/j.jclinepi.2014.11.001</w:t>
        </w:r>
      </w:hyperlink>
      <w:r>
        <w:t xml:space="preserve">.</w:t>
      </w:r>
    </w:p>
    <w:bookmarkEnd w:id="101"/>
    <w:bookmarkStart w:id="103"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2">
        <w:r>
          <w:rPr>
            <w:rStyle w:val="Hyperlink"/>
          </w:rPr>
          <w:t xml:space="preserve">https://doi.org/10.1111/j.2517-6161.1996.tb02080.x</w:t>
        </w:r>
      </w:hyperlink>
      <w:r>
        <w:t xml:space="preserve">.</w:t>
      </w:r>
    </w:p>
    <w:bookmarkEnd w:id="103"/>
    <w:bookmarkStart w:id="10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2026-05-05T14:58:08Z</dcterms:created>
  <dcterms:modified xsi:type="dcterms:W3CDTF">2026-05-05T14:58:08Z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 and without X, linear models that screen all covariates simultaneously with and without X, and LASSO models that screen all covariates simultaneously with and without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2026-05-05</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