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2025-12-03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 These concerns have led to a replication crisis and have prompted increased caution and consideration around researcher decisions in statistical tests.</w:t>
      </w:r>
      <w:r>
        <w:t xml:space="preserve"> </w:t>
      </w:r>
      <w:r>
        <w:t xml:space="preserve"> </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contexts. These contexts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(single covariate linear model, all covariates linear model, and all covariates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context.</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variables designed to mimic varying research contexts that psychology researchers might be working in. We crossed all levels of each variable to create a total of 540 unique research contexts.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“good”</w:t>
      </w:r>
      <w:r>
        <w:t xml:space="preserve"> </w:t>
      </w:r>
      <w:r>
        <w:t xml:space="preserve">covariates. We used varying proportions of good covariates across research contexts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w:t>
      </w:r>
      <w:r>
        <w:t xml:space="preserve"> </w:t>
      </w:r>
      <w:r>
        <w:t xml:space="preserve"> </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0.3,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all covariates linear model with</w:t>
      </w:r>
      <w:r>
        <w:t xml:space="preserve"> </w:t>
      </w:r>
      <w:r>
        <w:rPr>
          <w:i/>
          <w:iCs/>
        </w:rPr>
        <w:t xml:space="preserve">X</w:t>
      </w:r>
      <w:r>
        <w:t xml:space="preserve"> </w:t>
      </w:r>
      <w:r>
        <w:t xml:space="preserve">and all covariates LASSO with</w:t>
      </w:r>
      <w:r>
        <w:t xml:space="preserve"> </w:t>
      </w:r>
      <w:r>
        <w:rPr>
          <w:i/>
          <w:iCs/>
        </w:rPr>
        <w:t xml:space="preserve">X</w:t>
      </w:r>
      <w:r>
        <w:t xml:space="preserve">, and to a lesser degree single covariate linear model.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2.5-fold increase from the 4-covariate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2025-12-04T00:35:45Z</dcterms:created>
  <dcterms:modified xsi:type="dcterms:W3CDTF">2025-12-04T00:35:45Z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2025-12-03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