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Lauren</w:t>
      </w:r>
      <w:r>
        <w:t xml:space="preserve"> </w:t>
      </w:r>
      <w:r>
        <w:t xml:space="preserve">Khoury</w:t>
      </w:r>
    </w:p>
    <w:p>
      <w:pPr>
        <w:pStyle w:val="Author"/>
      </w:pPr>
      <w:r>
        <w:t xml:space="preserve">Kendra</w:t>
      </w:r>
      <w:r>
        <w:t xml:space="preserve"> </w:t>
      </w:r>
      <w:r>
        <w:t xml:space="preserve">Wyant</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2025-11-14</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w:t>
      </w:r>
      <w:r>
        <w:t xml:space="preserve">good</w:t>
      </w:r>
      <w:r>
        <w:t xml:space="preserve">”</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62"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810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right"/>
                    <w:jc w:val="center"/>
                  </w:pPr>
                  <w:r>
                    <w:t xml:space="preserve">b_x = 0</w:t>
                  </w:r>
                </w:p>
              </w:tc>
              <w:tc>
                <w:tcPr/>
                <w:p>
                  <w:pPr>
                    <w:pStyle w:val="Compact"/>
                    <w:jc w:val="right"/>
                    <w:jc w:val="center"/>
                  </w:pPr>
                  <w:r>
                    <w:t xml:space="preserve">b_x = .3</w:t>
                  </w:r>
                </w:p>
              </w:tc>
              <w:tc>
                <w:tcPr/>
                <w:p>
                  <w:pPr>
                    <w:pStyle w:val="Compact"/>
                    <w:jc w:val="right"/>
                    <w:jc w:val="center"/>
                  </w:pPr>
                  <w:r>
                    <w:t xml:space="preserve">b_x = .5</w:t>
                  </w:r>
                </w:p>
              </w:tc>
            </w:tr>
            <w:tr>
              <w:tc>
                <w:tcPr/>
                <w:p>
                  <w:pPr>
                    <w:pStyle w:val="Compact"/>
                    <w:jc w:val="left"/>
                    <w:jc w:val="center"/>
                  </w:pPr>
                  <w:r>
                    <w:t xml:space="preserve">p-hacking</w:t>
                  </w:r>
                </w:p>
              </w:tc>
              <w:tc>
                <w:tcPr/>
                <w:p>
                  <w:pPr>
                    <w:pStyle w:val="Compact"/>
                    <w:jc w:val="right"/>
                    <w:jc w:val="center"/>
                  </w:pPr>
                  <w:r>
                    <w:t xml:space="preserve">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No covariates</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Single covariate lm</w:t>
                  </w:r>
                </w:p>
              </w:tc>
              <w:tc>
                <w:tcPr/>
                <w:p>
                  <w:pPr>
                    <w:pStyle w:val="Compact"/>
                    <w:jc w:val="right"/>
                    <w:jc w:val="center"/>
                  </w:pPr>
                  <w:r>
                    <w:t xml:space="preserve">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w:t>
                  </w:r>
                </w:p>
              </w:tc>
              <w:tc>
                <w:tcPr/>
                <w:p>
                  <w:pPr>
                    <w:pStyle w:val="Compact"/>
                    <w:jc w:val="right"/>
                    <w:jc w:val="center"/>
                  </w:pPr>
                  <w:r>
                    <w:t xml:space="preserve">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w:t>
                  </w:r>
                </w:p>
              </w:tc>
              <w:tc>
                <w:tcPr/>
                <w:p>
                  <w:pPr>
                    <w:pStyle w:val="Compact"/>
                    <w:jc w:val="right"/>
                    <w:jc w:val="center"/>
                  </w:pPr>
                  <w:r>
                    <w:t xml:space="preserve">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right"/>
                    <w:jc w:val="center"/>
                  </w:pPr>
                  <w:r>
                    <w:t xml:space="preserve">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Start w:id="53" w:name="X171b6f861f3aa5667fe622e0e08d2d8cd2b933e"/>
    <w:p>
      <w:pPr>
        <w:pStyle w:val="Heading4"/>
      </w:pPr>
      <w:r>
        <w:t xml:space="preserve">1. Don’t p hack and other type I error conclusions</w:t>
      </w:r>
    </w:p>
    <w:bookmarkEnd w:id="53"/>
    <w:bookmarkStart w:id="54" w:name="X7840189bc882c2298dc5239e66f72ba94bcc566"/>
    <w:p>
      <w:pPr>
        <w:pStyle w:val="Heading4"/>
      </w:pPr>
      <w:r>
        <w:t xml:space="preserve">2. Use covariates and other type II error conclusions</w:t>
      </w:r>
    </w:p>
    <w:bookmarkEnd w:id="54"/>
    <w:bookmarkStart w:id="55" w:name="Xa35707983fd21013acacaa943b7986ba4bd4e8a"/>
    <w:p>
      <w:pPr>
        <w:pStyle w:val="Heading4"/>
      </w:pPr>
      <w:r>
        <w:t xml:space="preserve">3. In many instances you can use all covariates</w:t>
      </w:r>
    </w:p>
    <w:bookmarkEnd w:id="55"/>
    <w:bookmarkStart w:id="56" w:name="X4854958f85c0919bb4b92f919a9cc75c4c02f24"/>
    <w:p>
      <w:pPr>
        <w:pStyle w:val="Heading4"/>
      </w:pPr>
      <w:r>
        <w:t xml:space="preserve">4. Compare candidate selection methods (R and partial R - comparable in power, one slight increase in type 1 and 1 small biasing in parameter estimates) might improve power in certain research settings (low n, large number of covariates). Describe departure in type 1 error by comparing with other violations - normality (trivial)</w:t>
      </w:r>
    </w:p>
    <w:bookmarkEnd w:id="56"/>
    <w:bookmarkStart w:id="57" w:name="X1fa97cb1391865afe2e1512bf776634612c4531"/>
    <w:p>
      <w:pPr>
        <w:pStyle w:val="Heading4"/>
      </w:pPr>
      <w:r>
        <w:t xml:space="preserve">5. Don’t run with n = 50 but acknowledge difficulty in reaching conclusions</w:t>
      </w:r>
    </w:p>
    <w:bookmarkEnd w:id="57"/>
    <w:bookmarkStart w:id="58" w:name="X83dff15730192dc336cd88a1061270059da0e24"/>
    <w:p>
      <w:pPr>
        <w:pStyle w:val="Heading4"/>
      </w:pPr>
      <w:r>
        <w:t xml:space="preserve">6. Alternative type of covariate not addressed in this study - Measured covariates after baseline (reasonably sure that they were not affected by x). Another use of covariates is for controlling but that is different and more complicated.</w:t>
      </w:r>
    </w:p>
    <w:bookmarkEnd w:id="58"/>
    <w:bookmarkStart w:id="59" w:name="Xdd2ccb7257dc19bc9050bd5cc868098993a2b8a"/>
    <w:p>
      <w:pPr>
        <w:pStyle w:val="Heading4"/>
      </w:pPr>
      <w:r>
        <w:t xml:space="preserve">7. Why we get biased parameter estimates with x</w:t>
      </w:r>
    </w:p>
    <w:bookmarkEnd w:id="59"/>
    <w:bookmarkStart w:id="60" w:name="final-conclusions"/>
    <w:p>
      <w:pPr>
        <w:pStyle w:val="Heading4"/>
      </w:pPr>
      <w:r>
        <w:t xml:space="preserve">8. Final Conclusions</w:t>
      </w:r>
    </w:p>
    <w:bookmarkEnd w:id="60"/>
    <w:bookmarkEnd w:id="61"/>
    <w:bookmarkEnd w:id="62"/>
    <w:bookmarkStart w:id="93" w:name="references"/>
    <w:p>
      <w:pPr>
        <w:pStyle w:val="Heading1"/>
      </w:pPr>
      <w:r>
        <w:t xml:space="preserve">References</w:t>
      </w:r>
    </w:p>
    <w:bookmarkStart w:id="92" w:name="refs"/>
    <w:bookmarkStart w:id="64"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3">
        <w:r>
          <w:rPr>
            <w:rStyle w:val="Hyperlink"/>
          </w:rPr>
          <w:t xml:space="preserve">https://doi.org/10.1016/0197-2456(89)90055-x</w:t>
        </w:r>
      </w:hyperlink>
      <w:r>
        <w:t xml:space="preserve">.</w:t>
      </w:r>
    </w:p>
    <w:bookmarkEnd w:id="64"/>
    <w:bookmarkStart w:id="66"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5">
        <w:r>
          <w:rPr>
            <w:rStyle w:val="Hyperlink"/>
          </w:rPr>
          <w:t xml:space="preserve">https://doi.org/10.1038/nrn3475</w:t>
        </w:r>
      </w:hyperlink>
      <w:r>
        <w:t xml:space="preserve">.</w:t>
      </w:r>
    </w:p>
    <w:bookmarkEnd w:id="66"/>
    <w:bookmarkStart w:id="68"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7">
        <w:r>
          <w:rPr>
            <w:rStyle w:val="Hyperlink"/>
          </w:rPr>
          <w:t xml:space="preserve">https://doi.org/10.21231/GNT1-HW21</w:t>
        </w:r>
      </w:hyperlink>
      <w:r>
        <w:t xml:space="preserve">.</w:t>
      </w:r>
    </w:p>
    <w:bookmarkEnd w:id="68"/>
    <w:bookmarkStart w:id="70"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9">
        <w:r>
          <w:rPr>
            <w:rStyle w:val="Hyperlink"/>
          </w:rPr>
          <w:t xml:space="preserve">https://doi.org/10.1037/h0045186</w:t>
        </w:r>
      </w:hyperlink>
      <w:r>
        <w:t xml:space="preserve">.</w:t>
      </w:r>
    </w:p>
    <w:bookmarkEnd w:id="70"/>
    <w:bookmarkStart w:id="71"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1"/>
    <w:bookmarkStart w:id="72"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2"/>
    <w:bookmarkStart w:id="74"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3">
        <w:r>
          <w:rPr>
            <w:rStyle w:val="Hyperlink"/>
          </w:rPr>
          <w:t xml:space="preserve">https://doi.org/10.1186/1471-2288-14-49</w:t>
        </w:r>
      </w:hyperlink>
      <w:r>
        <w:t xml:space="preserve">.</w:t>
      </w:r>
    </w:p>
    <w:bookmarkEnd w:id="74"/>
    <w:bookmarkStart w:id="7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5">
        <w:r>
          <w:rPr>
            <w:rStyle w:val="Hyperlink"/>
          </w:rPr>
          <w:t xml:space="preserve">https://doi.org/10.1016/j.annepidem.2005.09.007</w:t>
        </w:r>
      </w:hyperlink>
      <w:r>
        <w:t xml:space="preserve">.</w:t>
      </w:r>
    </w:p>
    <w:bookmarkEnd w:id="76"/>
    <w:bookmarkStart w:id="7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7">
        <w:r>
          <w:rPr>
            <w:rStyle w:val="Hyperlink"/>
          </w:rPr>
          <w:t xml:space="preserve">https://doi.org/10.1016/j.jclinepi.2003.09.014</w:t>
        </w:r>
      </w:hyperlink>
      <w:r>
        <w:t xml:space="preserve">.</w:t>
      </w:r>
    </w:p>
    <w:bookmarkEnd w:id="78"/>
    <w:bookmarkStart w:id="8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9">
        <w:r>
          <w:rPr>
            <w:rStyle w:val="Hyperlink"/>
          </w:rPr>
          <w:t xml:space="preserve">https://doi.org/10.1371/journal.pmed.0020124</w:t>
        </w:r>
      </w:hyperlink>
      <w:r>
        <w:t xml:space="preserve">.</w:t>
      </w:r>
    </w:p>
    <w:bookmarkEnd w:id="80"/>
    <w:bookmarkStart w:id="8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1">
        <w:r>
          <w:rPr>
            <w:rStyle w:val="Hyperlink"/>
          </w:rPr>
          <w:t xml:space="preserve">https://doi.org/10.1186/1745-6215-15-139</w:t>
        </w:r>
      </w:hyperlink>
      <w:r>
        <w:t xml:space="preserve">.</w:t>
      </w:r>
    </w:p>
    <w:bookmarkEnd w:id="82"/>
    <w:bookmarkStart w:id="84"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3">
        <w:r>
          <w:rPr>
            <w:rStyle w:val="Hyperlink"/>
          </w:rPr>
          <w:t xml:space="preserve">https://doi.org/10.1080/03610928508828942</w:t>
        </w:r>
      </w:hyperlink>
      <w:r>
        <w:t xml:space="preserve">.</w:t>
      </w:r>
    </w:p>
    <w:bookmarkEnd w:id="84"/>
    <w:bookmarkStart w:id="86"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5">
        <w:r>
          <w:rPr>
            <w:rStyle w:val="Hyperlink"/>
          </w:rPr>
          <w:t xml:space="preserve">https://doi.org/10.1177/0956797611417632</w:t>
        </w:r>
      </w:hyperlink>
      <w:r>
        <w:t xml:space="preserve">.</w:t>
      </w:r>
    </w:p>
    <w:bookmarkEnd w:id="86"/>
    <w:bookmarkStart w:id="88"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7">
        <w:r>
          <w:rPr>
            <w:rStyle w:val="Hyperlink"/>
          </w:rPr>
          <w:t xml:space="preserve">https://doi.org/10.1037/a0033242</w:t>
        </w:r>
      </w:hyperlink>
      <w:r>
        <w:t xml:space="preserve">.</w:t>
      </w:r>
    </w:p>
    <w:bookmarkEnd w:id="88"/>
    <w:bookmarkStart w:id="90"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9">
        <w:r>
          <w:rPr>
            <w:rStyle w:val="Hyperlink"/>
          </w:rPr>
          <w:t xml:space="preserve">https://doi.org/10.1016/j.jclinepi.2014.11.001</w:t>
        </w:r>
      </w:hyperlink>
      <w:r>
        <w:t xml:space="preserve">.</w:t>
      </w:r>
    </w:p>
    <w:bookmarkEnd w:id="90"/>
    <w:bookmarkStart w:id="91"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0197-2456(89)90055-x" TargetMode="External" /><Relationship Type="http://schemas.openxmlformats.org/officeDocument/2006/relationships/hyperlink" Id="rId75" Target="https://doi.org/10.1016/j.annepidem.2005.09.007" TargetMode="External" /><Relationship Type="http://schemas.openxmlformats.org/officeDocument/2006/relationships/hyperlink" Id="rId77" Target="https://doi.org/10.1016/j.jclinepi.2003.09.014" TargetMode="External" /><Relationship Type="http://schemas.openxmlformats.org/officeDocument/2006/relationships/hyperlink" Id="rId89" Target="https://doi.org/10.1016/j.jclinepi.2014.11.001" TargetMode="External" /><Relationship Type="http://schemas.openxmlformats.org/officeDocument/2006/relationships/hyperlink" Id="rId87" Target="https://doi.org/10.1037/a0033242" TargetMode="External" /><Relationship Type="http://schemas.openxmlformats.org/officeDocument/2006/relationships/hyperlink" Id="rId69" Target="https://doi.org/10.1037/h0045186" TargetMode="External" /><Relationship Type="http://schemas.openxmlformats.org/officeDocument/2006/relationships/hyperlink" Id="rId65" Target="https://doi.org/10.1038/nrn3475" TargetMode="External" /><Relationship Type="http://schemas.openxmlformats.org/officeDocument/2006/relationships/hyperlink" Id="rId83" Target="https://doi.org/10.1080/03610928508828942" TargetMode="External" /><Relationship Type="http://schemas.openxmlformats.org/officeDocument/2006/relationships/hyperlink" Id="rId85" Target="https://doi.org/10.1177/0956797611417632" TargetMode="External" /><Relationship Type="http://schemas.openxmlformats.org/officeDocument/2006/relationships/hyperlink" Id="rId73" Target="https://doi.org/10.1186/1471-2288-14-49" TargetMode="External" /><Relationship Type="http://schemas.openxmlformats.org/officeDocument/2006/relationships/hyperlink" Id="rId81" Target="https://doi.org/10.1186/1745-6215-15-139" TargetMode="External" /><Relationship Type="http://schemas.openxmlformats.org/officeDocument/2006/relationships/hyperlink" Id="rId79" Target="https://doi.org/10.1371/journal.pmed.0020124" TargetMode="External" /><Relationship Type="http://schemas.openxmlformats.org/officeDocument/2006/relationships/hyperlink" Id="rId67"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Lauren Khoury; Kendra Wyant; Markus Brauer; John J. Curtin</dc:creator>
  <cp:keywords/>
  <dcterms:created xsi:type="dcterms:W3CDTF">2025-11-16T14:38:45Z</dcterms:created>
  <dcterms:modified xsi:type="dcterms:W3CDTF">2025-11-16T14:38:45Z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2025-11-14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