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23.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2026-05-14</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 and without</w:t>
      </w:r>
      <w:r>
        <w:t xml:space="preserve"> </w:t>
      </w:r>
      <m:oMath>
        <m:r>
          <m:t>X</m:t>
        </m:r>
      </m:oMath>
      <w:r>
        <w:t xml:space="preserve">, linear models that screen all covariates simultaneously with and without</w:t>
      </w:r>
      <w:r>
        <w:t xml:space="preserve"> </w:t>
      </w:r>
      <m:oMath>
        <m:r>
          <m:t>X</m:t>
        </m:r>
      </m:oMath>
      <w:r>
        <w:t xml:space="preserve">, and LASSO models that screen all covariates simultaneously with and without</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9"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et al.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Hernández et al. 2004; Hernández et al. 2006; Kahan et al. 2014; Van Breukelen 2006; Egbewale et al.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 (i.e., rejecting the null hypothesis when it is not false</w:t>
      </w:r>
      <w:r>
        <w:t xml:space="preserve"> </w:t>
      </w:r>
      <w:r>
        <w:t xml:space="preserve">(Simmons et al.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include or exclude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9"/>
    <w:bookmarkStart w:id="20" w:name="methods"/>
    <w:p>
      <w:pPr>
        <w:pStyle w:val="Heading1"/>
      </w:pPr>
      <w:r>
        <w:t xml:space="preserve">Methods</w:t>
      </w:r>
    </w:p>
    <w:bookmarkStart w:id="12"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include or exclude</w:t>
      </w:r>
      <w:r>
        <w:t xml:space="preserve"> </w:t>
      </w:r>
      <m:oMath>
        <m:r>
          <m:t>X</m:t>
        </m:r>
      </m:oMath>
      <w:r>
        <w:t xml:space="preserve"> </w:t>
      </w:r>
      <w:r>
        <w:t xml:space="preserve">in the screening models (notated as with or w/o</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with</w:t>
      </w:r>
      <w:r>
        <w:t xml:space="preserve"> </w:t>
      </w:r>
      <m:oMath>
        <m:r>
          <m:t>X</m:t>
        </m:r>
      </m:oMath>
      <w:r>
        <w:t xml:space="preserve">, separate cov lm w/o</w:t>
      </w:r>
      <w:r>
        <w:t xml:space="preserve"> </w:t>
      </w:r>
      <m:oMath>
        <m:r>
          <m:t>X</m:t>
        </m:r>
      </m:oMath>
      <w:r>
        <w:t xml:space="preserve">, simultaneous cov lm with</w:t>
      </w:r>
      <w:r>
        <w:t xml:space="preserve"> </w:t>
      </w:r>
      <m:oMath>
        <m:r>
          <m:t>X</m:t>
        </m:r>
      </m:oMath>
      <w:r>
        <w:t xml:space="preserve">, and simultaneous cov lm w/o</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with</w:t>
      </w:r>
      <w:r>
        <w:t xml:space="preserve"> </w:t>
      </w:r>
      <m:oMath>
        <m:r>
          <m:t>X</m:t>
        </m:r>
      </m:oMath>
      <w:r>
        <w:t xml:space="preserve"> </w:t>
      </w:r>
      <w:r>
        <w:t xml:space="preserve">and simultaneous cov LASS w/o</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10"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10"/>
          <w:p/>
        </w:tc>
      </w:tr>
    </w:tbl>
    <w:p>
      <w:pPr>
        <w:pStyle w:val="BodyText"/>
      </w:pPr>
      <w:r>
        <w:rPr>
          <w:vertAlign w:val="subscript"/>
        </w:rPr>
        <w:t xml:space="preserve">Source:</w:t>
      </w:r>
      <w:r>
        <w:rPr>
          <w:vertAlign w:val="subscript"/>
        </w:rPr>
        <w:t xml:space="preserve"> </w:t>
      </w:r>
      <w:hyperlink r:id="rId11">
        <w:r>
          <w:rPr>
            <w:rStyle w:val="Hyperlink"/>
            <w:vertAlign w:val="subscript"/>
          </w:rPr>
          <w:t xml:space="preserve">Make Tables for Main Manuscript</w:t>
        </w:r>
      </w:hyperlink>
    </w:p>
    <w:bookmarkEnd w:id="12"/>
    <w:bookmarkStart w:id="15"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13"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13"/>
          <w:p/>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Make Tables for Main Manuscript</w:t>
        </w:r>
      </w:hyperlink>
    </w:p>
    <w:bookmarkEnd w:id="15"/>
    <w:bookmarkStart w:id="19"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17"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17"/>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r>
          <m:rPr>
            <m:sty m:val="p"/>
          </m:rPr>
          <m:t>)</m:t>
        </m:r>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18">
        <w:r>
          <w:rPr>
            <w:rStyle w:val="Hyperlink"/>
          </w:rPr>
          <w:t xml:space="preserve">https://osf.io/zh5gn/</w:t>
        </w:r>
      </w:hyperlink>
      <w:r>
        <w:t xml:space="preserve">).</w:t>
      </w:r>
    </w:p>
    <w:bookmarkEnd w:id="19"/>
    <w:bookmarkEnd w:id="20"/>
    <w:bookmarkStart w:id="51" w:name="results"/>
    <w:p>
      <w:pPr>
        <w:pStyle w:val="Heading1"/>
      </w:pPr>
      <w:r>
        <w:t xml:space="preserve">Results</w:t>
      </w:r>
    </w:p>
    <w:bookmarkStart w:id="28"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distribution-bx"/>
          <w:p>
            <w:pPr>
              <w:pStyle w:val="Compact"/>
              <w:jc w:val="center"/>
            </w:pPr>
            <w:r>
              <w:drawing>
                <wp:inline>
                  <wp:extent cx="5334000" cy="6096000"/>
                  <wp:effectExtent b="0" l="0" r="0" t="0"/>
                  <wp:docPr descr="" title="" id="24" name="Picture"/>
                  <a:graphic>
                    <a:graphicData uri="http://schemas.openxmlformats.org/drawingml/2006/picture">
                      <pic:pic>
                        <pic:nvPicPr>
                          <pic:cNvPr descr="index_files/figure-docx/notebooks-mak_figures-fig-distribution-bx-output-1.png" id="25" name="Picture"/>
                          <pic:cNvPicPr>
                            <a:picLocks noChangeArrowheads="1" noChangeAspect="1"/>
                          </pic:cNvPicPr>
                        </pic:nvPicPr>
                        <pic:blipFill>
                          <a:blip r:embed="rId2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28"/>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et al.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0.289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End w:id="51"/>
    <w:bookmarkStart w:id="54"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et al.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approached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hyperlink w:anchor="tbl-rec">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rec"/>
          <w:p>
            <w:pPr>
              <w:jc w:val="center"/>
            </w:pPr>
            <w:pPr>
              <w:jc w:val="left"/>
              <w:spacing w:before="200"/>
              <w:pStyle w:val="ImageCaption"/>
            </w:pPr>
            <w:r>
              <w:t xml:space="preserve">Table 4: Summary of selection methods, evaluation of bias and Type I and II error rates, and recommendations.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Method</w:t>
                  </w:r>
                </w:p>
              </w:tc>
              <w:tc>
                <w:tcPr/>
                <w:p>
                  <w:pPr>
                    <w:pStyle w:val="Compact"/>
                    <w:jc w:val="left"/>
                    <w:jc w:val="center"/>
                  </w:pPr>
                  <w:r>
                    <w:t xml:space="preserve">Bias</w:t>
                  </w:r>
                </w:p>
              </w:tc>
              <w:tc>
                <w:tcPr/>
                <w:p>
                  <w:pPr>
                    <w:pStyle w:val="Compact"/>
                    <w:jc w:val="left"/>
                    <w:jc w:val="center"/>
                  </w:pPr>
                  <w:r>
                    <w:t xml:space="preserve">Type I error</w:t>
                  </w:r>
                </w:p>
              </w:tc>
              <w:tc>
                <w:tcPr/>
                <w:p>
                  <w:pPr>
                    <w:pStyle w:val="Compact"/>
                    <w:jc w:val="left"/>
                    <w:jc w:val="center"/>
                  </w:pPr>
                  <w:r>
                    <w:t xml:space="preserve">Type II error</w:t>
                  </w:r>
                </w:p>
              </w:tc>
              <w:tc>
                <w:tcPr/>
                <w:p>
                  <w:pPr>
                    <w:pStyle w:val="Compact"/>
                    <w:jc w:val="left"/>
                    <w:jc w:val="center"/>
                  </w:pPr>
                  <w:r>
                    <w:t xml:space="preserve">Recommendation</w:t>
                  </w:r>
                </w:p>
              </w:tc>
              <w:tc>
                <w:tcPr/>
                <w:p>
                  <w:pPr>
                    <w:pStyle w:val="Compact"/>
                    <w:jc w:val="left"/>
                    <w:jc w:val="center"/>
                  </w:pPr>
                  <w:r>
                    <w:t xml:space="preserve">Notes</w:t>
                  </w:r>
                </w:p>
              </w:tc>
            </w:tr>
            <w:tr>
              <w:tc>
                <w:tcPr/>
                <w:p>
                  <w:pPr>
                    <w:pStyle w:val="Compact"/>
                    <w:jc w:val="left"/>
                    <w:jc w:val="center"/>
                  </w:pPr>
                  <w:r>
                    <w:t xml:space="preserve">No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0.449</w:t>
                  </w:r>
                </w:p>
              </w:tc>
              <w:tc>
                <w:tcPr/>
                <w:p>
                  <w:pPr>
                    <w:pStyle w:val="Compact"/>
                  </w:pPr>
                </w:p>
              </w:tc>
              <w:tc>
                <w:tcPr/>
                <w:p>
                  <w:pPr>
                    <w:pStyle w:val="Compact"/>
                  </w:pPr>
                </w:p>
              </w:tc>
            </w:tr>
            <w:tr>
              <w:tc>
                <w:tcPr/>
                <w:p>
                  <w:pPr>
                    <w:pStyle w:val="Compact"/>
                    <w:jc w:val="left"/>
                    <w:jc w:val="center"/>
                  </w:pPr>
                  <w:r>
                    <w:t xml:space="preserve">All covariates</w:t>
                  </w:r>
                </w:p>
              </w:tc>
              <w:tc>
                <w:tcPr/>
                <w:p>
                  <w:pPr>
                    <w:pStyle w:val="Compact"/>
                    <w:jc w:val="left"/>
                    <w:jc w:val="center"/>
                  </w:pPr>
                  <w:r>
                    <w:t xml:space="preserve">none</w:t>
                  </w:r>
                </w:p>
              </w:tc>
              <w:tc>
                <w:tcPr/>
                <w:p>
                  <w:pPr>
                    <w:pStyle w:val="Compact"/>
                    <w:jc w:val="left"/>
                    <w:jc w:val="center"/>
                  </w:pPr>
                  <w:r>
                    <w:t xml:space="preserve">0.050</w:t>
                  </w:r>
                </w:p>
              </w:tc>
              <w:tc>
                <w:tcPr/>
                <w:p>
                  <w:pPr>
                    <w:pStyle w:val="Compact"/>
                    <w:jc w:val="left"/>
                    <w:jc w:val="center"/>
                  </w:pPr>
                  <w:r>
                    <w:t xml:space="preserve">0.358</w:t>
                  </w:r>
                </w:p>
              </w:tc>
              <w:tc>
                <w:tcPr/>
                <w:p>
                  <w:pPr>
                    <w:pStyle w:val="Compact"/>
                  </w:pPr>
                </w:p>
              </w:tc>
              <w:tc>
                <w:tcPr/>
                <w:p>
                  <w:pPr>
                    <w:pStyle w:val="Compact"/>
                  </w:pPr>
                </w:p>
              </w:tc>
            </w:tr>
            <w:tr>
              <w:tc>
                <w:tcPr/>
                <w:p>
                  <w:pPr>
                    <w:pStyle w:val="Compact"/>
                    <w:jc w:val="left"/>
                    <w:jc w:val="center"/>
                  </w:pPr>
                  <w:r>
                    <w:t xml:space="preserve">p-hacking</w:t>
                  </w:r>
                </w:p>
              </w:tc>
              <w:tc>
                <w:tcPr/>
                <w:p>
                  <w:pPr>
                    <w:pStyle w:val="Compact"/>
                    <w:jc w:val="left"/>
                    <w:jc w:val="center"/>
                  </w:pPr>
                  <w:r>
                    <w:t xml:space="preserve">unacceptable</w:t>
                  </w:r>
                </w:p>
              </w:tc>
              <w:tc>
                <w:tcPr/>
                <w:p>
                  <w:pPr>
                    <w:pStyle w:val="Compact"/>
                    <w:jc w:val="left"/>
                    <w:jc w:val="center"/>
                  </w:pPr>
                  <w:r>
                    <w:t xml:space="preserve">0.113</w:t>
                  </w:r>
                </w:p>
              </w:tc>
              <w:tc>
                <w:tcPr/>
                <w:p>
                  <w:pPr>
                    <w:pStyle w:val="Compact"/>
                  </w:pPr>
                </w:p>
              </w:tc>
              <w:tc>
                <w:tcPr/>
                <w:p>
                  <w:pPr>
                    <w:pStyle w:val="Compact"/>
                  </w:pPr>
                </w:p>
              </w:tc>
              <w:tc>
                <w:tcPr/>
                <w:p>
                  <w:pPr>
                    <w:pStyle w:val="Compact"/>
                  </w:pPr>
                </w:p>
              </w:tc>
            </w:tr>
            <w:tr>
              <w:tc>
                <w:tcPr/>
                <w:p>
                  <w:pPr>
                    <w:pStyle w:val="Compact"/>
                    <w:jc w:val="left"/>
                    <w:jc w:val="center"/>
                  </w:pPr>
                  <w:r>
                    <w:t xml:space="preserve">Separate cov lm with X</w:t>
                  </w:r>
                </w:p>
              </w:tc>
              <w:tc>
                <w:tcPr/>
                <w:p>
                  <w:pPr>
                    <w:pStyle w:val="Compact"/>
                    <w:jc w:val="left"/>
                    <w:jc w:val="center"/>
                  </w:pPr>
                  <w:r>
                    <w:t xml:space="preserve">none</w:t>
                  </w:r>
                </w:p>
              </w:tc>
              <w:tc>
                <w:tcPr/>
                <w:p>
                  <w:pPr>
                    <w:pStyle w:val="Compact"/>
                    <w:jc w:val="left"/>
                    <w:jc w:val="center"/>
                  </w:pPr>
                  <w:r>
                    <w:t xml:space="preserve">0.052</w:t>
                  </w:r>
                </w:p>
              </w:tc>
              <w:tc>
                <w:tcPr/>
                <w:p>
                  <w:pPr>
                    <w:pStyle w:val="Compact"/>
                    <w:jc w:val="left"/>
                    <w:jc w:val="center"/>
                  </w:pPr>
                  <w:r>
                    <w:t xml:space="preserve">0.341</w:t>
                  </w:r>
                </w:p>
              </w:tc>
              <w:tc>
                <w:tcPr/>
                <w:p>
                  <w:pPr>
                    <w:pStyle w:val="Compact"/>
                  </w:pPr>
                </w:p>
              </w:tc>
              <w:tc>
                <w:tcPr/>
                <w:p>
                  <w:pPr>
                    <w:pStyle w:val="Compact"/>
                  </w:pPr>
                </w:p>
              </w:tc>
            </w:tr>
            <w:tr>
              <w:tc>
                <w:tcPr/>
                <w:p>
                  <w:pPr>
                    <w:pStyle w:val="Compact"/>
                    <w:jc w:val="left"/>
                    <w:jc w:val="center"/>
                  </w:pPr>
                  <w:r>
                    <w:t xml:space="preserve">Separate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0.347</w:t>
                  </w:r>
                </w:p>
              </w:tc>
              <w:tc>
                <w:tcPr/>
                <w:p>
                  <w:pPr>
                    <w:pStyle w:val="Compact"/>
                  </w:pPr>
                </w:p>
              </w:tc>
              <w:tc>
                <w:tcPr/>
                <w:p>
                  <w:pPr>
                    <w:pStyle w:val="Compact"/>
                  </w:pPr>
                </w:p>
              </w:tc>
            </w:tr>
            <w:tr>
              <w:tc>
                <w:tcPr/>
                <w:p>
                  <w:pPr>
                    <w:pStyle w:val="Compact"/>
                    <w:jc w:val="left"/>
                    <w:jc w:val="center"/>
                  </w:pPr>
                  <w:r>
                    <w:t xml:space="preserve">Simultaneous cov lm with X</w:t>
                  </w:r>
                </w:p>
              </w:tc>
              <w:tc>
                <w:tcPr/>
                <w:p>
                  <w:pPr>
                    <w:pStyle w:val="Compact"/>
                    <w:jc w:val="left"/>
                    <w:jc w:val="center"/>
                  </w:pPr>
                  <w:r>
                    <w:t xml:space="preserve">none</w:t>
                  </w:r>
                </w:p>
              </w:tc>
              <w:tc>
                <w:tcPr/>
                <w:p>
                  <w:pPr>
                    <w:pStyle w:val="Compact"/>
                    <w:jc w:val="left"/>
                    <w:jc w:val="center"/>
                  </w:pPr>
                  <w:r>
                    <w:t xml:space="preserve">0.060</w:t>
                  </w:r>
                </w:p>
              </w:tc>
              <w:tc>
                <w:tcPr/>
                <w:p>
                  <w:pPr>
                    <w:pStyle w:val="Compact"/>
                    <w:jc w:val="left"/>
                    <w:jc w:val="center"/>
                  </w:pPr>
                  <w:r>
                    <w:t xml:space="preserve">0.345</w:t>
                  </w:r>
                </w:p>
              </w:tc>
              <w:tc>
                <w:tcPr/>
                <w:p>
                  <w:pPr>
                    <w:pStyle w:val="Compact"/>
                  </w:pPr>
                </w:p>
              </w:tc>
              <w:tc>
                <w:tcPr/>
                <w:p>
                  <w:pPr>
                    <w:pStyle w:val="Compact"/>
                  </w:pPr>
                </w:p>
              </w:tc>
            </w:tr>
            <w:tr>
              <w:tc>
                <w:tcPr/>
                <w:p>
                  <w:pPr>
                    <w:pStyle w:val="Compact"/>
                    <w:jc w:val="left"/>
                    <w:jc w:val="center"/>
                  </w:pPr>
                  <w:r>
                    <w:t xml:space="preserve">Simultaneous cov lm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0.368</w:t>
                  </w:r>
                </w:p>
              </w:tc>
              <w:tc>
                <w:tcPr/>
                <w:p>
                  <w:pPr>
                    <w:pStyle w:val="Compact"/>
                  </w:pPr>
                </w:p>
              </w:tc>
              <w:tc>
                <w:tcPr/>
                <w:p>
                  <w:pPr>
                    <w:pStyle w:val="Compact"/>
                  </w:pPr>
                </w:p>
              </w:tc>
            </w:tr>
            <w:tr>
              <w:tc>
                <w:tcPr/>
                <w:p>
                  <w:pPr>
                    <w:pStyle w:val="Compact"/>
                    <w:jc w:val="left"/>
                    <w:jc w:val="center"/>
                  </w:pPr>
                  <w:r>
                    <w:t xml:space="preserve">Simultaneous cov LASSO with X</w:t>
                  </w:r>
                </w:p>
              </w:tc>
              <w:tc>
                <w:tcPr/>
                <w:p>
                  <w:pPr>
                    <w:pStyle w:val="Compact"/>
                    <w:jc w:val="left"/>
                    <w:jc w:val="center"/>
                  </w:pPr>
                  <w:r>
                    <w:t xml:space="preserve">none</w:t>
                  </w:r>
                </w:p>
              </w:tc>
              <w:tc>
                <w:tcPr/>
                <w:p>
                  <w:pPr>
                    <w:pStyle w:val="Compact"/>
                    <w:jc w:val="left"/>
                    <w:jc w:val="center"/>
                  </w:pPr>
                  <w:r>
                    <w:t xml:space="preserve">0.057</w:t>
                  </w:r>
                </w:p>
              </w:tc>
              <w:tc>
                <w:tcPr/>
                <w:p>
                  <w:pPr>
                    <w:pStyle w:val="Compact"/>
                    <w:jc w:val="left"/>
                    <w:jc w:val="center"/>
                  </w:pPr>
                  <w:r>
                    <w:t xml:space="preserve">0.337</w:t>
                  </w:r>
                </w:p>
              </w:tc>
              <w:tc>
                <w:tcPr/>
                <w:p>
                  <w:pPr>
                    <w:pStyle w:val="Compact"/>
                  </w:pPr>
                </w:p>
              </w:tc>
              <w:tc>
                <w:tcPr/>
                <w:p>
                  <w:pPr>
                    <w:pStyle w:val="Compact"/>
                  </w:pPr>
                </w:p>
              </w:tc>
            </w:tr>
            <w:tr>
              <w:tc>
                <w:tcPr/>
                <w:p>
                  <w:pPr>
                    <w:pStyle w:val="Compact"/>
                    <w:jc w:val="left"/>
                    <w:jc w:val="center"/>
                  </w:pPr>
                  <w:r>
                    <w:t xml:space="preserve">Simultaneous cov LASSO w/o X</w:t>
                  </w:r>
                </w:p>
              </w:tc>
              <w:tc>
                <w:tcPr/>
                <w:p>
                  <w:pPr>
                    <w:pStyle w:val="Compact"/>
                    <w:jc w:val="left"/>
                    <w:jc w:val="center"/>
                  </w:pPr>
                  <w:r>
                    <w:t xml:space="preserve">acceptable</w:t>
                  </w:r>
                </w:p>
              </w:tc>
              <w:tc>
                <w:tcPr/>
                <w:p>
                  <w:pPr>
                    <w:pStyle w:val="Compact"/>
                    <w:jc w:val="left"/>
                    <w:jc w:val="center"/>
                  </w:pPr>
                  <w:r>
                    <w:t xml:space="preserve">0.050</w:t>
                  </w:r>
                </w:p>
              </w:tc>
              <w:tc>
                <w:tcPr/>
                <w:p>
                  <w:pPr>
                    <w:pStyle w:val="Compact"/>
                    <w:jc w:val="left"/>
                    <w:jc w:val="center"/>
                  </w:pPr>
                  <w:r>
                    <w:t xml:space="preserve">0.352</w:t>
                  </w:r>
                </w:p>
              </w:tc>
              <w:tc>
                <w:tcPr/>
                <w:p>
                  <w:pPr>
                    <w:pStyle w:val="Compact"/>
                  </w:pPr>
                </w:p>
              </w:tc>
              <w:tc>
                <w:tcPr/>
                <w:p>
                  <w:pPr>
                    <w:pStyle w:val="Compact"/>
                  </w:pPr>
                </w:p>
              </w:tc>
            </w:tr>
          </w:tbl>
          <w:bookmarkEnd w:id="52"/>
          <w:p/>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Tables for Main Manuscript</w:t>
        </w:r>
      </w:hyperlink>
    </w:p>
    <w:bookmarkEnd w:id="54"/>
    <w:bookmarkStart w:id="55"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55"/>
    <w:bookmarkStart w:id="100" w:name="references"/>
    <w:p>
      <w:pPr>
        <w:pStyle w:val="Heading1"/>
      </w:pPr>
      <w:r>
        <w:t xml:space="preserve">References</w:t>
      </w:r>
    </w:p>
    <w:bookmarkStart w:id="99" w:name="refs"/>
    <w:bookmarkStart w:id="57"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56">
        <w:r>
          <w:rPr>
            <w:rStyle w:val="Hyperlink"/>
          </w:rPr>
          <w:t xml:space="preserve">https://doi.org/10.1038/533452a</w:t>
        </w:r>
      </w:hyperlink>
      <w:r>
        <w:t xml:space="preserve">.</w:t>
      </w:r>
    </w:p>
    <w:bookmarkEnd w:id="57"/>
    <w:bookmarkStart w:id="59"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8">
        <w:r>
          <w:rPr>
            <w:rStyle w:val="Hyperlink"/>
          </w:rPr>
          <w:t xml:space="preserve">https://doi.org/10.1016/0197-2456(89)90055-x</w:t>
        </w:r>
      </w:hyperlink>
      <w:r>
        <w:t xml:space="preserve">.</w:t>
      </w:r>
    </w:p>
    <w:bookmarkEnd w:id="59"/>
    <w:bookmarkStart w:id="61"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0">
        <w:r>
          <w:rPr>
            <w:rStyle w:val="Hyperlink"/>
          </w:rPr>
          <w:t xml:space="preserve">https://doi.org/10.1177/0956797613499923</w:t>
        </w:r>
      </w:hyperlink>
      <w:r>
        <w:t xml:space="preserve">.</w:t>
      </w:r>
    </w:p>
    <w:bookmarkEnd w:id="61"/>
    <w:bookmarkStart w:id="63" w:name="ref-buttonPowerFailureWhy2013"/>
    <w:p>
      <w:pPr>
        <w:pStyle w:val="Bibliography"/>
      </w:pPr>
      <w:r>
        <w:t xml:space="preserve">Button, Katherine S., John P. A. Ioannidis, Claire Mokrysz, et al.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2">
        <w:r>
          <w:rPr>
            <w:rStyle w:val="Hyperlink"/>
          </w:rPr>
          <w:t xml:space="preserve">https://doi.org/10.1038/nrn3475</w:t>
        </w:r>
      </w:hyperlink>
      <w:r>
        <w:t xml:space="preserve">.</w:t>
      </w:r>
    </w:p>
    <w:bookmarkEnd w:id="63"/>
    <w:bookmarkStart w:id="6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4">
        <w:r>
          <w:rPr>
            <w:rStyle w:val="Hyperlink"/>
          </w:rPr>
          <w:t xml:space="preserve">https://doi.org/10.21231/GNT1-HW21</w:t>
        </w:r>
      </w:hyperlink>
      <w:r>
        <w:t xml:space="preserve">.</w:t>
      </w:r>
    </w:p>
    <w:bookmarkEnd w:id="65"/>
    <w:bookmarkStart w:id="67"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(US) 65 (3): 145–53.</w:t>
      </w:r>
      <w:r>
        <w:t xml:space="preserve"> </w:t>
      </w:r>
      <w:hyperlink r:id="rId66">
        <w:r>
          <w:rPr>
            <w:rStyle w:val="Hyperlink"/>
          </w:rPr>
          <w:t xml:space="preserve">https://doi.org/10.1037/h0045186</w:t>
        </w:r>
      </w:hyperlink>
      <w:r>
        <w:t xml:space="preserve">.</w:t>
      </w:r>
    </w:p>
    <w:bookmarkEnd w:id="67"/>
    <w:bookmarkStart w:id="68" w:name="ref-cohenStatisticalPowerAnalysis1988"/>
    <w:p>
      <w:pPr>
        <w:pStyle w:val="Bibliography"/>
      </w:pPr>
      <w:r>
        <w:t xml:space="preserve">Cohen, Jacob.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Routledge.</w:t>
      </w:r>
    </w:p>
    <w:bookmarkEnd w:id="68"/>
    <w:bookmarkStart w:id="69" w:name="ref-cohenPowerPrimer1992"/>
    <w:p>
      <w:pPr>
        <w:pStyle w:val="Bibliography"/>
      </w:pPr>
      <w:r>
        <w:t xml:space="preserve">Cohen, Jacob. 1992.</w:t>
      </w:r>
      <w:r>
        <w:t xml:space="preserve"> </w:t>
      </w:r>
      <w:r>
        <w:t xml:space="preserve">“A Power Primer.”</w:t>
      </w:r>
      <w:r>
        <w:t xml:space="preserve"> </w:t>
      </w:r>
      <w:r>
        <w:rPr>
          <w:i/>
          <w:iCs/>
        </w:rPr>
        <w:t xml:space="preserve">Psychological Bulletin</w:t>
      </w:r>
      <w:r>
        <w:t xml:space="preserve"> </w:t>
      </w:r>
      <w:r>
        <w:t xml:space="preserve">112 (1): 155–59.</w:t>
      </w:r>
    </w:p>
    <w:bookmarkEnd w:id="69"/>
    <w:bookmarkStart w:id="71"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0">
        <w:r>
          <w:rPr>
            <w:rStyle w:val="Hyperlink"/>
          </w:rPr>
          <w:t xml:space="preserve">https://doi.org/10.1186/1471-2288-14-49</w:t>
        </w:r>
      </w:hyperlink>
      <w:r>
        <w:t xml:space="preserve">.</w:t>
      </w:r>
    </w:p>
    <w:bookmarkEnd w:id="71"/>
    <w:bookmarkStart w:id="73"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72">
        <w:r>
          <w:rPr>
            <w:rStyle w:val="Hyperlink"/>
          </w:rPr>
          <w:t xml:space="preserve">https://doi.org/10.1371/journal.pone.0010068</w:t>
        </w:r>
      </w:hyperlink>
      <w:r>
        <w:t xml:space="preserve">.</w:t>
      </w:r>
    </w:p>
    <w:bookmarkEnd w:id="73"/>
    <w:bookmarkStart w:id="75"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4">
        <w:r>
          <w:rPr>
            <w:rStyle w:val="Hyperlink"/>
          </w:rPr>
          <w:t xml:space="preserve">https://doi.org/10.1037/a0033407</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rPr>
          <w:i/>
          <w:iCs/>
        </w:rPr>
        <w:t xml:space="preserve">Tidymodels: A Collection of Packages for Modeling and Machine Learning Using Tidyverse Principles</w:t>
      </w:r>
      <w:r>
        <w:t xml:space="preserve">.</w:t>
      </w:r>
    </w:p>
    <w:bookmarkEnd w:id="84"/>
    <w:bookmarkStart w:id="86" w:name="Xacb972bec6951688223e59e5436f5358068fdee"/>
    <w:p>
      <w:pPr>
        <w:pStyle w:val="Bibliography"/>
      </w:pPr>
      <w:r>
        <w:t xml:space="preserve">Miller, G A, and J P Chapman. 2001.</w:t>
      </w:r>
      <w:r>
        <w:t xml:space="preserve"> </w:t>
      </w:r>
      <w:r>
        <w:t xml:space="preserve">“</w:t>
      </w:r>
      <w:hyperlink r:id="rId85">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86"/>
    <w:bookmarkStart w:id="87"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8"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4" Target="https://doi.org/10.1037/a0033407" TargetMode="External" /><Relationship Type="http://schemas.openxmlformats.org/officeDocument/2006/relationships/hyperlink" Id="rId66" Target="https://doi.org/10.1037/h0045186" TargetMode="External" /><Relationship Type="http://schemas.openxmlformats.org/officeDocument/2006/relationships/hyperlink" Id="rId56" Target="https://doi.org/10.1038/533452a" TargetMode="External" /><Relationship Type="http://schemas.openxmlformats.org/officeDocument/2006/relationships/hyperlink" Id="rId62"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60" Target="https://doi.org/10.1177/0956797613499923" TargetMode="External" /><Relationship Type="http://schemas.openxmlformats.org/officeDocument/2006/relationships/hyperlink" Id="rId70"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72" Target="https://doi.org/10.1371/journal.pone.0010068" TargetMode="External" /><Relationship Type="http://schemas.openxmlformats.org/officeDocument/2006/relationships/hyperlink" Id="rId64"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53" Target="https://jjcurtin.github.io/study_cov/notebooks\mak_tables-preview.html#cell-tbl-rec" TargetMode="External" /><Relationship Type="http://schemas.openxmlformats.org/officeDocument/2006/relationships/hyperlink" Id="rId18" Target="https://osf.io/zh5gn/" TargetMode="External" /><Relationship Type="http://schemas.openxmlformats.org/officeDocument/2006/relationships/hyperlink" Id="rId85"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4" Target="https://doi.org/10.1037/a0033407" TargetMode="External" /><Relationship Type="http://schemas.openxmlformats.org/officeDocument/2006/relationships/hyperlink" Id="rId66" Target="https://doi.org/10.1037/h0045186" TargetMode="External" /><Relationship Type="http://schemas.openxmlformats.org/officeDocument/2006/relationships/hyperlink" Id="rId56" Target="https://doi.org/10.1038/533452a" TargetMode="External" /><Relationship Type="http://schemas.openxmlformats.org/officeDocument/2006/relationships/hyperlink" Id="rId62"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60" Target="https://doi.org/10.1177/0956797613499923" TargetMode="External" /><Relationship Type="http://schemas.openxmlformats.org/officeDocument/2006/relationships/hyperlink" Id="rId70"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72" Target="https://doi.org/10.1371/journal.pone.0010068" TargetMode="External" /><Relationship Type="http://schemas.openxmlformats.org/officeDocument/2006/relationships/hyperlink" Id="rId64"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53" Target="https://jjcurtin.github.io/study_cov/notebooks\mak_tables-preview.html#cell-tbl-rec" TargetMode="External" /><Relationship Type="http://schemas.openxmlformats.org/officeDocument/2006/relationships/hyperlink" Id="rId18" Target="https://osf.io/zh5gn/" TargetMode="External" /><Relationship Type="http://schemas.openxmlformats.org/officeDocument/2006/relationships/hyperlink" Id="rId85"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2026-05-14T15:28:52Z</dcterms:created>
  <dcterms:modified xsi:type="dcterms:W3CDTF">2026-05-14T15:28:52Z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 and without X, linear models that screen all covariates simultaneously with and without X, and LASSO models that screen all covariates simultaneously with and without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2026-05-14</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