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24.png" ContentType="image/png"/>
  <Override PartName="/word/media/rId46.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Optimal Covariate Selection Approaches for Experimental Research: A Simulation Study</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2026-06-23</w:t>
      </w:r>
    </w:p>
    <w:p>
      <w:pPr>
        <w:pStyle w:val="AbstractTitle"/>
      </w:pPr>
      <w:r>
        <w:t xml:space="preserve">Abstract</w:t>
      </w:r>
    </w:p>
    <w:p>
      <w:pPr>
        <w:pStyle w:val="Abstract"/>
      </w:pPr>
      <w:r>
        <w:t xml:space="preserve">Covariates can reduce Type II errors in experimental research but optimal covariate selection can be challenging and may reduce statistical validity if done incorrectly. Consequently, researchers often adopt two extremes - including no or all covariates in their primary analysis. However, data-driven approaches for covariate selection may represent an effective advantageous alternative.</w:t>
      </w:r>
    </w:p>
    <w:p>
      <w:pPr>
        <w:pStyle w:val="Abstract"/>
      </w:pPr>
      <w:r>
        <w:t xml:space="preserve">In this simulation study, we evaluated nine covariate selection approaches that include the two traditional approaches (no covariates, all covariates) and seven data-driven approaches that use screening models to identify optimal covariates.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w:t>
      </w:r>
    </w:p>
    <w:bookmarkStart w:id="9"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alcohol’s effect on response to a laboratory stressor</w:t>
      </w:r>
      <w:r>
        <w:t xml:space="preserve"> </w:t>
      </w:r>
      <w:r>
        <w:t xml:space="preserve">(Bradford et al., 2013; Hefner et al., 2013)</w:t>
      </w:r>
      <w:r>
        <w:t xml:space="preserve">. A valid test of the effect of such an IV requires adequate statistical power</w:t>
      </w:r>
      <w:r>
        <w:t xml:space="preserve"> </w:t>
      </w:r>
      <w:r>
        <w:t xml:space="preserve">(Cohen, 1988)</w:t>
      </w:r>
      <w:r>
        <w:t xml:space="preserve">. By definition, low statistical power is associated with a high probability of a Type II error. Furthermore, significant effects detected by low-powered studies may not replicate (due to low positive predictive value) and estimates of their effect size may be positively biased (due to publication bias)(</w:t>
      </w:r>
      <w:r>
        <w:t xml:space="preserve">Button et al. (2013)</w:t>
      </w:r>
      <w:r>
        <w:t xml:space="preserve">). For all these reasons, methods to reduce Type II errors when testing IV effects are critically important for a robust scientific literature</w:t>
      </w:r>
      <w:r>
        <w:t xml:space="preserve"> </w:t>
      </w:r>
      <w:r>
        <w:t xml:space="preserve">(Cohen, 1962)</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(Hernández et al., 2004; Thompson et al., 2015)</w:t>
      </w:r>
      <w:r>
        <w:t xml:space="preserve">. For example, in the previously described test of alcohol’s effect on stress response, baseline measures of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optimal covariates to reduce Type II errors is not straightforward. Historically, researchers often iterated over a large set of available covariates and included only those covariates that increased the effect size (and decreased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et al., 2014)</w:t>
      </w:r>
      <w:r>
        <w:t xml:space="preserve">, seriously undermines the statistical validity of the analyses by substantially increasing the probability of Type I errors</w:t>
      </w:r>
      <w:r>
        <w:t xml:space="preserve"> </w:t>
      </w:r>
      <w:r>
        <w:t xml:space="preserve">(Ioannidis, 2005; Schelchter &amp; Forsythe, 1985; Simmons et al., 2011)</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Traditionally, researchers have relied on two somewhat extreme strategies for selecting covariates. At one end, the researcher could avoid the use of covariates altogether with no risk to Type I error control. But this decision would increase the probability of Type II errors due to lower statistical power. At the other extreme, the researcher could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relationships with the outcome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w:t>
      </w:r>
    </w:p>
    <w:p>
      <w:pPr>
        <w:pStyle w:val="BodyText"/>
      </w:pPr>
      <w:r>
        <w:t xml:space="preserve">Given these possibly sub-optimal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For all of the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9"/>
    <w:bookmarkStart w:id="11" w:name="research-transparency-statement"/>
    <w:p>
      <w:pPr>
        <w:pStyle w:val="Heading1"/>
      </w:pPr>
      <w:r>
        <w:t xml:space="preserve">Research Transparency Statement</w:t>
      </w:r>
    </w:p>
    <w:p>
      <w:pPr>
        <w:pStyle w:val="FirstParagraph"/>
      </w:pPr>
      <w:r>
        <w:t xml:space="preserve">All authors declare they have no conflicts of interest. This research received no funding. No artificial intelligence assisted technologies were used in this research or the creation of this article. This research did not require ethics approval because no human participants were involved. No aspects of this study were preregistered. Sharing of materials is not applicable. All primary data and analysis scripts are publicly available</w:t>
      </w:r>
      <w:r>
        <w:t xml:space="preserve"> </w:t>
      </w:r>
      <w:hyperlink r:id="rId10">
        <w:r>
          <w:rPr>
            <w:rStyle w:val="Hyperlink"/>
          </w:rPr>
          <w:t xml:space="preserve">https://osf.io/zh5gn/</w:t>
        </w:r>
      </w:hyperlink>
      <w:r>
        <w:t xml:space="preserve">.</w:t>
      </w:r>
    </w:p>
    <w:bookmarkEnd w:id="11"/>
    <w:bookmarkStart w:id="21" w:name="methods"/>
    <w:p>
      <w:pPr>
        <w:pStyle w:val="Heading1"/>
      </w:pPr>
      <w:r>
        <w:t xml:space="preserve">Methods</w:t>
      </w:r>
    </w:p>
    <w:bookmarkStart w:id="14"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lm”</w:t>
      </w:r>
      <w:r>
        <w:t xml:space="preserve"> </w:t>
      </w:r>
      <w:r>
        <w:t xml:space="preserve">approach), linear models that screened all covariates simultaneously in a single model (</w:t>
      </w:r>
      <w:r>
        <w:t xml:space="preserve">“simultaneous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12"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12"/>
          <w:p/>
        </w:tc>
      </w:tr>
    </w:tbl>
    <w:p>
      <w:pPr>
        <w:pStyle w:val="BodyText"/>
      </w:pPr>
      <w:r>
        <w:rPr>
          <w:vertAlign w:val="subscript"/>
        </w:rPr>
        <w:t xml:space="preserve">Source:</w:t>
      </w:r>
      <w:r>
        <w:rPr>
          <w:vertAlign w:val="subscript"/>
        </w:rPr>
        <w:t xml:space="preserve"> </w:t>
      </w:r>
      <w:hyperlink r:id="rId13">
        <w:r>
          <w:rPr>
            <w:rStyle w:val="Hyperlink"/>
            <w:vertAlign w:val="subscript"/>
          </w:rPr>
          <w:t xml:space="preserve">Make Tables for Main Manuscript</w:t>
        </w:r>
      </w:hyperlink>
    </w:p>
    <w:bookmarkEnd w:id="14"/>
    <w:bookmarkStart w:id="17"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15"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15"/>
          <w:p/>
        </w:tc>
      </w:tr>
    </w:tbl>
    <w:p>
      <w:pPr>
        <w:pStyle w:val="BodyText"/>
      </w:pPr>
      <w:r>
        <w:rPr>
          <w:vertAlign w:val="subscript"/>
        </w:rPr>
        <w:t xml:space="preserve">Source:</w:t>
      </w:r>
      <w:r>
        <w:rPr>
          <w:vertAlign w:val="subscript"/>
        </w:rPr>
        <w:t xml:space="preserve"> </w:t>
      </w:r>
      <w:hyperlink r:id="rId16">
        <w:r>
          <w:rPr>
            <w:rStyle w:val="Hyperlink"/>
            <w:vertAlign w:val="subscript"/>
          </w:rPr>
          <w:t xml:space="preserve">Make Tables for Main Manuscript</w:t>
        </w:r>
      </w:hyperlink>
    </w:p>
    <w:bookmarkEnd w:id="17"/>
    <w:bookmarkStart w:id="2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&amp;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18">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19"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19"/>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18">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r>
          <m:rPr>
            <m:sty m:val="p"/>
          </m:rPr>
          <m:t>)</m:t>
        </m:r>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10">
        <w:r>
          <w:rPr>
            <w:rStyle w:val="Hyperlink"/>
          </w:rPr>
          <w:t xml:space="preserve">https://osf.io/zh5gn/</w:t>
        </w:r>
      </w:hyperlink>
      <w:r>
        <w:t xml:space="preserve">).</w:t>
      </w:r>
    </w:p>
    <w:bookmarkEnd w:id="20"/>
    <w:bookmarkEnd w:id="21"/>
    <w:bookmarkStart w:id="52" w:name="results"/>
    <w:p>
      <w:pPr>
        <w:pStyle w:val="Heading1"/>
      </w:pPr>
      <w:r>
        <w:t xml:space="preserve">Results</w:t>
      </w:r>
    </w:p>
    <w:bookmarkStart w:id="2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22"/>
          <w:p/>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distribution-bx"/>
          <w:p>
            <w:pPr>
              <w:pStyle w:val="Compact"/>
              <w:jc w:val="center"/>
            </w:pPr>
            <w:r>
              <w:drawing>
                <wp:inline>
                  <wp:extent cx="5334000" cy="6096000"/>
                  <wp:effectExtent b="0" l="0" r="0" t="0"/>
                  <wp:docPr descr="" title="" id="25" name="Picture"/>
                  <a:graphic>
                    <a:graphicData uri="http://schemas.openxmlformats.org/drawingml/2006/picture">
                      <pic:pic>
                        <pic:nvPicPr>
                          <pic:cNvPr descr="index_files/figure-docx/notebooks-mak_figures-fig-distribution-bx-output-1.png" id="26" name="Picture"/>
                          <pic:cNvPicPr>
                            <a:picLocks noChangeArrowheads="1" noChangeAspect="1"/>
                          </pic:cNvPicPr>
                        </pic:nvPicPr>
                        <pic:blipFill>
                          <a:blip r:embed="rId2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29"/>
    <w:bookmarkStart w:id="4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(Baker, 2016; Fanelli, 2010; Ioannidis, 2005; Simmons et al., 2011)</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3" w:name="fig-bar-1"/>
          <w:p>
            <w:pPr>
              <w:pStyle w:val="Compact"/>
              <w:jc w:val="center"/>
            </w:pPr>
            <w:r>
              <w:drawing>
                <wp:inline>
                  <wp:extent cx="5334000" cy="3048000"/>
                  <wp:effectExtent b="0" l="0" r="0" t="0"/>
                  <wp:docPr descr="" title="" id="31" name="Picture"/>
                  <a:graphic>
                    <a:graphicData uri="http://schemas.openxmlformats.org/drawingml/2006/picture">
                      <pic:pic>
                        <pic:nvPicPr>
                          <pic:cNvPr descr="index_files/figure-docx/notebooks-mak_figures-fig-bar-1-output-1.png" id="32" name="Picture"/>
                          <pic:cNvPicPr>
                            <a:picLocks noChangeArrowheads="1" noChangeAspect="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8" w:name="fig-type1-panel"/>
          <w:p>
            <w:pPr>
              <w:pStyle w:val="Compact"/>
              <w:jc w:val="center"/>
            </w:pPr>
            <w:r>
              <w:drawing>
                <wp:inline>
                  <wp:extent cx="5334000" cy="4000499"/>
                  <wp:effectExtent b="0" l="0" r="0" t="0"/>
                  <wp:docPr descr="" title="" id="36" name="Picture"/>
                  <a:graphic>
                    <a:graphicData uri="http://schemas.openxmlformats.org/drawingml/2006/picture">
                      <pic:pic>
                        <pic:nvPicPr>
                          <pic:cNvPr descr="index_files/figure-docx/notebooks-mak_figures-fig-type1-panel-output-1.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Figures for Main Manuscript</w:t>
        </w:r>
      </w:hyperlink>
    </w:p>
    <w:bookmarkEnd w:id="40"/>
    <w:bookmarkStart w:id="5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4" w:name="fig-bar-2"/>
          <w:p>
            <w:pPr>
              <w:pStyle w:val="Compact"/>
              <w:jc w:val="center"/>
            </w:pPr>
            <w:r>
              <w:drawing>
                <wp:inline>
                  <wp:extent cx="5334000" cy="3048000"/>
                  <wp:effectExtent b="0" l="0" r="0" t="0"/>
                  <wp:docPr descr="" title="" id="42" name="Picture"/>
                  <a:graphic>
                    <a:graphicData uri="http://schemas.openxmlformats.org/drawingml/2006/picture">
                      <pic:pic>
                        <pic:nvPicPr>
                          <pic:cNvPr descr="index_files/figure-docx/notebooks-mak_figures-fig-bar-2-output-1.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9" w:name="fig-panel-2"/>
          <w:p>
            <w:pPr>
              <w:pStyle w:val="Compact"/>
              <w:jc w:val="center"/>
            </w:pPr>
            <w:r>
              <w:drawing>
                <wp:inline>
                  <wp:extent cx="5334000" cy="6400800"/>
                  <wp:effectExtent b="0" l="0" r="0" t="0"/>
                  <wp:docPr descr="" title="" id="47" name="Picture"/>
                  <a:graphic>
                    <a:graphicData uri="http://schemas.openxmlformats.org/drawingml/2006/picture">
                      <pic:pic>
                        <pic:nvPicPr>
                          <pic:cNvPr descr="index_files/figure-docx/notebooks-mak_figures-fig-panel-2-output-1.png" id="48" name="Picture"/>
                          <pic:cNvPicPr>
                            <a:picLocks noChangeArrowheads="1" noChangeAspect="1"/>
                          </pic:cNvPicPr>
                        </pic:nvPicPr>
                        <pic:blipFill>
                          <a:blip r:embed="rId4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Figures for Main Manuscript</w:t>
        </w:r>
      </w:hyperlink>
    </w:p>
    <w:bookmarkEnd w:id="51"/>
    <w:bookmarkEnd w:id="52"/>
    <w:bookmarkStart w:id="53" w:name="discussion"/>
    <w:p>
      <w:pPr>
        <w:pStyle w:val="Heading1"/>
      </w:pPr>
      <w:r>
        <w:t xml:space="preserve">Discussion</w:t>
      </w:r>
    </w:p>
    <w:p>
      <w:pPr>
        <w:pStyle w:val="FirstParagraph"/>
      </w:pPr>
      <w:r>
        <w:t xml:space="preserve">Our findings reinforce Simmons and colleagues</w:t>
      </w:r>
      <w:r>
        <w:t xml:space="preserve"> </w:t>
      </w:r>
      <w:r>
        <w:t xml:space="preserve">(Simmons et al., 2011)</w:t>
      </w:r>
      <w:r>
        <w:t xml:space="preserve"> </w:t>
      </w:r>
      <w:r>
        <w:t xml:space="preserve">warning that</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is higher when more covariates are available and a higher percentage of them (e.g., 75%) have strong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we acknowledge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almost all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And, of course, it is easier to implement because it eliminates the need for screening models altogether.</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the Type II error rate was 0.203 lower for the simultaneous LASSO with</w:t>
      </w:r>
      <w:r>
        <w:t xml:space="preserve"> </w:t>
      </w:r>
      <m:oMath>
        <m:r>
          <m:t>X</m:t>
        </m:r>
      </m:oMath>
      <w:r>
        <w:t xml:space="preserve"> </w:t>
      </w:r>
      <w:r>
        <w:t xml:space="preserve">approach than the all covariates approach!</w:t>
      </w:r>
    </w:p>
    <w:p>
      <w:pPr>
        <w:pStyle w:val="BodyText"/>
      </w:pPr>
      <w:r>
        <w:t xml:space="preserve">There are several issues to consider when comparing among the several top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lm with</w:t>
      </w:r>
      <w:r>
        <w:t xml:space="preserve"> </w:t>
      </w:r>
      <m:oMath>
        <m:r>
          <m:t>X</m:t>
        </m:r>
      </m:oMath>
      <w:r>
        <w:t xml:space="preserve"> </w:t>
      </w:r>
      <w:r>
        <w:t xml:space="preserve">may feel easier and/or more familiar to some researchers. When compared to the LASSO with</w:t>
      </w:r>
      <w:r>
        <w:t xml:space="preserve"> </w:t>
      </w:r>
      <m:oMath>
        <m:r>
          <m:t>X</m:t>
        </m:r>
      </m:oMath>
      <w:r>
        <w:t xml:space="preserve"> </w:t>
      </w:r>
      <w:r>
        <w:t xml:space="preserve">approach, separate lm with</w:t>
      </w:r>
      <w:r>
        <w:t xml:space="preserve"> </w:t>
      </w:r>
      <m:oMath>
        <m:r>
          <m:t>X</m:t>
        </m:r>
      </m:oMath>
      <w:r>
        <w:t xml:space="preserve"> </w:t>
      </w:r>
      <w:r>
        <w:t xml:space="preserve">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these other two approaches.</w:t>
      </w:r>
    </w:p>
    <w:p>
      <w:pPr>
        <w:pStyle w:val="BodyText"/>
      </w:pPr>
      <w:r>
        <w:t xml:space="preserve">There are several additional considerations worth noting when evaluating a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 predictors is routinely violated.</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pre-registered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and therefore uncorrelated with the subsequently manipulated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&amp; Chapman, 2001)</w:t>
      </w:r>
      <w:r>
        <w:t xml:space="preserve">.</w:t>
      </w:r>
    </w:p>
    <w:p>
      <w:pPr>
        <w:pStyle w:val="BodyText"/>
      </w:pPr>
      <w:r>
        <w:t xml:space="preserve">We believe our paper provides strong evidence of the clear benefits of using baseline covariates. In our opinion, we believe that either the simultaneous LASSO with</w:t>
      </w:r>
      <w:r>
        <w:t xml:space="preserve"> </w:t>
      </w:r>
      <m:oMath>
        <m:r>
          <m:t>X</m:t>
        </m:r>
      </m:oMath>
      <w:r>
        <w:t xml:space="preserve"> </w:t>
      </w:r>
      <w:r>
        <w:t xml:space="preserve">or the separate lm with</w:t>
      </w:r>
      <w:r>
        <w:t xml:space="preserve"> </w:t>
      </w:r>
      <m:oMath>
        <m:r>
          <m:t>X</m:t>
        </m:r>
      </m:oMath>
      <w:r>
        <w:t xml:space="preserve"> </w:t>
      </w:r>
      <w:r>
        <w:t xml:space="preserve">are the best choices when considering both Type I/II error rates and parameter estimate bias. However, we also hope that we have clarified the relative costs and benefits across all of these approaches to allow researchers to make informed decisions based on their own priorities and research context.</w:t>
      </w:r>
    </w:p>
    <w:bookmarkEnd w:id="53"/>
    <w:bookmarkStart w:id="54" w:name="acknowledgments"/>
    <w:p>
      <w:pPr>
        <w:pStyle w:val="Heading1"/>
      </w:pPr>
      <w:r>
        <w:t xml:space="preserve">Acknowledgments</w:t>
      </w:r>
    </w:p>
    <w:p>
      <w:pPr>
        <w:pStyle w:val="FirstParagraph"/>
      </w:pPr>
      <w:r>
        <w:t xml:space="preserve">The authors thank Christopher Janssen for developing the interactive shiny dashboard on our OSF page.</w:t>
      </w:r>
    </w:p>
    <w:bookmarkEnd w:id="54"/>
    <w:bookmarkStart w:id="91" w:name="references"/>
    <w:p>
      <w:pPr>
        <w:pStyle w:val="Heading1"/>
      </w:pPr>
      <w:r>
        <w:t xml:space="preserve">References</w:t>
      </w:r>
    </w:p>
    <w:bookmarkStart w:id="90" w:name="refs"/>
    <w:bookmarkStart w:id="56" w:name="ref-baker1500ScientistsLift2016"/>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5">
        <w:r>
          <w:rPr>
            <w:rStyle w:val="Hyperlink"/>
          </w:rPr>
          <w:t xml:space="preserve">https://doi.org/10.1038/533452a</w:t>
        </w:r>
      </w:hyperlink>
    </w:p>
    <w:bookmarkEnd w:id="56"/>
    <w:bookmarkStart w:id="58" w:name="ref-bradfordHowBadCould2013"/>
    <w:p>
      <w:pPr>
        <w:pStyle w:val="Bibliography"/>
      </w:pPr>
      <w:r>
        <w:t xml:space="preserve">Bradford, D. E., Shapiro, B. L., &amp; Curtin, J. J. (2013). 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w:t>
      </w:r>
      <w:r>
        <w:t xml:space="preserve"> </w:t>
      </w:r>
      <w:r>
        <w:rPr>
          <w:i/>
          <w:iCs/>
        </w:rPr>
        <w:t xml:space="preserve">24</w:t>
      </w:r>
      <w:r>
        <w:t xml:space="preserve">(12), 2541–2549.</w:t>
      </w:r>
      <w:r>
        <w:t xml:space="preserve"> </w:t>
      </w:r>
      <w:hyperlink r:id="rId57">
        <w:r>
          <w:rPr>
            <w:rStyle w:val="Hyperlink"/>
          </w:rPr>
          <w:t xml:space="preserve">https://doi.org/10.1177/0956797613499923</w:t>
        </w:r>
      </w:hyperlink>
    </w:p>
    <w:bookmarkEnd w:id="58"/>
    <w:bookmarkStart w:id="60" w:name="ref-buttonPowerFailureWhy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(5), 365–376.</w:t>
      </w:r>
      <w:r>
        <w:t xml:space="preserve"> </w:t>
      </w:r>
      <w:hyperlink r:id="rId59">
        <w:r>
          <w:rPr>
            <w:rStyle w:val="Hyperlink"/>
          </w:rPr>
          <w:t xml:space="preserve">https://doi.org/10.1038/nrn3475</w:t>
        </w:r>
      </w:hyperlink>
    </w:p>
    <w:bookmarkEnd w:id="60"/>
    <w:bookmarkStart w:id="62"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1">
        <w:r>
          <w:rPr>
            <w:rStyle w:val="Hyperlink"/>
          </w:rPr>
          <w:t xml:space="preserve">https://doi.org/10.21231/GNT1-HW21</w:t>
        </w:r>
      </w:hyperlink>
    </w:p>
    <w:bookmarkEnd w:id="62"/>
    <w:bookmarkStart w:id="64" w:name="X7184952359760f4d1a5486dd020a7850c2f64c7"/>
    <w:p>
      <w:pPr>
        <w:pStyle w:val="Bibliography"/>
      </w:pPr>
      <w:r>
        <w:t xml:space="preserve">Cohen, J. (1962). 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w:t>
      </w:r>
      <w:r>
        <w:t xml:space="preserve"> </w:t>
      </w:r>
      <w:r>
        <w:rPr>
          <w:i/>
          <w:iCs/>
        </w:rPr>
        <w:t xml:space="preserve">65</w:t>
      </w:r>
      <w:r>
        <w:t xml:space="preserve">(3), 145–153.</w:t>
      </w:r>
      <w:r>
        <w:t xml:space="preserve"> </w:t>
      </w:r>
      <w:hyperlink r:id="rId63">
        <w:r>
          <w:rPr>
            <w:rStyle w:val="Hyperlink"/>
          </w:rPr>
          <w:t xml:space="preserve">https://doi.org/10.1037/h0045186</w:t>
        </w:r>
      </w:hyperlink>
    </w:p>
    <w:bookmarkEnd w:id="64"/>
    <w:bookmarkStart w:id="65" w:name="ref-cohenStatisticalPowerAnalysis1988"/>
    <w:p>
      <w:pPr>
        <w:pStyle w:val="Bibliography"/>
      </w:pPr>
      <w:r>
        <w:t xml:space="preserve">Cohen, J.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w:t>
      </w:r>
      <w:r>
        <w:t xml:space="preserve">(2 edition). Routledge.</w:t>
      </w:r>
    </w:p>
    <w:bookmarkEnd w:id="65"/>
    <w:bookmarkStart w:id="67" w:name="ref-fanelliPositiveResultsIncrease2010"/>
    <w:p>
      <w:pPr>
        <w:pStyle w:val="Bibliography"/>
      </w:pPr>
      <w:r>
        <w:t xml:space="preserve">Fanelli, D. (2010).</w:t>
      </w:r>
      <w:r>
        <w:t xml:space="preserve"> </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w:t>
      </w:r>
      <w:r>
        <w:t xml:space="preserve"> </w:t>
      </w:r>
      <w:r>
        <w:rPr>
          <w:i/>
          <w:iCs/>
        </w:rPr>
        <w:t xml:space="preserve">5</w:t>
      </w:r>
      <w:r>
        <w:t xml:space="preserve">(4), e10068.</w:t>
      </w:r>
      <w:r>
        <w:t xml:space="preserve"> </w:t>
      </w:r>
      <w:hyperlink r:id="rId66">
        <w:r>
          <w:rPr>
            <w:rStyle w:val="Hyperlink"/>
          </w:rPr>
          <w:t xml:space="preserve">https://doi.org/10.1371/journal.pone.0010068</w:t>
        </w:r>
      </w:hyperlink>
    </w:p>
    <w:bookmarkEnd w:id="67"/>
    <w:bookmarkStart w:id="69" w:name="ref-hefnerAlcoholStressResponse2013"/>
    <w:p>
      <w:pPr>
        <w:pStyle w:val="Bibliography"/>
      </w:pPr>
      <w:r>
        <w:t xml:space="preserve">Hefner, K. R., Moberg, C. A., Hachiya, L. Y., &amp; Curtin, J. J. (2013). Alcohol stress response dampening during imminent versus distal, uncertain threat.</w:t>
      </w:r>
      <w:r>
        <w:t xml:space="preserve"> </w:t>
      </w:r>
      <w:r>
        <w:rPr>
          <w:i/>
          <w:iCs/>
        </w:rPr>
        <w:t xml:space="preserve">Journal of Abnormal Psychology</w:t>
      </w:r>
      <w:r>
        <w:t xml:space="preserve">,</w:t>
      </w:r>
      <w:r>
        <w:t xml:space="preserve"> </w:t>
      </w:r>
      <w:r>
        <w:rPr>
          <w:i/>
          <w:iCs/>
        </w:rPr>
        <w:t xml:space="preserve">122</w:t>
      </w:r>
      <w:r>
        <w:t xml:space="preserve">(3), 756–769.</w:t>
      </w:r>
      <w:r>
        <w:t xml:space="preserve"> </w:t>
      </w:r>
      <w:hyperlink r:id="rId68">
        <w:r>
          <w:rPr>
            <w:rStyle w:val="Hyperlink"/>
          </w:rPr>
          <w:t xml:space="preserve">https://doi.org/10.1037/a0033407</w:t>
        </w:r>
      </w:hyperlink>
    </w:p>
    <w:bookmarkEnd w:id="69"/>
    <w:bookmarkStart w:id="71" w:name="X1d510f5e635c9bb1fe85b2bd18ed5a6e27b856d"/>
    <w:p>
      <w:pPr>
        <w:pStyle w:val="Bibliography"/>
      </w:pPr>
      <w:r>
        <w:t xml:space="preserve">Hernández, A. V., Steyerberg, E. W., &amp; Habbema, J. D. F. (2004). Covariate adjustment in randomized controlled trials with dichotomous outcomes increases statistical power and reduces sample size requirements.</w:t>
      </w:r>
      <w:r>
        <w:t xml:space="preserve"> </w:t>
      </w:r>
      <w:r>
        <w:rPr>
          <w:i/>
          <w:iCs/>
        </w:rPr>
        <w:t xml:space="preserve">Journal of Clinical Epidemiology</w:t>
      </w:r>
      <w:r>
        <w:t xml:space="preserve">,</w:t>
      </w:r>
      <w:r>
        <w:t xml:space="preserve"> </w:t>
      </w:r>
      <w:r>
        <w:rPr>
          <w:i/>
          <w:iCs/>
        </w:rPr>
        <w:t xml:space="preserve">57</w:t>
      </w:r>
      <w:r>
        <w:t xml:space="preserve">(5), 454–460.</w:t>
      </w:r>
      <w:r>
        <w:t xml:space="preserve"> </w:t>
      </w:r>
      <w:hyperlink r:id="rId70">
        <w:r>
          <w:rPr>
            <w:rStyle w:val="Hyperlink"/>
          </w:rPr>
          <w:t xml:space="preserve">https://doi.org/10.1016/j.jclinepi.2003.09.014</w:t>
        </w:r>
      </w:hyperlink>
    </w:p>
    <w:bookmarkEnd w:id="71"/>
    <w:bookmarkStart w:id="73" w:name="ref-ioannidisWhyMostPublished2005"/>
    <w:p>
      <w:pPr>
        <w:pStyle w:val="Bibliography"/>
      </w:pPr>
      <w:r>
        <w:t xml:space="preserve">Ioannidis, J. P. A. (2005). Why most published research findings are false.</w:t>
      </w:r>
      <w:r>
        <w:t xml:space="preserve"> </w:t>
      </w:r>
      <w:r>
        <w:rPr>
          <w:i/>
          <w:iCs/>
        </w:rPr>
        <w:t xml:space="preserve">PLoS Medicine</w:t>
      </w:r>
      <w:r>
        <w:t xml:space="preserve">,</w:t>
      </w:r>
      <w:r>
        <w:t xml:space="preserve"> </w:t>
      </w:r>
      <w:r>
        <w:rPr>
          <w:i/>
          <w:iCs/>
        </w:rPr>
        <w:t xml:space="preserve">2</w:t>
      </w:r>
      <w:r>
        <w:t xml:space="preserve">(8), e124.</w:t>
      </w:r>
      <w:r>
        <w:t xml:space="preserve"> </w:t>
      </w:r>
      <w:hyperlink r:id="rId72">
        <w:r>
          <w:rPr>
            <w:rStyle w:val="Hyperlink"/>
          </w:rPr>
          <w:t xml:space="preserve">https://doi.org/10.1371/journal.pmed.0020124</w:t>
        </w:r>
      </w:hyperlink>
    </w:p>
    <w:bookmarkEnd w:id="73"/>
    <w:bookmarkStart w:id="75" w:name="ref-kahanRisksRewardsCovariate2014"/>
    <w:p>
      <w:pPr>
        <w:pStyle w:val="Bibliography"/>
      </w:pPr>
      <w:r>
        <w:t xml:space="preserve">Kahan, B. C., Jairath, V., Doré, C. J., &amp; Morris, T. P. (2014). The risks and rewards of covariate adjustment in randomized trials: An assessment of 12 outcomes from 8 studies.</w:t>
      </w:r>
      <w:r>
        <w:t xml:space="preserve"> </w:t>
      </w:r>
      <w:r>
        <w:rPr>
          <w:i/>
          <w:iCs/>
        </w:rPr>
        <w:t xml:space="preserve">Trials</w:t>
      </w:r>
      <w:r>
        <w:t xml:space="preserve">,</w:t>
      </w:r>
      <w:r>
        <w:t xml:space="preserve"> </w:t>
      </w:r>
      <w:r>
        <w:rPr>
          <w:i/>
          <w:iCs/>
        </w:rPr>
        <w:t xml:space="preserve">15</w:t>
      </w:r>
      <w:r>
        <w:t xml:space="preserve">, 139.</w:t>
      </w:r>
      <w:r>
        <w:t xml:space="preserve"> </w:t>
      </w:r>
      <w:hyperlink r:id="rId74">
        <w:r>
          <w:rPr>
            <w:rStyle w:val="Hyperlink"/>
          </w:rPr>
          <w:t xml:space="preserve">https://doi.org/10.1186/1745-6215-15-139</w:t>
        </w:r>
      </w:hyperlink>
    </w:p>
    <w:bookmarkEnd w:id="75"/>
    <w:bookmarkStart w:id="76"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6"/>
    <w:bookmarkStart w:id="78" w:name="Xacb972bec6951688223e59e5436f5358068fdee"/>
    <w:p>
      <w:pPr>
        <w:pStyle w:val="Bibliography"/>
      </w:pPr>
      <w:r>
        <w:t xml:space="preserve">Miller, G. A., &amp; Chapman, J. P. (2001).</w:t>
      </w:r>
      <w:r>
        <w:t xml:space="preserve"> </w:t>
      </w:r>
      <w:hyperlink r:id="rId77">
        <w:r>
          <w:rPr>
            <w:rStyle w:val="Hyperlink"/>
          </w:rPr>
          <w:t xml:space="preserve">Misunderstanding analysis of covariance</w:t>
        </w:r>
      </w:hyperlink>
      <w:r>
        <w:t xml:space="preserve">.</w:t>
      </w:r>
      <w:r>
        <w:t xml:space="preserve"> </w:t>
      </w:r>
      <w:r>
        <w:rPr>
          <w:i/>
          <w:iCs/>
        </w:rPr>
        <w:t xml:space="preserve">Journal of Abnormal Psychology</w:t>
      </w:r>
      <w:r>
        <w:t xml:space="preserve">,</w:t>
      </w:r>
      <w:r>
        <w:t xml:space="preserve"> </w:t>
      </w:r>
      <w:r>
        <w:rPr>
          <w:i/>
          <w:iCs/>
        </w:rPr>
        <w:t xml:space="preserve">110</w:t>
      </w:r>
      <w:r>
        <w:t xml:space="preserve">(1), 40–48.</w:t>
      </w:r>
    </w:p>
    <w:bookmarkEnd w:id="78"/>
    <w:bookmarkStart w:id="79"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79"/>
    <w:bookmarkStart w:id="81" w:name="X2622635a1d0cb17575e986ac7fc2f356c2369ea"/>
    <w:p>
      <w:pPr>
        <w:pStyle w:val="Bibliography"/>
      </w:pPr>
      <w:r>
        <w:t xml:space="preserve">Schelchter, M. D., &amp; Forsythe, A. B. (1985). Post-hoc selection of covariates in randomized experiments.</w:t>
      </w:r>
      <w:r>
        <w:t xml:space="preserve"> </w:t>
      </w:r>
      <w:r>
        <w:rPr>
          <w:i/>
          <w:iCs/>
        </w:rPr>
        <w:t xml:space="preserve">Communications in Statistics - Theory and Methods</w:t>
      </w:r>
      <w:r>
        <w:t xml:space="preserve">,</w:t>
      </w:r>
      <w:r>
        <w:t xml:space="preserve"> </w:t>
      </w:r>
      <w:r>
        <w:rPr>
          <w:i/>
          <w:iCs/>
        </w:rPr>
        <w:t xml:space="preserve">14</w:t>
      </w:r>
      <w:r>
        <w:t xml:space="preserve">(3), 679–699.</w:t>
      </w:r>
      <w:r>
        <w:t xml:space="preserve"> </w:t>
      </w:r>
      <w:hyperlink r:id="rId80">
        <w:r>
          <w:rPr>
            <w:rStyle w:val="Hyperlink"/>
          </w:rPr>
          <w:t xml:space="preserve">https://doi.org/10.1080/03610928508828942</w:t>
        </w:r>
      </w:hyperlink>
    </w:p>
    <w:bookmarkEnd w:id="81"/>
    <w:bookmarkStart w:id="83" w:name="X8e2c8939838df13f010698dd12f887c58598160"/>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82">
        <w:r>
          <w:rPr>
            <w:rStyle w:val="Hyperlink"/>
          </w:rPr>
          <w:t xml:space="preserve">https://doi.org/10.1177/0956797611417632</w:t>
        </w:r>
      </w:hyperlink>
    </w:p>
    <w:bookmarkEnd w:id="83"/>
    <w:bookmarkStart w:id="85" w:name="ref-simonsohnPcurveKeyFiledrawer2014"/>
    <w:p>
      <w:pPr>
        <w:pStyle w:val="Bibliography"/>
      </w:pPr>
      <w:r>
        <w:t xml:space="preserve">Simonsohn, U., Nelson, L. D., &amp; Simmons, J. P. (2014). 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84">
        <w:r>
          <w:rPr>
            <w:rStyle w:val="Hyperlink"/>
          </w:rPr>
          <w:t xml:space="preserve">https://doi.org/10.1037/a0033242</w:t>
        </w:r>
      </w:hyperlink>
    </w:p>
    <w:bookmarkEnd w:id="85"/>
    <w:bookmarkStart w:id="87" w:name="ref-thompsonCovariateAdjustmentHad2015"/>
    <w:p>
      <w:pPr>
        <w:pStyle w:val="Bibliography"/>
      </w:pPr>
      <w:r>
        <w:t xml:space="preserve">Thompson, D. D., Lingsma, H. F., Whiteley, W. N., Murray, G. D., &amp; Steyerberg, E. W. (2015). Covariate adjustment had similar benefits in small and large randomized controlled trials.</w:t>
      </w:r>
      <w:r>
        <w:t xml:space="preserve"> </w:t>
      </w:r>
      <w:r>
        <w:rPr>
          <w:i/>
          <w:iCs/>
        </w:rPr>
        <w:t xml:space="preserve">Journal of Clinical Epidemiology</w:t>
      </w:r>
      <w:r>
        <w:t xml:space="preserve">,</w:t>
      </w:r>
      <w:r>
        <w:t xml:space="preserve"> </w:t>
      </w:r>
      <w:r>
        <w:rPr>
          <w:i/>
          <w:iCs/>
        </w:rPr>
        <w:t xml:space="preserve">68</w:t>
      </w:r>
      <w:r>
        <w:t xml:space="preserve">(9), 1068–1075.</w:t>
      </w:r>
      <w:r>
        <w:t xml:space="preserve"> </w:t>
      </w:r>
      <w:hyperlink r:id="rId86">
        <w:r>
          <w:rPr>
            <w:rStyle w:val="Hyperlink"/>
          </w:rPr>
          <w:t xml:space="preserve">https://doi.org/10.1016/j.jclinepi.2014.11.001</w:t>
        </w:r>
      </w:hyperlink>
    </w:p>
    <w:bookmarkEnd w:id="87"/>
    <w:bookmarkStart w:id="89" w:name="X65fcee1c7a41f936cbb5091b59133225cfac5a3"/>
    <w:p>
      <w:pPr>
        <w:pStyle w:val="Bibliography"/>
      </w:pPr>
      <w:r>
        <w:t xml:space="preserve">Tibshirani, R. (1996). 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88">
        <w:r>
          <w:rPr>
            <w:rStyle w:val="Hyperlink"/>
          </w:rPr>
          <w:t xml:space="preserve">https://doi.org/10.1111/j.2517-6161.1996.tb02080.x</w:t>
        </w:r>
      </w:hyperlink>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46" Target="media/rId46.png" /><Relationship Type="http://schemas.openxmlformats.org/officeDocument/2006/relationships/image" Id="rId35" Target="media/rId35.png" /><Relationship Type="http://schemas.openxmlformats.org/officeDocument/2006/relationships/hyperlink" Id="rId70" Target="https://doi.org/10.1016/j.jclinepi.2003.09.014" TargetMode="External" /><Relationship Type="http://schemas.openxmlformats.org/officeDocument/2006/relationships/hyperlink" Id="rId86" Target="https://doi.org/10.1016/j.jclinepi.2014.11.001" TargetMode="External" /><Relationship Type="http://schemas.openxmlformats.org/officeDocument/2006/relationships/hyperlink" Id="rId84" Target="https://doi.org/10.1037/a0033242" TargetMode="External" /><Relationship Type="http://schemas.openxmlformats.org/officeDocument/2006/relationships/hyperlink" Id="rId68" Target="https://doi.org/10.1037/a0033407" TargetMode="External" /><Relationship Type="http://schemas.openxmlformats.org/officeDocument/2006/relationships/hyperlink" Id="rId63" Target="https://doi.org/10.1037/h0045186" TargetMode="External" /><Relationship Type="http://schemas.openxmlformats.org/officeDocument/2006/relationships/hyperlink" Id="rId55" Target="https://doi.org/10.1038/533452a" TargetMode="External" /><Relationship Type="http://schemas.openxmlformats.org/officeDocument/2006/relationships/hyperlink" Id="rId59" Target="https://doi.org/10.1038/nrn3475" TargetMode="External" /><Relationship Type="http://schemas.openxmlformats.org/officeDocument/2006/relationships/hyperlink" Id="rId80" Target="https://doi.org/10.1080/03610928508828942" TargetMode="External" /><Relationship Type="http://schemas.openxmlformats.org/officeDocument/2006/relationships/hyperlink" Id="rId88" Target="https://doi.org/10.1111/j.2517-6161.1996.tb02080.x" TargetMode="External" /><Relationship Type="http://schemas.openxmlformats.org/officeDocument/2006/relationships/hyperlink" Id="rId82" Target="https://doi.org/10.1177/0956797611417632" TargetMode="External" /><Relationship Type="http://schemas.openxmlformats.org/officeDocument/2006/relationships/hyperlink" Id="rId57" Target="https://doi.org/10.1177/0956797613499923"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6" Target="https://doi.org/10.1371/journal.pone.0010068" TargetMode="External" /><Relationship Type="http://schemas.openxmlformats.org/officeDocument/2006/relationships/hyperlink" Id="rId61" Target="https://doi.org/10.21231/GNT1-HW21" TargetMode="External" /><Relationship Type="http://schemas.openxmlformats.org/officeDocument/2006/relationships/hyperlink" Id="rId18" Target="https://jjcurtin.github.io/study_cov/index.qmd.html" TargetMode="External" /><Relationship Type="http://schemas.openxmlformats.org/officeDocument/2006/relationships/hyperlink" Id="rId34" Target="https://jjcurtin.github.io/study_cov/notebooks\mak_figures-preview.html#cell-fig-bar-1" TargetMode="External" /><Relationship Type="http://schemas.openxmlformats.org/officeDocument/2006/relationships/hyperlink" Id="rId45" Target="https://jjcurtin.github.io/study_cov/notebooks\mak_figures-preview.html#cell-fig-bar-2" TargetMode="External" /><Relationship Type="http://schemas.openxmlformats.org/officeDocument/2006/relationships/hyperlink" Id="rId28" Target="https://jjcurtin.github.io/study_cov/notebooks\mak_figures-preview.html#cell-fig-distribution-bx" TargetMode="External" /><Relationship Type="http://schemas.openxmlformats.org/officeDocument/2006/relationships/hyperlink" Id="rId50" Target="https://jjcurtin.github.io/study_cov/notebooks\mak_figures-preview.html#cell-fig-panel-2" TargetMode="External" /><Relationship Type="http://schemas.openxmlformats.org/officeDocument/2006/relationships/hyperlink" Id="rId39" Target="https://jjcurtin.github.io/study_cov/notebooks\mak_figures-preview.html#cell-fig-type1-panel" TargetMode="External" /><Relationship Type="http://schemas.openxmlformats.org/officeDocument/2006/relationships/hyperlink" Id="rId16" Target="https://jjcurtin.github.io/study_cov/notebooks\mak_tables-preview.html#cell-tbl-dictionary" TargetMode="External" /><Relationship Type="http://schemas.openxmlformats.org/officeDocument/2006/relationships/hyperlink" Id="rId23" Target="https://jjcurtin.github.io/study_cov/notebooks\mak_tables-preview.html#cell-tbl-est" TargetMode="External" /><Relationship Type="http://schemas.openxmlformats.org/officeDocument/2006/relationships/hyperlink" Id="rId13" Target="https://jjcurtin.github.io/study_cov/notebooks\mak_tables-preview.html#cell-tbl-methods" TargetMode="External" /><Relationship Type="http://schemas.openxmlformats.org/officeDocument/2006/relationships/hyperlink" Id="rId10" Target="https://osf.io/zh5gn/" TargetMode="External" /><Relationship Type="http://schemas.openxmlformats.org/officeDocument/2006/relationships/hyperlink" Id="rId77"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16/j.jclinepi.2003.09.014" TargetMode="External" /><Relationship Type="http://schemas.openxmlformats.org/officeDocument/2006/relationships/hyperlink" Id="rId86" Target="https://doi.org/10.1016/j.jclinepi.2014.11.001" TargetMode="External" /><Relationship Type="http://schemas.openxmlformats.org/officeDocument/2006/relationships/hyperlink" Id="rId84" Target="https://doi.org/10.1037/a0033242" TargetMode="External" /><Relationship Type="http://schemas.openxmlformats.org/officeDocument/2006/relationships/hyperlink" Id="rId68" Target="https://doi.org/10.1037/a0033407" TargetMode="External" /><Relationship Type="http://schemas.openxmlformats.org/officeDocument/2006/relationships/hyperlink" Id="rId63" Target="https://doi.org/10.1037/h0045186" TargetMode="External" /><Relationship Type="http://schemas.openxmlformats.org/officeDocument/2006/relationships/hyperlink" Id="rId55" Target="https://doi.org/10.1038/533452a" TargetMode="External" /><Relationship Type="http://schemas.openxmlformats.org/officeDocument/2006/relationships/hyperlink" Id="rId59" Target="https://doi.org/10.1038/nrn3475" TargetMode="External" /><Relationship Type="http://schemas.openxmlformats.org/officeDocument/2006/relationships/hyperlink" Id="rId80" Target="https://doi.org/10.1080/03610928508828942" TargetMode="External" /><Relationship Type="http://schemas.openxmlformats.org/officeDocument/2006/relationships/hyperlink" Id="rId88" Target="https://doi.org/10.1111/j.2517-6161.1996.tb02080.x" TargetMode="External" /><Relationship Type="http://schemas.openxmlformats.org/officeDocument/2006/relationships/hyperlink" Id="rId82" Target="https://doi.org/10.1177/0956797611417632" TargetMode="External" /><Relationship Type="http://schemas.openxmlformats.org/officeDocument/2006/relationships/hyperlink" Id="rId57" Target="https://doi.org/10.1177/0956797613499923"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6" Target="https://doi.org/10.1371/journal.pone.0010068" TargetMode="External" /><Relationship Type="http://schemas.openxmlformats.org/officeDocument/2006/relationships/hyperlink" Id="rId61" Target="https://doi.org/10.21231/GNT1-HW21" TargetMode="External" /><Relationship Type="http://schemas.openxmlformats.org/officeDocument/2006/relationships/hyperlink" Id="rId18" Target="https://jjcurtin.github.io/study_cov/index.qmd.html" TargetMode="External" /><Relationship Type="http://schemas.openxmlformats.org/officeDocument/2006/relationships/hyperlink" Id="rId34" Target="https://jjcurtin.github.io/study_cov/notebooks\mak_figures-preview.html#cell-fig-bar-1" TargetMode="External" /><Relationship Type="http://schemas.openxmlformats.org/officeDocument/2006/relationships/hyperlink" Id="rId45" Target="https://jjcurtin.github.io/study_cov/notebooks\mak_figures-preview.html#cell-fig-bar-2" TargetMode="External" /><Relationship Type="http://schemas.openxmlformats.org/officeDocument/2006/relationships/hyperlink" Id="rId28" Target="https://jjcurtin.github.io/study_cov/notebooks\mak_figures-preview.html#cell-fig-distribution-bx" TargetMode="External" /><Relationship Type="http://schemas.openxmlformats.org/officeDocument/2006/relationships/hyperlink" Id="rId50" Target="https://jjcurtin.github.io/study_cov/notebooks\mak_figures-preview.html#cell-fig-panel-2" TargetMode="External" /><Relationship Type="http://schemas.openxmlformats.org/officeDocument/2006/relationships/hyperlink" Id="rId39" Target="https://jjcurtin.github.io/study_cov/notebooks\mak_figures-preview.html#cell-fig-type1-panel" TargetMode="External" /><Relationship Type="http://schemas.openxmlformats.org/officeDocument/2006/relationships/hyperlink" Id="rId16" Target="https://jjcurtin.github.io/study_cov/notebooks\mak_tables-preview.html#cell-tbl-dictionary" TargetMode="External" /><Relationship Type="http://schemas.openxmlformats.org/officeDocument/2006/relationships/hyperlink" Id="rId23" Target="https://jjcurtin.github.io/study_cov/notebooks\mak_tables-preview.html#cell-tbl-est" TargetMode="External" /><Relationship Type="http://schemas.openxmlformats.org/officeDocument/2006/relationships/hyperlink" Id="rId13" Target="https://jjcurtin.github.io/study_cov/notebooks\mak_tables-preview.html#cell-tbl-methods" TargetMode="External" /><Relationship Type="http://schemas.openxmlformats.org/officeDocument/2006/relationships/hyperlink" Id="rId10" Target="https://osf.io/zh5gn/" TargetMode="External" /><Relationship Type="http://schemas.openxmlformats.org/officeDocument/2006/relationships/hyperlink" Id="rId77"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Optimal Covariate Selection Approaches for Experimental Research: A Simulation Study</dc:title>
  <dc:creator>Kendra Wyant; Lauren Khoury; Markus Brauer; John J. Curtin</dc:creator>
  <cp:keywords/>
  <dcterms:created xsi:type="dcterms:W3CDTF">2026-06-23T17:08:49Z</dcterms:created>
  <dcterms:modified xsi:type="dcterms:W3CDTF">2026-06-23T17:08:49Z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Covariates can reduce Type II errors in experimental research but optimal covariate selection can be challenging and may reduce statistical validity if done incorrectly. Consequently, researchers often adopt two extremes - including no or all covariates in their primary analysis. However, data-driven approaches for covariate selection may represent an effective advantageous alternative.In this simulation study, we evaluated nine covariate selection approaches that include the two traditional approaches (no covariates, all covariates) and seven data-driven approaches that use screening models to identify optimal covariates.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apa.csl</vt:lpwstr>
  </property>
  <property fmtid="{D5CDD505-2E9C-101B-9397-08002B2CF9AE}" pid="11" name="date">
    <vt:lpwstr>2026-06-23</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