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2026-06-19</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A valid test of the effect of such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when testing IV effects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errors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this decision would increase the probability of Type II errors due to lower statistical power.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Further detail on these approaches is provided below. For all traditional and data-driven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0.203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When compared to the LASSO with</w:t>
      </w:r>
      <w:r>
        <w:t xml:space="preserve"> </w:t>
      </w:r>
      <m:oMath>
        <m:r>
          <m:t>X</m:t>
        </m:r>
      </m:oMath>
      <w:r>
        <w:t xml:space="preserve"> </w:t>
      </w:r>
      <w:r>
        <w:t xml:space="preserve">approach, the separate cov lm approach 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two previously discussed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We believe our paper provides strong evidence to support the clear benefits of using baseline covariates. In our opinion, we believe that either the simultaneous LASSO w/</w:t>
      </w:r>
      <w:r>
        <w:t xml:space="preserve"> </w:t>
      </w:r>
      <m:oMath>
        <m:r>
          <m:t>X</m:t>
        </m:r>
      </m:oMath>
      <w:r>
        <w:t xml:space="preserve"> </w:t>
      </w:r>
      <w:r>
        <w:t xml:space="preserve">or the separate lm with</w:t>
      </w:r>
      <w:r>
        <w:t xml:space="preserve"> </w:t>
      </w:r>
      <m:oMath>
        <m:r>
          <m:t>X</m:t>
        </m:r>
      </m:oMath>
      <w:r>
        <w:t xml:space="preserve"> </w:t>
      </w:r>
      <w:r>
        <w:t xml:space="preserve">are the superior choices when considering both Type I/II error rates and parameter estimate bias. However, we also hope that we have also clarified the relative costs and benefits across all of these approaches to allow researchers to make informed decisions based on their own priorities and research context.</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2026-06-20T02:29:21Z</dcterms:created>
  <dcterms:modified xsi:type="dcterms:W3CDTF">2026-06-20T02:29:21Z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