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2025-10-22</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way to estabish causal relationships between a variable of interest and a psychological outcome. For example, researchers may manipulate treatment condition to determine if a new psychotherapy treatment reduces anxiety symptoms.</w:t>
      </w:r>
    </w:p>
    <w:p>
      <w:pPr>
        <w:pStyle w:val="BodyText"/>
      </w:pPr>
      <w:r>
        <w:t xml:space="preserve">The validity of causal interpretations rests on the prequisite of adequate statistical power</w:t>
      </w:r>
      <w:r>
        <w:t xml:space="preserve"> </w:t>
      </w:r>
      <w:r>
        <w:t xml:space="preserve">(Cohen 1988, 1992)</w:t>
      </w:r>
      <w:r>
        <w:t xml:space="preserve">. Statistical power is the probability of avoiding a type II error (failing to reject the null hypothesis when a true effect exists). The field has come to recognize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(Button et al. 2013)</w:t>
      </w:r>
      <w:r>
        <w:t xml:space="preserve">. These conclusions have led the field to recognize a crisis of studies failing to replicate and increased caution and consideration around researcher decisions in statistical tests.</w:t>
      </w:r>
    </w:p>
    <w:p>
      <w:pPr>
        <w:pStyle w:val="BodyText"/>
      </w:pPr>
      <w:r>
        <w:t xml:space="preserve">Adding covariates, variables measured at baseline prior to the manipulation, to statistical models have been demonstrated to reduce type II error by accounting for some of the unexplained variance in the outcome that might otherwise be interpreted as noise</w:t>
      </w:r>
      <w:r>
        <w:t xml:space="preserve">. In the example raised earlier where researchers are testing whether a new treatment reduces anxiety symptoms, they might consider adding a measure of recent stressful life events. Stressful events would be expected to be correlated with anxiety but would not be correlated with the manipulated variable if measured after treatment assignment, thereby reducing variance in anxiety unrelated to the manipulation.</w:t>
      </w:r>
    </w:p>
    <w:p>
      <w:pPr>
        <w:pStyle w:val="BodyText"/>
      </w:pPr>
      <w:r>
        <w:t xml:space="preserve">However, selecting which covariates to include has not been as straight-forward. As a result, researchers have often iterated over their analyses, selectively adding covariates that improved the statistical significance (i.e.,</w:t>
      </w:r>
      <w:r>
        <w:t xml:space="preserve"> </w:t>
      </w:r>
      <w:r>
        <w:rPr>
          <w:i/>
          <w:iCs/>
        </w:rPr>
        <w:t xml:space="preserve">p</w:t>
      </w:r>
      <w:r>
        <w:t xml:space="preserve">-value) of their focal variable, a practice known as</w:t>
      </w:r>
      <w:r>
        <w:t xml:space="preserve"> </w:t>
      </w:r>
      <w:r>
        <w:rPr>
          <w:i/>
          <w:iCs/>
        </w:rPr>
        <w:t xml:space="preserve">p</w:t>
      </w:r>
      <w:r>
        <w:t xml:space="preserve">-hacking</w:t>
      </w:r>
      <w:r>
        <w:t xml:space="preserve"> </w:t>
      </w:r>
      <w:r>
        <w:t xml:space="preserve">(Uri Simonsohn, Leif D. Nelson, and Joseph P. Simmons 2014)</w:t>
      </w:r>
      <w:r>
        <w:t xml:space="preserve">. It is now well-estabished that this is a statistically invalid method for selecting covariates and leads to an increase in type I error (finding significant effects that do not truly exist;</w:t>
      </w:r>
      <w:r>
        <w:t xml:space="preserve"> </w:t>
      </w:r>
      <w:r>
        <w:t xml:space="preserve">(Simmons, Nelson, and Simonsohn 2011; Ioannidis 2005)</w:t>
      </w:r>
      <w:r>
        <w:t xml:space="preserve">).</w:t>
      </w:r>
    </w:p>
    <w:p>
      <w:pPr>
        <w:pStyle w:val="BodyText"/>
      </w:pPr>
      <w:r>
        <w:t xml:space="preserve">While this serves as an example of what not to do, there remains an important question on how covariates should be selected. In light of the stark consequences of</w:t>
      </w:r>
      <w:r>
        <w:t xml:space="preserve"> </w:t>
      </w:r>
      <w:r>
        <w:rPr>
          <w:i/>
          <w:iCs/>
        </w:rPr>
        <w:t xml:space="preserve">p</w:t>
      </w:r>
      <w:r>
        <w:t xml:space="preserve">-hacking illuminated by</w:t>
      </w:r>
      <w:r>
        <w:t xml:space="preserve"> </w:t>
      </w:r>
      <w:r>
        <w:t xml:space="preserve">Simmons, Nelson, and Simonsohn (2011)</w:t>
      </w:r>
      <w:r>
        <w:t xml:space="preserve"> </w:t>
      </w:r>
      <w:r>
        <w:t xml:space="preserve">and others, one may conclude that perhaps no covariates should be used. Though, as noted earlier this would come with an increased type II error. Another conclusion might be to use all available covariates that are reasonably believed to account for unexplained variance in the outcome. Each additional covariate, however, will remove a degree of freedom. In psychology, where potential covariates are numerous and often redundant, degrees of freedom are likely to be reduced unnecessarily, resulting in again increased type II error.</w:t>
      </w:r>
    </w:p>
    <w:p>
      <w:pPr>
        <w:pStyle w:val="BodyText"/>
      </w:pPr>
      <w:r>
        <w:t xml:space="preserve">It is clear then that covariate selection is needed for adequately powered analyses (i.e., with low type II error). However, criticially this covariate selection method must not nominally change the type I error rate (e.g., as seen with</w:t>
      </w:r>
      <w:r>
        <w:t xml:space="preserve"> </w:t>
      </w:r>
      <w:r>
        <w:rPr>
          <w:i/>
          <w:iCs/>
        </w:rPr>
        <w:t xml:space="preserve">p</w:t>
      </w:r>
      <w:r>
        <w:t xml:space="preserve">-hacking). This study aims to provide clear and accessible methods for researchers to use to select among a set of covariates by simulating … across several research settings.</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58"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8"/>
    <w:bookmarkStart w:id="72" w:name="references"/>
    <w:p>
      <w:pPr>
        <w:pStyle w:val="Heading1"/>
      </w:pPr>
      <w:r>
        <w:t xml:space="preserve">References</w:t>
      </w:r>
    </w:p>
    <w:bookmarkStart w:id="71" w:name="refs"/>
    <w:bookmarkStart w:id="6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59">
        <w:r>
          <w:rPr>
            <w:rStyle w:val="Hyperlink"/>
          </w:rPr>
          <w:t xml:space="preserve">https://doi.org/10.1038/nrn3475</w:t>
        </w:r>
      </w:hyperlink>
      <w:r>
        <w:t xml:space="preserve">.</w:t>
      </w:r>
    </w:p>
    <w:bookmarkEnd w:id="60"/>
    <w:bookmarkStart w:id="6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1">
        <w:r>
          <w:rPr>
            <w:rStyle w:val="Hyperlink"/>
          </w:rPr>
          <w:t xml:space="preserve">https://doi.org/10.21231/GNT1-HW21</w:t>
        </w:r>
      </w:hyperlink>
      <w:r>
        <w:t xml:space="preserve">.</w:t>
      </w:r>
    </w:p>
    <w:bookmarkEnd w:id="62"/>
    <w:bookmarkStart w:id="63"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3"/>
    <w:bookmarkStart w:id="64"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4"/>
    <w:bookmarkStart w:id="66"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65">
        <w:r>
          <w:rPr>
            <w:rStyle w:val="Hyperlink"/>
          </w:rPr>
          <w:t xml:space="preserve">https://doi.org/10.1371/journal.pmed.0020124</w:t>
        </w:r>
      </w:hyperlink>
      <w:r>
        <w:t xml:space="preserve">.</w:t>
      </w:r>
    </w:p>
    <w:bookmarkEnd w:id="66"/>
    <w:bookmarkStart w:id="68"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7">
        <w:r>
          <w:rPr>
            <w:rStyle w:val="Hyperlink"/>
          </w:rPr>
          <w:t xml:space="preserve">https://doi.org/10.1177/0956797611417632</w:t>
        </w:r>
      </w:hyperlink>
      <w:r>
        <w:t xml:space="preserve">.</w:t>
      </w:r>
    </w:p>
    <w:bookmarkEnd w:id="68"/>
    <w:bookmarkStart w:id="70"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9">
        <w:r>
          <w:rPr>
            <w:rStyle w:val="Hyperlink"/>
          </w:rPr>
          <w:t xml:space="preserve">https://doi.org/10.1177/1745691614553988</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Markus Brauer; John J. Curtin</dc:creator>
  <cp:keywords/>
  <dcterms:created xsi:type="dcterms:W3CDTF">2025-10-22T15:59:32Z</dcterms:created>
  <dcterms:modified xsi:type="dcterms:W3CDTF">2025-10-22T15:59:32Z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