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0.png" ContentType="image/png"/>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2025-10-16</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58" w:name="results"/>
    <w:p>
      <w:pPr>
        <w:pStyle w:val="Heading1"/>
      </w:pPr>
      <w:r>
        <w:t xml:space="preserve">Results</w:t>
      </w:r>
    </w:p>
    <w:bookmarkStart w:id="45"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r>
        <w:rPr>
          <w:b/>
          <w:bCs/>
        </w:rPr>
        <w:t xml:space="preserve">?@fig-typeI-bar</w:t>
      </w:r>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 The horizontal dotted black line indicates expected Type 1 Error rate for an alpha = .05.</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ype1-panel"/>
          <w:p>
            <w:pPr>
              <w:pStyle w:val="Compact"/>
              <w:jc w:val="center"/>
            </w:pPr>
            <w:r>
              <w:drawing>
                <wp:inline>
                  <wp:extent cx="5334000" cy="4667249"/>
                  <wp:effectExtent b="0" l="0" r="0" t="0"/>
                  <wp:docPr descr="" title="" id="41" name="Picture"/>
                  <a:graphic>
                    <a:graphicData uri="http://schemas.openxmlformats.org/drawingml/2006/picture">
                      <pic:pic>
                        <pic:nvPicPr>
                          <pic:cNvPr descr="index_files/figure-docx/notebooks-mak_figures-fig-type1-panel-output-1.png" id="42" name="Picture"/>
                          <pic:cNvPicPr>
                            <a:picLocks noChangeArrowheads="1" noChangeAspect="1"/>
                          </pic:cNvPicPr>
                        </pic:nvPicPr>
                        <pic:blipFill>
                          <a:blip r:embed="rId40"/>
                          <a:stretch>
                            <a:fillRect/>
                          </a:stretch>
                        </pic:blipFill>
                        <pic:spPr bwMode="auto">
                          <a:xfrm>
                            <a:off x="0" y="0"/>
                            <a:ext cx="5334000" cy="4667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 The horizontal dotted black line depicts expected type I error rate for an alpha of 0.5.</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bookmarkEnd w:id="45"/>
    <w:bookmarkStart w:id="51"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r>
        <w:rPr>
          <w:b/>
          <w:bCs/>
        </w:rPr>
        <w:t xml:space="preserve">?@fig-typeII-bar</w:t>
      </w:r>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typeii-bar"/>
          <w:p>
            <w:pPr>
              <w:pStyle w:val="Compact"/>
              <w:jc w:val="center"/>
            </w:pPr>
            <w:r>
              <w:drawing>
                <wp:inline>
                  <wp:extent cx="5334000" cy="3810000"/>
                  <wp:effectExtent b="0" l="0" r="0" t="0"/>
                  <wp:docPr descr="" title="" id="47" name="Picture"/>
                  <a:graphic>
                    <a:graphicData uri="http://schemas.openxmlformats.org/drawingml/2006/picture">
                      <pic:pic>
                        <pic:nvPicPr>
                          <pic:cNvPr descr="index_files/figure-docx/notebooks-mak_figures-fig-typeii-bar-output-1.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Figures for Main Manuscript</w:t>
        </w:r>
      </w:hyperlink>
    </w:p>
    <w:p>
      <w:pPr>
        <w:pStyle w:val="BodyText"/>
      </w:pPr>
      <w:r>
        <w:t xml:space="preserve">We also assessed Type II error by individual research setting (</w:t>
      </w:r>
      <w:r>
        <w:rPr>
          <w:b/>
          <w:bCs/>
        </w:rPr>
        <w:t xml:space="preserve">?@fig-typeII-panel</w:t>
      </w:r>
      <w:r>
        <w:t xml:space="preserve">). Across all research setting, using no covariates was associated with higher Type II error. Selection methods that controlled for</w:t>
      </w:r>
      <w:r>
        <w:t xml:space="preserve"> </w:t>
      </w:r>
      <w:r>
        <w:rPr>
          <w:i/>
          <w:iCs/>
        </w:rPr>
        <w:t xml:space="preserve">X</w:t>
      </w:r>
      <w:r>
        <w:t xml:space="preserve"> </w:t>
      </w:r>
      <w:r>
        <w:t xml:space="preserve">produced notably lower type II error rates compared to selection methods that did not control for</w:t>
      </w:r>
      <w:r>
        <w:t xml:space="preserve"> </w:t>
      </w:r>
      <w:r>
        <w:rPr>
          <w:i/>
          <w:iCs/>
        </w:rPr>
        <w:t xml:space="preserve">X</w:t>
      </w:r>
      <w:r>
        <w:t xml:space="preserve"> </w:t>
      </w:r>
      <w:r>
        <w:t xml:space="preserve">or using all available covariates when sample sizes were low. As sample size increased, the methods performed comparably with respect to Type II error.</w:t>
      </w:r>
    </w:p>
    <w:bookmarkEnd w:id="51"/>
    <w:bookmarkStart w:id="57" w:name="parameter-estimates"/>
    <w:p>
      <w:pPr>
        <w:pStyle w:val="Heading2"/>
      </w:pPr>
      <w:r>
        <w:t xml:space="preserve">Parameter Estimates</w:t>
      </w:r>
    </w:p>
    <w:p>
      <w:pPr>
        <w:pStyle w:val="FirstParagraph"/>
      </w:pPr>
      <w:r>
        <w:t xml:space="preserve">As mentioned, this section considers a population parameter of</w:t>
      </w:r>
      <w:r>
        <w:t xml:space="preserve"> </w:t>
      </w:r>
      <w:r>
        <w:rPr>
          <w:i/>
          <w:iCs/>
        </w:rPr>
        <w:t xml:space="preserve">X</w:t>
      </w:r>
      <w:r>
        <w:t xml:space="preserve"> </w:t>
      </w:r>
      <w:r>
        <w:t xml:space="preserve">set to zero.</w:t>
      </w:r>
      <w:r>
        <w:t xml:space="preserve"> </w:t>
      </w:r>
      <w:hyperlink w:anchor="fig-distribution-bx">
        <w:r>
          <w:rPr>
            <w:rStyle w:val="Hyperlink"/>
          </w:rPr>
          <w:t xml:space="preserve">Figure 4</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p>
      <w:pPr>
        <w:pStyle w:val="BodyText"/>
      </w:pPr>
      <w:r>
        <w:t xml:space="preserve">As mentioned, this section considers two population parameters of</w:t>
      </w:r>
      <w:r>
        <w:t xml:space="preserve"> </w:t>
      </w:r>
      <m:oMath>
        <m:r>
          <m:t>X</m:t>
        </m:r>
      </m:oMath>
      <w:r>
        <w:t xml:space="preserve"> </w:t>
      </w:r>
      <w:r>
        <w:t xml:space="preserve">set to 0.3 and 0.5. Figure 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tbl>
      <w:tblPr>
        <w:tblStyle w:val="Table"/>
        <w:tblW w:type="pct" w:w="5000"/>
        <w:tblLayout w:type="fixed"/>
        <w:tblLook w:firstRow="0" w:lastRow="0" w:firstColumn="0" w:lastColumn="0" w:noHBand="0" w:noVBand="0" w:val="0000"/>
      </w:tblPr>
      <w:tblGrid>
        <w:gridCol w:w="7920"/>
      </w:tblGrid>
      <w:tr>
        <w:tc>
          <w:tcPr/>
          <w:bookmarkStart w:id="55" w:name="fig-distribution-bx"/>
          <w:p>
            <w:pPr>
              <w:pStyle w:val="Compact"/>
              <w:jc w:val="center"/>
            </w:pPr>
            <w:r>
              <w:drawing>
                <wp:inline>
                  <wp:extent cx="5334000" cy="6096000"/>
                  <wp:effectExtent b="0" l="0" r="0" t="0"/>
                  <wp:docPr descr="" title="" id="53" name="Picture"/>
                  <a:graphic>
                    <a:graphicData uri="http://schemas.openxmlformats.org/drawingml/2006/picture">
                      <pic:pic>
                        <pic:nvPicPr>
                          <pic:cNvPr descr="index_files/figure-docx/notebooks-mak_figures-fig-distribution-bx-output-2.png" id="54" name="Picture"/>
                          <pic:cNvPicPr>
                            <a:picLocks noChangeArrowheads="1" noChangeAspect="1"/>
                          </pic:cNvPicPr>
                        </pic:nvPicPr>
                        <pic:blipFill>
                          <a:blip r:embed="rId52"/>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Sampling Distribution for Population Parameter Estimates.</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Figures for Main Manuscript</w:t>
        </w:r>
      </w:hyperlink>
    </w:p>
    <w:bookmarkEnd w:id="57"/>
    <w:bookmarkEnd w:id="58"/>
    <w:bookmarkStart w:id="59"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59"/>
    <w:bookmarkStart w:id="71" w:name="references"/>
    <w:p>
      <w:pPr>
        <w:pStyle w:val="Heading1"/>
      </w:pPr>
      <w:r>
        <w:t xml:space="preserve">References</w:t>
      </w:r>
    </w:p>
    <w:bookmarkStart w:id="70" w:name="refs"/>
    <w:bookmarkStart w:id="61"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0">
        <w:r>
          <w:rPr>
            <w:rStyle w:val="Hyperlink"/>
          </w:rPr>
          <w:t xml:space="preserve">https://doi.org/10.1038/nrn3475</w:t>
        </w:r>
      </w:hyperlink>
      <w:r>
        <w:t xml:space="preserve">.</w:t>
      </w:r>
    </w:p>
    <w:bookmarkEnd w:id="61"/>
    <w:bookmarkStart w:id="6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2">
        <w:r>
          <w:rPr>
            <w:rStyle w:val="Hyperlink"/>
          </w:rPr>
          <w:t xml:space="preserve">https://doi.org/10.21231/GNT1-HW21</w:t>
        </w:r>
      </w:hyperlink>
      <w:r>
        <w:t xml:space="preserve">.</w:t>
      </w:r>
    </w:p>
    <w:bookmarkEnd w:id="63"/>
    <w:bookmarkStart w:id="64"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4"/>
    <w:bookmarkStart w:id="65"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65"/>
    <w:bookmarkStart w:id="67"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66">
        <w:r>
          <w:rPr>
            <w:rStyle w:val="Hyperlink"/>
          </w:rPr>
          <w:t xml:space="preserve">https://doi.org/10.1177/0956797611417632</w:t>
        </w:r>
      </w:hyperlink>
      <w:r>
        <w:t xml:space="preserve">.</w:t>
      </w:r>
    </w:p>
    <w:bookmarkEnd w:id="67"/>
    <w:bookmarkStart w:id="69"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68">
        <w:r>
          <w:rPr>
            <w:rStyle w:val="Hyperlink"/>
          </w:rPr>
          <w:t xml:space="preserve">https://doi.org/10.1177/1745691614553988</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60" Target="https://doi.org/10.1038/nrn3475" TargetMode="External" /><Relationship Type="http://schemas.openxmlformats.org/officeDocument/2006/relationships/hyperlink" Id="rId66" Target="https://doi.org/10.1177/0956797611417632" TargetMode="External" /><Relationship Type="http://schemas.openxmlformats.org/officeDocument/2006/relationships/hyperlink" Id="rId68" Target="https://doi.org/10.1177/1745691614553988" TargetMode="External" /><Relationship Type="http://schemas.openxmlformats.org/officeDocument/2006/relationships/hyperlink" Id="rId62" Target="https://doi.org/10.21231/GNT1-HW21" TargetMode="External" /><Relationship Type="http://schemas.openxmlformats.org/officeDocument/2006/relationships/hyperlink" Id="rId56" Target="https://jjcurtin.github.io/study_cov/notebooks\mak_figures-preview.html#cell-fig-distribution-bx"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0" Target="https://jjcurtin.github.io/study_cov/notebooks\mak_figures-preview.html#cell-fig-typeII-bar"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38/nrn3475" TargetMode="External" /><Relationship Type="http://schemas.openxmlformats.org/officeDocument/2006/relationships/hyperlink" Id="rId66" Target="https://doi.org/10.1177/0956797611417632" TargetMode="External" /><Relationship Type="http://schemas.openxmlformats.org/officeDocument/2006/relationships/hyperlink" Id="rId68" Target="https://doi.org/10.1177/1745691614553988" TargetMode="External" /><Relationship Type="http://schemas.openxmlformats.org/officeDocument/2006/relationships/hyperlink" Id="rId62" Target="https://doi.org/10.21231/GNT1-HW21" TargetMode="External" /><Relationship Type="http://schemas.openxmlformats.org/officeDocument/2006/relationships/hyperlink" Id="rId56" Target="https://jjcurtin.github.io/study_cov/notebooks\mak_figures-preview.html#cell-fig-distribution-bx" TargetMode="External" /><Relationship Type="http://schemas.openxmlformats.org/officeDocument/2006/relationships/hyperlink" Id="rId44"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0" Target="https://jjcurtin.github.io/study_cov/notebooks\mak_figures-preview.html#cell-fig-typeII-bar"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2025-10-16T15:45:26Z</dcterms:created>
  <dcterms:modified xsi:type="dcterms:W3CDTF">2025-10-16T15:45:26Z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