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cov</w:t>
      </w:r>
    </w:p>
    <w:p>
      <w:pPr>
        <w:pStyle w:val="Author"/>
      </w:pPr>
      <w:r>
        <w:t xml:space="preserve">Lauren</w:t>
      </w:r>
      <w:r>
        <w:t xml:space="preserve"> </w:t>
      </w:r>
      <w:r>
        <w:t xml:space="preserve">Khoury</w:t>
      </w:r>
    </w:p>
    <w:p>
      <w:pPr>
        <w:pStyle w:val="Author"/>
      </w:pPr>
      <w:r>
        <w:t xml:space="preserve">Name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Name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of</w:t>
      </w:r>
      <w:r>
        <w:t xml:space="preserve"> </w:t>
      </w:r>
      <w:r>
        <w:t xml:space="preserve">paper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  <w:r>
        <w:t xml:space="preserve"> </w:t>
      </w:r>
      <w:r>
        <w:t xml:space="preserve">and</w:t>
      </w:r>
      <w:r>
        <w:t xml:space="preserve"> </w:t>
      </w:r>
      <w:r>
        <w:t xml:space="preserve">can</w:t>
      </w:r>
      <w:r>
        <w:t xml:space="preserve"> </w:t>
      </w:r>
      <w:r>
        <w:t xml:space="preserve">span</w:t>
      </w:r>
      <w:r>
        <w:t xml:space="preserve"> </w:t>
      </w:r>
      <w:r>
        <w:t xml:space="preserve">several</w:t>
      </w:r>
      <w:r>
        <w:t xml:space="preserve"> </w:t>
      </w:r>
      <w:r>
        <w:t xml:space="preserve">lines.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how you cite a paper using the bibtex key in Zotero</w:t>
      </w:r>
      <w:r>
        <w:t xml:space="preserve"> </w:t>
      </w:r>
      <w:r>
        <w:t xml:space="preserve">(Simmons, Nelson, and Simonsohn 2011)</w:t>
      </w:r>
      <w:r>
        <w:t xml:space="preserve">.</w:t>
      </w:r>
    </w:p>
    <w:bookmarkEnd w:id="20"/>
    <w:bookmarkStart w:id="24" w:name="methods"/>
    <w:p>
      <w:pPr>
        <w:pStyle w:val="Heading1"/>
      </w:pPr>
      <w:r>
        <w:t xml:space="preserve">Methods…</w:t>
      </w:r>
    </w:p>
    <w:bookmarkStart w:id="23" w:name="refs"/>
    <w:bookmarkStart w:id="22" w:name="X8e2c8939838df13f010698dd12f887c58598160"/>
    <w:p>
      <w:pPr>
        <w:pStyle w:val="Bibliography"/>
      </w:pPr>
      <w:r>
        <w:t xml:space="preserve">Simmons, Joseph P., Leif D. Nelson, and Uri Simonsohn. 2011.</w:t>
      </w:r>
      <w:r>
        <w:t xml:space="preserve"> </w:t>
      </w:r>
      <w:r>
        <w:t xml:space="preserve">“False-Positive Psychology: Undisclosed Flexibility in Data Collection and Analysis Allows Presenting Anything as Significant.”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22 (11): 1359–66.</w:t>
      </w:r>
      <w:r>
        <w:t xml:space="preserve"> </w:t>
      </w:r>
      <w:hyperlink r:id="rId21">
        <w:r>
          <w:rPr>
            <w:rStyle w:val="Hyperlink"/>
          </w:rPr>
          <w:t xml:space="preserve">https://doi.org/10.1177/0956797611417632</w:t>
        </w:r>
      </w:hyperlink>
      <w:r>
        <w:t xml:space="preserve">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177/09567976114176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177/09567976114176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cov</dc:title>
  <dc:creator>Lauren Khoury; Name 2; Name 3; John J. Curtin</dc:creator>
  <cp:keywords/>
  <dcterms:created xsi:type="dcterms:W3CDTF">2025-06-25T19:34:52Z</dcterms:created>
  <dcterms:modified xsi:type="dcterms:W3CDTF">2025-06-25T19:34:52Z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paper goes here and can span several lines.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ibliographystyle">
    <vt:lpwstr>apa</vt:lpwstr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lear-hidden-classes">
    <vt:lpwstr>none</vt:lpwstr>
  </property>
  <property fmtid="{D5CDD505-2E9C-101B-9397-08002B2CF9AE}" pid="11" name="date">
    <vt:lpwstr>2025-06-25</vt:lpwstr>
  </property>
  <property fmtid="{D5CDD505-2E9C-101B-9397-08002B2CF9AE}" pid="12" name="editor_options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