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120.png" ContentType="image/png"/>
  <Override PartName="/word/media/rId125.png" ContentType="image/png"/>
  <Override PartName="/word/media/rId35.png" ContentType="image/png"/>
  <Override PartName="/word/media/rId45.png" ContentType="image/png"/>
  <Override PartName="/word/media/rId40.png" ContentType="image/png"/>
  <Override PartName="/word/media/rId50.png" ContentType="image/png"/>
  <Override PartName="/word/media/rId55.png" ContentType="image/png"/>
  <Override PartName="/word/media/rId68.png" ContentType="image/png"/>
  <Override PartName="/word/media/rId73.png" ContentType="image/png"/>
  <Override PartName="/word/media/rId88.png" ContentType="image/png"/>
  <Override PartName="/word/media/rId93.png" ContentType="image/png"/>
  <Override PartName="/word/media/rId78.png" ContentType="image/png"/>
  <Override PartName="/word/media/rId83.png" ContentType="image/png"/>
  <Override PartName="/word/media/rId98.png" ContentType="image/png"/>
  <Override PartName="/word/media/rId103.png" ContentType="image/png"/>
  <Override PartName="/word/media/rId108.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2025-10-15</w:t>
      </w:r>
    </w:p>
    <w:p>
      <w:pPr>
        <w:pStyle w:val="AbstractTitle"/>
      </w:pPr>
      <w:r>
        <w:t xml:space="preserve">Abstract</w:t>
      </w:r>
    </w:p>
    <w:p>
      <w:pPr>
        <w:pStyle w:val="Abstract"/>
      </w:pPr>
      <w:r>
        <w:t xml:space="preserve">Abstract of paper goes here and can span several lines.</w:t>
      </w:r>
    </w:p>
    <w:bookmarkStart w:id="26" w:name="introduction"/>
    <w:p>
      <w:pPr>
        <w:pStyle w:val="Heading1"/>
      </w:pPr>
      <w:r>
        <w:t xml:space="preserve">Introduction</w:t>
      </w:r>
    </w:p>
    <w:bookmarkStart w:id="20" w:name="section"/>
    <w:p>
      <w:pPr>
        <w:pStyle w:val="Heading2"/>
      </w:pPr>
      <w:r>
        <w:t xml:space="preserve">1</w:t>
      </w:r>
    </w:p>
    <w:p>
      <w:pPr>
        <w:pStyle w:val="FirstParagraph"/>
      </w:pPr>
      <w:r>
        <w:t xml:space="preserve">We are often interested in experimental manipulations in Psychology. - Namely, to test if a focal variable has a significant effect on an outcome variable of interest. (give simple example)</w:t>
      </w:r>
    </w:p>
    <w:bookmarkEnd w:id="20"/>
    <w:bookmarkStart w:id="21" w:name="section-1"/>
    <w:p>
      <w:pPr>
        <w:pStyle w:val="Heading2"/>
      </w:pPr>
      <w:r>
        <w:t xml:space="preserve">2</w:t>
      </w:r>
    </w:p>
    <w:p>
      <w:pPr>
        <w:pStyle w:val="FirstParagraph"/>
      </w:pPr>
      <w:r>
        <w:t xml:space="preserve">We all know that power is important (frame in terms of type 2 error). - low powered studies don’t replicate well (Cohen, replication crisis) - Statistical power is the ability to find a significant effect when one truly does exist. Studies with low power do not replicate well, which led to a replication crisis and an increased awareness of false-positive results. - Type 2 error rate is positively correlated with the</w:t>
      </w:r>
      <w:r>
        <w:t xml:space="preserve"> </w:t>
      </w:r>
      <w:r>
        <w:t xml:space="preserve">“likelihood that a nominally statistically significant finding actually reflects a true effect”</w:t>
      </w:r>
      <w:r>
        <w:t xml:space="preserve"> </w:t>
      </w:r>
      <w:r>
        <w:t xml:space="preserve">-</w:t>
      </w:r>
      <w:r>
        <w:t xml:space="preserve"> </w:t>
      </w:r>
      <w:r>
        <w:t xml:space="preserve">“problems with low power when all other research practices are ideal: low probability of finding true effects, low ppv when an effect is claimed, and exaggerated estimate of the magnitude of the effect when a true effect is discovered (Effect inflation is worst for small, low-powered studies, which can only detect effects that happen to be large.)”</w:t>
      </w:r>
      <w:r>
        <w:t xml:space="preserve"> </w:t>
      </w:r>
      <w:r>
        <w:t xml:space="preserve">(PPV is the probability that a</w:t>
      </w:r>
      <w:r>
        <w:t xml:space="preserve"> </w:t>
      </w:r>
      <w:r>
        <w:t xml:space="preserve">‘positive’</w:t>
      </w:r>
      <w:r>
        <w:t xml:space="preserve"> </w:t>
      </w:r>
      <w:r>
        <w:t xml:space="preserve">research finding reflects a true effect (that is, the finding is a true positive)). - statistical power definition -</w:t>
      </w:r>
      <w:r>
        <w:t xml:space="preserve"> </w:t>
      </w:r>
      <w:r>
        <w:t xml:space="preserve">“The statistical power of a test is the probability that it will correctly reject the null hypothesis when the null hypothesis is false (that is, the probability of not committing a type II error or making a false negative decision). The probability of committing a type II error is referred to as the false negative rate (β), and power is equal to 1 – β.”</w:t>
      </w:r>
    </w:p>
    <w:p>
      <w:pPr>
        <w:pStyle w:val="BodyText"/>
      </w:pPr>
      <w:r>
        <w:t xml:space="preserve">statistical power citations -</w:t>
      </w:r>
      <w:r>
        <w:t xml:space="preserve"> </w:t>
      </w:r>
      <w:r>
        <w:t xml:space="preserve">(Cohen 1988, 1992)</w:t>
      </w:r>
    </w:p>
    <w:p>
      <w:pPr>
        <w:pStyle w:val="BodyText"/>
      </w:pPr>
      <w:r>
        <w:t xml:space="preserve">(Button et al. 2013)</w:t>
      </w:r>
      <w:r>
        <w:t xml:space="preserve"> </w:t>
      </w:r>
      <w:r>
        <w:t xml:space="preserve">- shows the average statistical power of studies in neuroscience is very low, causing overestimates of effect sizes and low reproducibility of results. They also raise ethical concern that unreliable research is inefficient and wasteful.</w:t>
      </w:r>
    </w:p>
    <w:bookmarkEnd w:id="21"/>
    <w:bookmarkStart w:id="22" w:name="section-2"/>
    <w:p>
      <w:pPr>
        <w:pStyle w:val="Heading2"/>
      </w:pPr>
      <w:r>
        <w:t xml:space="preserve">3</w:t>
      </w:r>
    </w:p>
    <w:p>
      <w:pPr>
        <w:pStyle w:val="FirstParagraph"/>
      </w:pPr>
      <w:r>
        <w:t xml:space="preserve">Covariates (measured at baseline before manipulation) to increase power (classic cites?) - keep type 2 error rate down. - Covariates are variables that do not have focal hypotheses, but are added to increase statistical power and model precision of the focal parameter estimate. - They explain some of the variance that might otherwise show up as noise. -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(continue earlier example with covariates added that intuitively might be related to outcome)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bookmarkEnd w:id="22"/>
    <w:bookmarkStart w:id="23" w:name="section-3"/>
    <w:p>
      <w:pPr>
        <w:pStyle w:val="Heading2"/>
      </w:pPr>
      <w:r>
        <w:t xml:space="preserve">4</w:t>
      </w:r>
    </w:p>
    <w:p>
      <w:pPr>
        <w:pStyle w:val="FirstParagraph"/>
      </w:pPr>
      <w:r>
        <w:t xml:space="preserve">Evidence that p-hacking is problematic (Simons) - 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(Uri Simonsohn, Leif D. Nelson, and Joseph P. Simmons 2014)</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Ioannidis, J.P. Why most published research findings are false. PLoS Med. 2, e124 (2005). - This study demonstrates that many (and possibly most) of the conclusions drawn from biomedical research are probably false. The reasons for this include using flexible study designs and flexible statistical analyses and running small studies with low statistical power.</w:t>
      </w:r>
    </w:p>
    <w:p>
      <w:pPr>
        <w:pStyle w:val="BodyText"/>
      </w:pPr>
      <w:r>
        <w:t xml:space="preserve">Simmons, J.P., Nelson, L.D. &amp; Simonsohn,U. False-positive psychology: undisclosed flexibility in data collection and analysis allows presenting anything as significant. Psychol. Sci. 22, 1359–1366 (2011). - This article empirically illustrates that flexible study designs and data analysis dramatically increase the possibility of obtaining a nominally significant result. However, conclusions drawn from these results are almost certainly false.</w:t>
      </w:r>
    </w:p>
    <w:bookmarkEnd w:id="23"/>
    <w:bookmarkStart w:id="24" w:name="section-4"/>
    <w:p>
      <w:pPr>
        <w:pStyle w:val="Heading2"/>
      </w:pPr>
      <w:r>
        <w:t xml:space="preserve">5</w:t>
      </w:r>
    </w:p>
    <w:p>
      <w:pPr>
        <w:pStyle w:val="FirstParagraph"/>
      </w:pPr>
      <w:r>
        <w:t xml:space="preserve">Perhaps shouldn’t use covariates. Though as we mentioned this would come with cost to power/increased type 2 error. Another conclusion might be to use all covs (all variables reasonably believed to account for variance in outcome) - reduces degrees of freedom. - The prevalence of possible covariates to measure in the field of Psychology is high, making it difficult for researchers to know how many and which ones to add to a model. - Some measured covariates may be redundant as they explain overlapping variance in the outcome or they may not be related to the outcome at all. -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bookmarkEnd w:id="24"/>
    <w:bookmarkStart w:id="25" w:name="section-5"/>
    <w:p>
      <w:pPr>
        <w:pStyle w:val="Heading2"/>
      </w:pPr>
      <w:r>
        <w:t xml:space="preserve">6</w:t>
      </w:r>
    </w:p>
    <w:p>
      <w:pPr>
        <w:pStyle w:val="FirstParagraph"/>
      </w:pPr>
      <w:r>
        <w:t xml:space="preserve">We need a method for selecting covariates that doesn’t nominally change type 1 error rate. - introduce proposed methods - least absolute shrinkage and selection operator (LASSO)</w:t>
      </w:r>
    </w:p>
    <w:p>
      <w:pPr>
        <w:pStyle w:val="BodyText"/>
      </w:pPr>
      <w:r>
        <w:t xml:space="preserve">Our research aims to provide clear and accessible methods for researchers to use to select among a set of covariates by simulating … across several research settings.</w:t>
      </w:r>
    </w:p>
    <w:p>
      <w:pPr>
        <w:pStyle w:val="BodyText"/>
      </w:pPr>
      <w:r>
        <w:t xml:space="preserve">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5"/>
    <w:bookmarkEnd w:id="26"/>
    <w:bookmarkStart w:id="34" w:name="methods"/>
    <w:p>
      <w:pPr>
        <w:pStyle w:val="Heading1"/>
      </w:pPr>
      <w:r>
        <w:t xml:space="preserve">Methods</w:t>
      </w:r>
    </w:p>
    <w:bookmarkStart w:id="29" w:name="covariate-selection-methods"/>
    <w:p>
      <w:pPr>
        <w:pStyle w:val="Heading2"/>
      </w:pPr>
      <w:r>
        <w:t xml:space="preserve">Covariate Selection Methods</w:t>
      </w:r>
    </w:p>
    <w:p>
      <w:pPr>
        <w:pStyle w:val="FirstParagraph"/>
      </w:pPr>
      <w:r>
        <w:t xml:space="preserve">We evaluated nine linear regression models.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w:t>
      </w:r>
    </w:p>
    <w:p>
      <w:pPr>
        <w:pStyle w:val="BodyText"/>
      </w:pPr>
      <w:r>
        <w:t xml:space="preserve">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Tables for Main Manuscript</w:t>
        </w:r>
      </w:hyperlink>
    </w:p>
    <w:bookmarkEnd w:id="29"/>
    <w:bookmarkStart w:id="32"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rPr>
          <w:i/>
          <w:iCs/>
        </w:rPr>
        <w:t xml:space="preserve">The true population parameter for X.</w:t>
      </w:r>
      <w:r>
        <w:t xml:space="preserve"> </w:t>
      </w:r>
      <w:r>
        <w:t xml:space="preserve">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rPr>
          <w:i/>
          <w:iCs/>
        </w:rPr>
        <w:t xml:space="preserve">The sample size.</w:t>
      </w:r>
      <w:r>
        <w:t xml:space="preserve"> </w:t>
      </w:r>
      <w:r>
        <w:t xml:space="preserve">We chose values for the number of observations that pertain to common sample sizes in experimental research: 50, 100, 150, 200, 300, and 400 observations.</w:t>
      </w:r>
    </w:p>
    <w:p>
      <w:pPr>
        <w:numPr>
          <w:ilvl w:val="0"/>
          <w:numId w:val="1001"/>
        </w:numPr>
      </w:pPr>
      <w:r>
        <w:rPr>
          <w:i/>
          <w:iCs/>
        </w:rPr>
        <w:t xml:space="preserve">The number of covariates available.</w:t>
      </w:r>
      <w:r>
        <w:t xml:space="preserve"> </w:t>
      </w:r>
      <w:r>
        <w:t xml:space="preserve">We selected a wide range of possible scenarios: 4, 8, 12, 16, or 20 covariates.</w:t>
      </w:r>
    </w:p>
    <w:p>
      <w:pPr>
        <w:numPr>
          <w:ilvl w:val="0"/>
          <w:numId w:val="1001"/>
        </w:numPr>
      </w:pPr>
      <w:r>
        <w:rPr>
          <w:i/>
          <w:iCs/>
        </w:rPr>
        <w:t xml:space="preserve">The proportion of</w:t>
      </w:r>
      <w:r>
        <w:rPr>
          <w:i/>
          <w:iCs/>
        </w:rPr>
        <w:t xml:space="preserve"> </w:t>
      </w:r>
      <w:r>
        <w:rPr>
          <w:i/>
          <w:iCs/>
        </w:rPr>
        <w:t xml:space="preserve">“good”</w:t>
      </w:r>
      <w:r>
        <w:rPr>
          <w:i/>
          <w:iCs/>
        </w:rPr>
        <w:t xml:space="preserve"> </w:t>
      </w:r>
      <w:r>
        <w:rPr>
          <w:i/>
          <w:iCs/>
        </w:rPr>
        <w:t xml:space="preserve">covariates.</w:t>
      </w:r>
      <w:r>
        <w:t xml:space="preserve"> </w:t>
      </w:r>
      <w:r>
        <w:t xml:space="preserve">We used varying proportions of good covariates across research settings (.25, .50, and .75) to represent a common reality when a researcher is faced with many covariates, but only some may be related to their outcome.</w:t>
      </w:r>
    </w:p>
    <w:p>
      <w:pPr>
        <w:numPr>
          <w:ilvl w:val="0"/>
          <w:numId w:val="1001"/>
        </w:numPr>
      </w:pPr>
      <w:r>
        <w:rPr>
          <w:i/>
          <w:iCs/>
        </w:rPr>
        <w:t xml:space="preserve">The strength of the relationship between the good covariates and Y.</w:t>
      </w:r>
      <w:r>
        <w:t xml:space="preserve"> </w:t>
      </w:r>
      <w:r>
        <w:t xml:space="preserve">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30"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Tables for Main Manuscript</w:t>
        </w:r>
      </w:hyperlink>
    </w:p>
    <w:bookmarkEnd w:id="32"/>
    <w:bookmarkStart w:id="33"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m:oMath>
        <m:r>
          <m:t>Y</m:t>
        </m:r>
      </m:oMath>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33"/>
    <w:bookmarkEnd w:id="34"/>
    <w:bookmarkStart w:id="131" w:name="results"/>
    <w:p>
      <w:pPr>
        <w:pStyle w:val="Heading1"/>
      </w:pPr>
      <w:r>
        <w:t xml:space="preserve">Results</w:t>
      </w:r>
    </w:p>
    <w:bookmarkStart w:id="61" w:name="type-i-error"/>
    <w:p>
      <w:pPr>
        <w:pStyle w:val="Heading2"/>
      </w:pPr>
      <w:r>
        <w:t xml:space="preserve">Type I Error</w:t>
      </w:r>
    </w:p>
    <w:p>
      <w:pPr>
        <w:pStyle w:val="FirstParagraph"/>
      </w:pPr>
      <w:r>
        <w:t xml:space="preserve">In the case of a zero</w:t>
      </w:r>
      <w:r>
        <w:t xml:space="preserve"> </w:t>
      </w:r>
      <m:oMath>
        <m:r>
          <m:t>X</m:t>
        </m:r>
      </m:oMath>
      <w:r>
        <w:t xml:space="preserve"> </w:t>
      </w:r>
      <w:r>
        <w:t xml:space="preserve">effect, we set the population parameter for</w:t>
      </w:r>
      <w:r>
        <w:t xml:space="preserve"> </w:t>
      </w:r>
      <m:oMath>
        <m:r>
          <m:t>X</m:t>
        </m:r>
      </m:oMath>
      <w:r>
        <w:t xml:space="preserve"> </w:t>
      </w:r>
      <w:r>
        <w:t xml:space="preserve">to be zero (i.e.,</w:t>
      </w:r>
      <w:r>
        <w:t xml:space="preserve"> </w:t>
      </w:r>
      <m:oMath>
        <m:sSub>
          <m:e>
            <m:r>
              <m:t>b</m:t>
            </m:r>
          </m:e>
          <m:sub>
            <m:r>
              <m:t>x</m:t>
            </m:r>
          </m:sub>
        </m:sSub>
        <m:r>
          <m:rPr>
            <m:sty m:val="p"/>
          </m:rPr>
          <m:t>=</m:t>
        </m:r>
        <m:r>
          <m:t>0</m:t>
        </m:r>
      </m:oMath>
      <w:r>
        <w:t xml:space="preserve">), so that any significant result found is a Type I error. The first comparison will look at selection method overall, aggregated across all research settings. In Figure</w:t>
      </w:r>
      <w:r>
        <w:t xml:space="preserve"> </w:t>
      </w:r>
      <w:r>
        <w:t xml:space="preserve">(</w:t>
      </w:r>
      <w:r>
        <w:rPr>
          <w:b/>
          <w:bCs/>
        </w:rPr>
        <w:t xml:space="preserve">typeI-bar?</w:t>
      </w:r>
      <w:r>
        <w:t xml:space="preserve">)</w:t>
      </w:r>
      <w:r>
        <w:t xml:space="preserve">, the average proportion of significant effects – the Type I error – is calculated and displayed. Refer to the Supplemental Material section to see the distribution of Type I error of each method.</w:t>
      </w:r>
    </w:p>
    <w:tbl>
      <w:tblPr>
        <w:tblStyle w:val="Table"/>
        <w:tblW w:type="pct" w:w="5000"/>
        <w:tblLayout w:type="fixed"/>
        <w:tblLook w:firstRow="0" w:lastRow="0" w:firstColumn="0" w:lastColumn="0" w:noHBand="0" w:noVBand="0" w:val="0000"/>
      </w:tblPr>
      <w:tblGrid>
        <w:gridCol w:w="7920"/>
      </w:tblGrid>
      <w:tr>
        <w:tc>
          <w:tcPr/>
          <w:bookmarkStart w:id="38" w:name="fig-typei-bar"/>
          <w:p>
            <w:pPr>
              <w:pStyle w:val="Compact"/>
              <w:jc w:val="center"/>
            </w:pPr>
            <w:r>
              <w:drawing>
                <wp:inline>
                  <wp:extent cx="5334000" cy="3810000"/>
                  <wp:effectExtent b="0" l="0" r="0" t="0"/>
                  <wp:docPr descr="" title="" id="36" name="Picture"/>
                  <a:graphic>
                    <a:graphicData uri="http://schemas.openxmlformats.org/drawingml/2006/picture">
                      <pic:pic>
                        <pic:nvPicPr>
                          <pic:cNvPr descr="index_files/figure-docx/notebooks-mak_figures-fig-typei-bar-output-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Make Figures for Main Manuscript</w:t>
        </w:r>
      </w:hyperlink>
    </w:p>
    <w:p>
      <w:pPr>
        <w:pStyle w:val="BodyText"/>
      </w:pPr>
      <w:r>
        <w:t xml:space="preserve">Previous findings are replicated that using p-hacking for selecting covariates leads to a highly inflated Type I error rate (0.198). The p-hacked model consistently shows high Type I error, as is evident in the remaining figures in this section. Most methods are at the expected 0.050 mark, while the partial correlation approach shows slight inflation (0.052), with both LASSO and full linear model showing further inflation (0.057 and 0.060, respectively). These eight methods (excluding p-hacking) can be considered statistically valid as they show little to no inflation of Type I error rates.</w:t>
      </w:r>
    </w:p>
    <w:bookmarkStart w:id="60" w:name="by-research-settings"/>
    <w:p>
      <w:pPr>
        <w:pStyle w:val="Heading3"/>
      </w:pPr>
      <w:r>
        <w:t xml:space="preserve">By Research Settings</w:t>
      </w:r>
    </w:p>
    <w:p>
      <w:pPr>
        <w:pStyle w:val="FirstParagraph"/>
      </w:pPr>
      <w:r>
        <w:t xml:space="preserve">This section will consider the Type I error rates across the established values of the research context variables.</w:t>
      </w:r>
    </w:p>
    <w:p>
      <w:pPr>
        <w:pStyle w:val="BodyText"/>
      </w:pPr>
      <w:r>
        <w:t xml:space="preserve">Figure</w:t>
      </w:r>
      <w:r>
        <w:t xml:space="preserve"> </w:t>
      </w:r>
      <w:r>
        <w:rPr>
          <w:b/>
          <w:bCs/>
        </w:rPr>
        <w:t xml:space="preserve">?@fig-typeI-nobs</w:t>
      </w:r>
      <w:r>
        <w:t xml:space="preserve"> </w:t>
      </w:r>
      <w:r>
        <w:t xml:space="preserve">displays the change in Type I error as the number of observations in a sample increases for all nine methods.</w:t>
      </w:r>
    </w:p>
    <w:tbl>
      <w:tblPr>
        <w:tblStyle w:val="Table"/>
        <w:tblW w:type="pct" w:w="5000"/>
        <w:tblLayout w:type="fixed"/>
        <w:tblLook w:firstRow="0" w:lastRow="0" w:firstColumn="0" w:lastColumn="0" w:noHBand="0" w:noVBand="0" w:val="0000"/>
      </w:tblPr>
      <w:tblGrid>
        <w:gridCol w:w="7920"/>
      </w:tblGrid>
      <w:tr>
        <w:tc>
          <w:tcPr/>
          <w:bookmarkStart w:id="43" w:name="fig-typei-nobs"/>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typei-nobs-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Number of Observations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At the smallest sample size (</w:t>
      </w:r>
      <m:oMath>
        <m:r>
          <m:t>n</m:t>
        </m:r>
        <m:r>
          <m:rPr>
            <m:sty m:val="p"/>
          </m:rPr>
          <m:t>=</m:t>
        </m:r>
        <m:r>
          <m:t>50</m:t>
        </m:r>
      </m:oMath>
      <w:r>
        <w:t xml:space="preserve">), the discrepancy between methods is greatest, with partial correlation, LASSO, and full linear model deviating from the expected value of 0.05. However, as sample size increases, all methods become comparable, especially with</w:t>
      </w:r>
      <w:r>
        <w:t xml:space="preserve"> </w:t>
      </w:r>
      <m:oMath>
        <m:r>
          <m:t>n</m:t>
        </m:r>
        <m:r>
          <m:rPr>
            <m:sty m:val="p"/>
          </m:rPr>
          <m:t>=</m:t>
        </m:r>
        <m:r>
          <m:t>300</m:t>
        </m:r>
      </m:oMath>
      <w:r>
        <w:t xml:space="preserve"> </w:t>
      </w:r>
      <w:r>
        <w:t xml:space="preserve">or larger.</w:t>
      </w:r>
    </w:p>
    <w:p>
      <w:pPr>
        <w:pStyle w:val="BodyText"/>
      </w:pPr>
      <w:r>
        <w:t xml:space="preserve">Figure</w:t>
      </w:r>
      <w:r>
        <w:t xml:space="preserve"> </w:t>
      </w:r>
      <w:r>
        <w:rPr>
          <w:b/>
          <w:bCs/>
        </w:rPr>
        <w:t xml:space="preserve">?@fig-typeI-ncovs</w:t>
      </w:r>
      <w:r>
        <w:t xml:space="preserve"> </w:t>
      </w:r>
      <w:r>
        <w:t xml:space="preserve">displays the change in Type I error as the number of covariares increases for all nine methods. Recall that the number of covariates refers to the number of available covariates, not necessarily the number included in the final model.</w:t>
      </w:r>
    </w:p>
    <w:tbl>
      <w:tblPr>
        <w:tblStyle w:val="Table"/>
        <w:tblW w:type="pct" w:w="5000"/>
        <w:tblLayout w:type="fixed"/>
        <w:tblLook w:firstRow="0" w:lastRow="0" w:firstColumn="0" w:lastColumn="0" w:noHBand="0" w:noVBand="0" w:val="0000"/>
      </w:tblPr>
      <w:tblGrid>
        <w:gridCol w:w="7920"/>
      </w:tblGrid>
      <w:tr>
        <w:tc>
          <w:tcPr/>
          <w:bookmarkStart w:id="48" w:name="fig-typei-ncovs"/>
          <w:p>
            <w:pPr>
              <w:pStyle w:val="Compact"/>
              <w:jc w:val="center"/>
            </w:pPr>
            <w:r>
              <w:drawing>
                <wp:inline>
                  <wp:extent cx="5334000" cy="3810000"/>
                  <wp:effectExtent b="0" l="0" r="0" t="0"/>
                  <wp:docPr descr="" title="" id="46" name="Picture"/>
                  <a:graphic>
                    <a:graphicData uri="http://schemas.openxmlformats.org/drawingml/2006/picture">
                      <pic:pic>
                        <pic:nvPicPr>
                          <pic:cNvPr descr="index_files/figure-docx/notebooks-mak_figures-fig-typei-ncovs-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 Error by Number of Covariates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p>
      <w:pPr>
        <w:pStyle w:val="BodyText"/>
      </w:pPr>
      <w:r>
        <w:t xml:space="preserve">There is a slight increase in Type I error for LASSO and full linear model as the number of covariates increases, while the other methods stay at or around 0.05.</w:t>
      </w:r>
    </w:p>
    <w:p>
      <w:pPr>
        <w:pStyle w:val="BodyText"/>
      </w:pPr>
      <w:r>
        <w:t xml:space="preserve">Figure</w:t>
      </w:r>
      <w:r>
        <w:t xml:space="preserve"> </w:t>
      </w:r>
      <w:r>
        <w:rPr>
          <w:b/>
          <w:bCs/>
        </w:rPr>
        <w:t xml:space="preserve">?@fig-typeI-pgoodcovs</w:t>
      </w:r>
      <w:r>
        <w:t xml:space="preserve"> </w:t>
      </w:r>
      <w:r>
        <w:t xml:space="preserve">displays the change in Type I error as the proportion of good covariares increases for all nine methods.</w:t>
      </w:r>
    </w:p>
    <w:tbl>
      <w:tblPr>
        <w:tblStyle w:val="Table"/>
        <w:tblW w:type="pct" w:w="5000"/>
        <w:tblLayout w:type="fixed"/>
        <w:tblLook w:firstRow="0" w:lastRow="0" w:firstColumn="0" w:lastColumn="0" w:noHBand="0" w:noVBand="0" w:val="0000"/>
      </w:tblPr>
      <w:tblGrid>
        <w:gridCol w:w="7920"/>
      </w:tblGrid>
      <w:tr>
        <w:tc>
          <w:tcPr/>
          <w:bookmarkStart w:id="53" w:name="fig-typei-pgoodcovs"/>
          <w:p>
            <w:pPr>
              <w:pStyle w:val="Compact"/>
              <w:jc w:val="center"/>
            </w:pPr>
            <w:r>
              <w:drawing>
                <wp:inline>
                  <wp:extent cx="5334000" cy="3810000"/>
                  <wp:effectExtent b="0" l="0" r="0" t="0"/>
                  <wp:docPr descr="" title="" id="51" name="Picture"/>
                  <a:graphic>
                    <a:graphicData uri="http://schemas.openxmlformats.org/drawingml/2006/picture">
                      <pic:pic>
                        <pic:nvPicPr>
                          <pic:cNvPr descr="index_files/figure-docx/notebooks-mak_figures-fig-typei-pgoodcovs-output-1.png" id="52" name="Picture"/>
                          <pic:cNvPicPr>
                            <a:picLocks noChangeArrowheads="1" noChangeAspect="1"/>
                          </pic:cNvPicPr>
                        </pic:nvPicPr>
                        <pic:blipFill>
                          <a:blip r:embed="rId5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 Error by Proportion of Good Covariates</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Make Figures for Main Manuscript</w:t>
        </w:r>
      </w:hyperlink>
    </w:p>
    <w:p>
      <w:pPr>
        <w:pStyle w:val="BodyText"/>
      </w:pPr>
      <w:r>
        <w:t xml:space="preserve">Most of the methods remain stagnant in Type I error as the proportions increase, except the error of LASSO decreases slightly and that of full linear model increases.</w:t>
      </w:r>
    </w:p>
    <w:p>
      <w:pPr>
        <w:pStyle w:val="BodyText"/>
      </w:pPr>
      <w:r>
        <w:t xml:space="preserve">Figure</w:t>
      </w:r>
      <w:r>
        <w:t xml:space="preserve"> </w:t>
      </w:r>
      <w:r>
        <w:rPr>
          <w:b/>
          <w:bCs/>
        </w:rPr>
        <w:t xml:space="preserve">?@fig-typeI-rycov</w:t>
      </w:r>
      <w:r>
        <w:t xml:space="preserve"> </w:t>
      </w:r>
      <w:r>
        <w:t xml:space="preserve">shows the change in Type I error as the correlation between</w:t>
      </w:r>
      <w:r>
        <w:t xml:space="preserve"> </w:t>
      </w:r>
      <m:oMath>
        <m:r>
          <m:t>Y</m:t>
        </m:r>
      </m:oMath>
      <w:r>
        <w:t xml:space="preserve"> </w:t>
      </w:r>
      <w:r>
        <w:t xml:space="preserve">and the good covariates increases for all nine methods. The correlation among the good covariates did not vary, so only the</w:t>
      </w:r>
      <w:r>
        <w:t xml:space="preserve"> </w:t>
      </w:r>
      <m:oMath>
        <m:r>
          <m:t>Y</m:t>
        </m:r>
      </m:oMath>
      <w:r>
        <w:t xml:space="preserve">-covariate correlation will be compared.</w:t>
      </w:r>
    </w:p>
    <w:tbl>
      <w:tblPr>
        <w:tblStyle w:val="Table"/>
        <w:tblW w:type="pct" w:w="5000"/>
        <w:tblLayout w:type="fixed"/>
        <w:tblLook w:firstRow="0" w:lastRow="0" w:firstColumn="0" w:lastColumn="0" w:noHBand="0" w:noVBand="0" w:val="0000"/>
      </w:tblPr>
      <w:tblGrid>
        <w:gridCol w:w="7920"/>
      </w:tblGrid>
      <w:tr>
        <w:tc>
          <w:tcPr/>
          <w:bookmarkStart w:id="58" w:name="fig-typei-rycov"/>
          <w:p>
            <w:pPr>
              <w:pStyle w:val="Compact"/>
              <w:jc w:val="center"/>
            </w:pPr>
            <w:r>
              <w:drawing>
                <wp:inline>
                  <wp:extent cx="5334000" cy="3810000"/>
                  <wp:effectExtent b="0" l="0" r="0" t="0"/>
                  <wp:docPr descr="" title="" id="56" name="Picture"/>
                  <a:graphic>
                    <a:graphicData uri="http://schemas.openxmlformats.org/drawingml/2006/picture">
                      <pic:pic>
                        <pic:nvPicPr>
                          <pic:cNvPr descr="index_files/figure-docx/notebooks-mak_figures-fig-typei-rycov-output-1.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Type I Error by Y-Covariate Correlation</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Figures for Main Manuscript</w:t>
        </w:r>
      </w:hyperlink>
    </w:p>
    <w:p>
      <w:pPr>
        <w:pStyle w:val="BodyText"/>
      </w:pPr>
      <w:r>
        <w:t xml:space="preserve">All of the valid methods did not see a great change in Type I error as the correlation increased.</w:t>
      </w:r>
    </w:p>
    <w:bookmarkEnd w:id="60"/>
    <w:bookmarkEnd w:id="61"/>
    <w:bookmarkStart w:id="67" w:name="parameter-estimates"/>
    <w:p>
      <w:pPr>
        <w:pStyle w:val="Heading2"/>
      </w:pPr>
      <w:r>
        <w:t xml:space="preserve">Parameter Estimates</w:t>
      </w:r>
    </w:p>
    <w:p>
      <w:pPr>
        <w:pStyle w:val="FirstParagraph"/>
      </w:pPr>
      <w:r>
        <w:t xml:space="preserve">As mentioned, this section considers a population parameter of</w:t>
      </w:r>
      <w:r>
        <w:t xml:space="preserve"> </w:t>
      </w:r>
      <m:oMath>
        <m:r>
          <m:t>X</m:t>
        </m:r>
      </m:oMath>
      <w:r>
        <w:t xml:space="preserve"> </w:t>
      </w:r>
      <w:r>
        <w:t xml:space="preserve">set to zero. Figure</w:t>
      </w:r>
      <w:r>
        <w:t xml:space="preserve"> </w:t>
      </w:r>
      <w:hyperlink w:anchor="fig-distribution-bx-0">
        <w:r>
          <w:rPr>
            <w:rStyle w:val="Hyperlink"/>
          </w:rPr>
          <w:t xml:space="preserve">Figure 6</w:t>
        </w:r>
      </w:hyperlink>
      <w:r>
        <w:t xml:space="preserve"> </w:t>
      </w:r>
      <w:r>
        <w:t xml:space="preserve">shows the sampling distribution for the parameter estimate of</w:t>
      </w:r>
      <w:r>
        <w:t xml:space="preserve"> </w:t>
      </w:r>
      <m:oMath>
        <m:r>
          <m:t>X</m:t>
        </m:r>
      </m:oMath>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tbl>
      <w:tblPr>
        <w:tblStyle w:val="Table"/>
        <w:tblW w:type="pct" w:w="5000"/>
        <w:tblLayout w:type="fixed"/>
        <w:tblLook w:firstRow="0" w:lastRow="0" w:firstColumn="0" w:lastColumn="0" w:noHBand="0" w:noVBand="0" w:val="0000"/>
      </w:tblPr>
      <w:tblGrid>
        <w:gridCol w:w="7920"/>
      </w:tblGrid>
      <w:tr>
        <w:tc>
          <w:tcPr/>
          <w:bookmarkStart w:id="65" w:name="fig-distribution-bx-0"/>
          <w:p>
            <w:pPr>
              <w:pStyle w:val="Compact"/>
              <w:jc w:val="center"/>
            </w:pPr>
            <w:r>
              <w:drawing>
                <wp:inline>
                  <wp:extent cx="5334000" cy="3810000"/>
                  <wp:effectExtent b="0" l="0" r="0" t="0"/>
                  <wp:docPr descr="" title="" id="63" name="Picture"/>
                  <a:graphic>
                    <a:graphicData uri="http://schemas.openxmlformats.org/drawingml/2006/picture">
                      <pic:pic>
                        <pic:nvPicPr>
                          <pic:cNvPr descr="index_files/figure-docx/notebooks-mak_figures-fig-distribution-bx-0-output-2.png" id="64" name="Picture"/>
                          <pic:cNvPicPr>
                            <a:picLocks noChangeArrowheads="1" noChangeAspect="1"/>
                          </pic:cNvPicPr>
                        </pic:nvPicPr>
                        <pic:blipFill>
                          <a:blip r:embed="rId6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Sampling Distribution for b_x=0 Estimate</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Figures for Main Manuscript</w:t>
        </w:r>
      </w:hyperlink>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bookmarkEnd w:id="67"/>
    <w:bookmarkStart w:id="119" w:name="type-ii-error"/>
    <w:p>
      <w:pPr>
        <w:pStyle w:val="Heading2"/>
      </w:pPr>
      <w:r>
        <w:t xml:space="preserve">Type II Error</w:t>
      </w:r>
    </w:p>
    <w:p>
      <w:pPr>
        <w:pStyle w:val="FirstParagraph"/>
      </w:pPr>
      <w:r>
        <w:t xml:space="preserve">In the case of a nonzero</w:t>
      </w:r>
      <w:r>
        <w:t xml:space="preserve"> </w:t>
      </w:r>
      <m:oMath>
        <m:r>
          <m:t>X</m:t>
        </m:r>
      </m:oMath>
      <w:r>
        <w:t xml:space="preserve"> </w:t>
      </w:r>
      <w:r>
        <w:t xml:space="preserve">effect, we tested two values for the population parameter for</w:t>
      </w:r>
      <w:r>
        <w:t xml:space="preserve"> </w:t>
      </w:r>
      <m:oMath>
        <m:r>
          <m:t>X</m:t>
        </m:r>
      </m:oMath>
      <w:r>
        <w:t xml:space="preserve">, 0.3 and 0.5 (i.e.,</w:t>
      </w:r>
      <w:r>
        <w:t xml:space="preserve"> </w:t>
      </w:r>
      <m:oMath>
        <m:sSub>
          <m:e>
            <m:r>
              <m:t>b</m:t>
            </m:r>
          </m:e>
          <m:sub>
            <m:r>
              <m:t>x</m:t>
            </m:r>
          </m:sub>
        </m:sSub>
        <m:r>
          <m:rPr>
            <m:sty m:val="p"/>
          </m:rPr>
          <m:t>=</m:t>
        </m:r>
        <m:r>
          <m:t>0.3</m:t>
        </m:r>
        <m:r>
          <m:rPr>
            <m:sty m:val="p"/>
          </m:rPr>
          <m:t>,</m:t>
        </m:r>
        <m:sSub>
          <m:e>
            <m:r>
              <m:t>b</m:t>
            </m:r>
          </m:e>
          <m:sub>
            <m:r>
              <m:t>x</m:t>
            </m:r>
          </m:sub>
        </m:sSub>
        <m:r>
          <m:rPr>
            <m:sty m:val="p"/>
          </m:rPr>
          <m:t>=</m:t>
        </m:r>
        <m:r>
          <m:t>0.5</m:t>
        </m:r>
      </m:oMath>
      <w:r>
        <w:t xml:space="preserve">), so that any non-significant result found is a Type II error. There is no benchmark of expected Type II error as there was for Type I, so the stronger methods will be those with lower Type II error (implying greater statistical power). As the p-hacked method was established as a method that is not statistically valid, it will not be considered in comparisons of Type II error.</w:t>
      </w:r>
    </w:p>
    <w:p>
      <w:pPr>
        <w:pStyle w:val="BodyText"/>
      </w:pPr>
      <w:r>
        <w:t xml:space="preserve">The first comparison will look at selection method overall, aggregated across all research settings, for both effect sizes. In Figure</w:t>
      </w:r>
      <w:r>
        <w:t xml:space="preserve"> </w:t>
      </w:r>
      <w:r>
        <w:t xml:space="preserve">(</w:t>
      </w:r>
      <w:r>
        <w:rPr>
          <w:b/>
          <w:bCs/>
        </w:rPr>
        <w:t xml:space="preserve">typeII-bar-03?</w:t>
      </w:r>
      <w:r>
        <w:t xml:space="preserve">)</w:t>
      </w:r>
      <w:r>
        <w:t xml:space="preserve"> </w:t>
      </w:r>
      <w:r>
        <w:t xml:space="preserve">and Figure</w:t>
      </w:r>
      <w:r>
        <w:t xml:space="preserve"> </w:t>
      </w:r>
      <w:r>
        <w:t xml:space="preserve">(</w:t>
      </w:r>
      <w:r>
        <w:rPr>
          <w:b/>
          <w:bCs/>
        </w:rPr>
        <w:t xml:space="preserve">typeII-bar-05?</w:t>
      </w:r>
      <w:r>
        <w:t xml:space="preserve">)</w:t>
      </w:r>
      <w:r>
        <w:t xml:space="preserve">, the proportion of non-significant effects – the Type II error – is calculated and displayed. See the Supplemental Material section for the distributions of Type II error of each valid method.</w:t>
      </w:r>
    </w:p>
    <w:tbl>
      <w:tblPr>
        <w:tblStyle w:val="Table"/>
        <w:tblW w:type="pct" w:w="5000"/>
        <w:tblLayout w:type="fixed"/>
        <w:tblLook w:firstRow="0" w:lastRow="0" w:firstColumn="0" w:lastColumn="0" w:noHBand="0" w:noVBand="0" w:val="0000"/>
      </w:tblPr>
      <w:tblGrid>
        <w:gridCol w:w="7920"/>
      </w:tblGrid>
      <w:tr>
        <w:tc>
          <w:tcPr/>
          <w:bookmarkStart w:id="71" w:name="fig-typeii-bar-03"/>
          <w:p>
            <w:pPr>
              <w:pStyle w:val="Compact"/>
              <w:jc w:val="center"/>
            </w:pPr>
            <w:r>
              <w:drawing>
                <wp:inline>
                  <wp:extent cx="5334000" cy="3810000"/>
                  <wp:effectExtent b="0" l="0" r="0" t="0"/>
                  <wp:docPr descr="" title="" id="69" name="Picture"/>
                  <a:graphic>
                    <a:graphicData uri="http://schemas.openxmlformats.org/drawingml/2006/picture">
                      <pic:pic>
                        <pic:nvPicPr>
                          <pic:cNvPr descr="index_files/figure-docx/notebooks-mak_figures-fig-typeii-bar-03-output-1.png" id="70" name="Picture"/>
                          <pic:cNvPicPr>
                            <a:picLocks noChangeArrowheads="1" noChangeAspect="1"/>
                          </pic:cNvPicPr>
                        </pic:nvPicPr>
                        <pic:blipFill>
                          <a:blip r:embed="rId6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Type II Error by Method, b_x=0.3</w:t>
            </w:r>
          </w:p>
          <w:bookmarkEnd w:id="71"/>
        </w:tc>
      </w:tr>
    </w:tbl>
    <w:p>
      <w:pPr>
        <w:pStyle w:val="BodyText"/>
      </w:pPr>
      <w:r>
        <w:rPr>
          <w:vertAlign w:val="subscript"/>
        </w:rPr>
        <w:t xml:space="preserve">Source:</w:t>
      </w:r>
      <w:r>
        <w:rPr>
          <w:vertAlign w:val="subscript"/>
        </w:rPr>
        <w:t xml:space="preserve"> </w:t>
      </w:r>
      <w:hyperlink r:id="rId7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6" w:name="fig-typeii-bar-05"/>
          <w:p>
            <w:pPr>
              <w:pStyle w:val="Compact"/>
              <w:jc w:val="center"/>
            </w:pPr>
            <w:r>
              <w:drawing>
                <wp:inline>
                  <wp:extent cx="5334000" cy="3810000"/>
                  <wp:effectExtent b="0" l="0" r="0" t="0"/>
                  <wp:docPr descr="" title="" id="74" name="Picture"/>
                  <a:graphic>
                    <a:graphicData uri="http://schemas.openxmlformats.org/drawingml/2006/picture">
                      <pic:pic>
                        <pic:nvPicPr>
                          <pic:cNvPr descr="index_files/figure-docx/notebooks-mak_figures-fig-typeii-bar-05-output-1.png" id="75" name="Picture"/>
                          <pic:cNvPicPr>
                            <a:picLocks noChangeArrowheads="1" noChangeAspect="1"/>
                          </pic:cNvPicPr>
                        </pic:nvPicPr>
                        <pic:blipFill>
                          <a:blip r:embed="rId7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Type II Error by Method, b_x=0.5</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Figures for Main Manuscript</w:t>
        </w:r>
      </w:hyperlink>
    </w:p>
    <w:p>
      <w:pPr>
        <w:pStyle w:val="BodyText"/>
      </w:pPr>
      <w:r>
        <w:t xml:space="preserve">For both effect sizes, similar trends are shown. Fitting a model with no covariates results in the highest Type II error. When further examining the error rates within research settings, the no covariates approach will continue to yield the highest Type II error. There is a large reduction in error when all covariates are included in the model instead of no covariates. Additionally, performing selection of these covariates further reduces Type II error from simply including all covariates.</w:t>
      </w:r>
    </w:p>
    <w:bookmarkStart w:id="118" w:name="by-research-settings-1"/>
    <w:p>
      <w:pPr>
        <w:pStyle w:val="Heading3"/>
      </w:pPr>
      <w:r>
        <w:t xml:space="preserve">By Research Settings</w:t>
      </w:r>
    </w:p>
    <w:p>
      <w:pPr>
        <w:pStyle w:val="FirstParagraph"/>
      </w:pPr>
      <w:r>
        <w:t xml:space="preserve">Figure</w:t>
      </w:r>
      <w:r>
        <w:t xml:space="preserve"> </w:t>
      </w:r>
      <w:r>
        <w:rPr>
          <w:b/>
          <w:bCs/>
        </w:rPr>
        <w:t xml:space="preserve">?@fig-typeII-nobs-03</w:t>
      </w:r>
      <w:r>
        <w:t xml:space="preserve"> </w:t>
      </w:r>
      <w:r>
        <w:t xml:space="preserve">and Figure</w:t>
      </w:r>
      <w:r>
        <w:t xml:space="preserve"> </w:t>
      </w:r>
      <w:r>
        <w:rPr>
          <w:b/>
          <w:bCs/>
        </w:rPr>
        <w:t xml:space="preserve">?@fig-typeII-nobs-05</w:t>
      </w:r>
      <w:r>
        <w:t xml:space="preserve"> </w:t>
      </w:r>
      <w:r>
        <w:t xml:space="preserve">display the change in Type II error as the number of observations in a sample increases for all eight methods.</w:t>
      </w:r>
    </w:p>
    <w:tbl>
      <w:tblPr>
        <w:tblStyle w:val="Table"/>
        <w:tblW w:type="pct" w:w="5000"/>
        <w:tblLayout w:type="fixed"/>
        <w:tblLook w:firstRow="0" w:lastRow="0" w:firstColumn="0" w:lastColumn="0" w:noHBand="0" w:noVBand="0" w:val="0000"/>
      </w:tblPr>
      <w:tblGrid>
        <w:gridCol w:w="7920"/>
      </w:tblGrid>
      <w:tr>
        <w:tc>
          <w:tcPr/>
          <w:bookmarkStart w:id="81" w:name="fig-typeii-nobs-03"/>
          <w:p>
            <w:pPr>
              <w:pStyle w:val="Compact"/>
              <w:jc w:val="center"/>
            </w:pPr>
            <w:r>
              <w:drawing>
                <wp:inline>
                  <wp:extent cx="5334000" cy="3810000"/>
                  <wp:effectExtent b="0" l="0" r="0" t="0"/>
                  <wp:docPr descr="" title="" id="79" name="Picture"/>
                  <a:graphic>
                    <a:graphicData uri="http://schemas.openxmlformats.org/drawingml/2006/picture">
                      <pic:pic>
                        <pic:nvPicPr>
                          <pic:cNvPr descr="index_files/figure-docx/notebooks-mak_figures-fig-typeii-nobs-03-output-1.png" id="80" name="Picture"/>
                          <pic:cNvPicPr>
                            <a:picLocks noChangeArrowheads="1" noChangeAspect="1"/>
                          </pic:cNvPicPr>
                        </pic:nvPicPr>
                        <pic:blipFill>
                          <a:blip r:embed="rId7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Type II Error by Number of Observations, b_x=0.3</w:t>
            </w:r>
          </w:p>
          <w:bookmarkEnd w:id="81"/>
        </w:tc>
      </w:tr>
    </w:tbl>
    <w:p>
      <w:pPr>
        <w:pStyle w:val="BodyText"/>
      </w:pPr>
      <w:r>
        <w:rPr>
          <w:vertAlign w:val="subscript"/>
        </w:rPr>
        <w:t xml:space="preserve">Source:</w:t>
      </w:r>
      <w:r>
        <w:rPr>
          <w:vertAlign w:val="subscript"/>
        </w:rPr>
        <w:t xml:space="preserve"> </w:t>
      </w:r>
      <w:hyperlink r:id="rId8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6" w:name="fig-typeii-nobs-05"/>
          <w:p>
            <w:pPr>
              <w:pStyle w:val="Compact"/>
              <w:jc w:val="center"/>
            </w:pPr>
            <w:r>
              <w:drawing>
                <wp:inline>
                  <wp:extent cx="5334000" cy="3810000"/>
                  <wp:effectExtent b="0" l="0" r="0" t="0"/>
                  <wp:docPr descr="" title="" id="84" name="Picture"/>
                  <a:graphic>
                    <a:graphicData uri="http://schemas.openxmlformats.org/drawingml/2006/picture">
                      <pic:pic>
                        <pic:nvPicPr>
                          <pic:cNvPr descr="index_files/figure-docx/notebooks-mak_figures-fig-typeii-nobs-05-output-1.png" id="85" name="Picture"/>
                          <pic:cNvPicPr>
                            <a:picLocks noChangeArrowheads="1" noChangeAspect="1"/>
                          </pic:cNvPicPr>
                        </pic:nvPicPr>
                        <pic:blipFill>
                          <a:blip r:embed="rId8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Type II Error by Number of Observations, b_x=0.5</w:t>
            </w:r>
          </w:p>
          <w:bookmarkEnd w:id="86"/>
        </w:tc>
      </w:tr>
    </w:tbl>
    <w:p>
      <w:pPr>
        <w:pStyle w:val="BodyText"/>
      </w:pPr>
      <w:r>
        <w:rPr>
          <w:vertAlign w:val="subscript"/>
        </w:rPr>
        <w:t xml:space="preserve">Source:</w:t>
      </w:r>
      <w:r>
        <w:rPr>
          <w:vertAlign w:val="subscript"/>
        </w:rPr>
        <w:t xml:space="preserve"> </w:t>
      </w:r>
      <w:hyperlink r:id="rId87">
        <w:r>
          <w:rPr>
            <w:rStyle w:val="Hyperlink"/>
            <w:vertAlign w:val="subscript"/>
          </w:rPr>
          <w:t xml:space="preserve">Make Figures for Main Manuscript</w:t>
        </w:r>
      </w:hyperlink>
    </w:p>
    <w:p>
      <w:pPr>
        <w:pStyle w:val="BodyText"/>
      </w:pPr>
      <w:r>
        <w:t xml:space="preserve">At the smallest sample size, the methods differ in Type II error, with LASSO and partial correlation approaches yielding the lowest in both effect size cases. As sample size increases, the seven methods (excluding the no covariates method) tend to become indistinguishable.</w:t>
      </w:r>
    </w:p>
    <w:p>
      <w:pPr>
        <w:pStyle w:val="BodyText"/>
      </w:pPr>
      <w:r>
        <w:t xml:space="preserve">Figure</w:t>
      </w:r>
      <w:r>
        <w:t xml:space="preserve"> </w:t>
      </w:r>
      <w:r>
        <w:rPr>
          <w:b/>
          <w:bCs/>
        </w:rPr>
        <w:t xml:space="preserve">?@fig-typeII-ncovs-03</w:t>
      </w:r>
      <w:r>
        <w:t xml:space="preserve"> </w:t>
      </w:r>
      <w:r>
        <w:t xml:space="preserve">and Figure</w:t>
      </w:r>
      <w:r>
        <w:t xml:space="preserve"> </w:t>
      </w:r>
      <w:r>
        <w:rPr>
          <w:b/>
          <w:bCs/>
        </w:rPr>
        <w:t xml:space="preserve">?@fig-typeII-ncovs-05</w:t>
      </w:r>
      <w:r>
        <w:t xml:space="preserve"> </w:t>
      </w:r>
      <w:r>
        <w:t xml:space="preserve">display the change in Type II error as the number of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91" w:name="fig-typeii-ncovs-03"/>
          <w:p>
            <w:pPr>
              <w:pStyle w:val="Compact"/>
              <w:jc w:val="center"/>
            </w:pPr>
            <w:r>
              <w:drawing>
                <wp:inline>
                  <wp:extent cx="5334000" cy="3810000"/>
                  <wp:effectExtent b="0" l="0" r="0" t="0"/>
                  <wp:docPr descr="" title="" id="89" name="Picture"/>
                  <a:graphic>
                    <a:graphicData uri="http://schemas.openxmlformats.org/drawingml/2006/picture">
                      <pic:pic>
                        <pic:nvPicPr>
                          <pic:cNvPr descr="index_files/figure-docx/notebooks-mak_figures-fig-typeii-ncovs-03-output-1.png" id="90" name="Picture"/>
                          <pic:cNvPicPr>
                            <a:picLocks noChangeArrowheads="1" noChangeAspect="1"/>
                          </pic:cNvPicPr>
                        </pic:nvPicPr>
                        <pic:blipFill>
                          <a:blip r:embed="rId8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Type II Error by Number of Covariates, b_x=0.3</w:t>
            </w:r>
          </w:p>
          <w:bookmarkEnd w:id="91"/>
        </w:tc>
      </w:tr>
    </w:tbl>
    <w:p>
      <w:pPr>
        <w:pStyle w:val="BodyText"/>
      </w:pPr>
      <w:r>
        <w:rPr>
          <w:vertAlign w:val="subscript"/>
        </w:rPr>
        <w:t xml:space="preserve">Source:</w:t>
      </w:r>
      <w:r>
        <w:rPr>
          <w:vertAlign w:val="subscript"/>
        </w:rPr>
        <w:t xml:space="preserve"> </w:t>
      </w:r>
      <w:hyperlink r:id="rId9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6" w:name="fig-typeii-ncovs-05"/>
          <w:p>
            <w:pPr>
              <w:pStyle w:val="Compact"/>
              <w:jc w:val="center"/>
            </w:pPr>
            <w:r>
              <w:drawing>
                <wp:inline>
                  <wp:extent cx="5334000" cy="3810000"/>
                  <wp:effectExtent b="0" l="0" r="0" t="0"/>
                  <wp:docPr descr="" title="" id="94" name="Picture"/>
                  <a:graphic>
                    <a:graphicData uri="http://schemas.openxmlformats.org/drawingml/2006/picture">
                      <pic:pic>
                        <pic:nvPicPr>
                          <pic:cNvPr descr="index_files/figure-docx/notebooks-mak_figures-fig-typeii-ncovs-05-output-1.png" id="95"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Type II Error by Number of Covariates, b_x=0.5</w:t>
            </w:r>
          </w:p>
          <w:bookmarkEnd w:id="96"/>
        </w:tc>
      </w:tr>
    </w:tbl>
    <w:p>
      <w:pPr>
        <w:pStyle w:val="BodyText"/>
      </w:pPr>
      <w:r>
        <w:rPr>
          <w:vertAlign w:val="subscript"/>
        </w:rPr>
        <w:t xml:space="preserve">Source:</w:t>
      </w:r>
      <w:r>
        <w:rPr>
          <w:vertAlign w:val="subscript"/>
        </w:rPr>
        <w:t xml:space="preserve"> </w:t>
      </w:r>
      <w:hyperlink r:id="rId97">
        <w:r>
          <w:rPr>
            <w:rStyle w:val="Hyperlink"/>
            <w:vertAlign w:val="subscript"/>
          </w:rPr>
          <w:t xml:space="preserve">Make Figures for Main Manuscript</w:t>
        </w:r>
      </w:hyperlink>
    </w:p>
    <w:p>
      <w:pPr>
        <w:pStyle w:val="BodyText"/>
      </w:pPr>
      <w:r>
        <w:t xml:space="preserve">For the smallest number of covariates, the methods are comparable in Type II error, but for larger numbers of covariates, there is a larger gap in performance. As the number of covariates increases, LASSO begins to have the lowest Type II error, followed by the partial correlation and bivariate correlation approaches. Additionally, the method of including all covariates becomes out-performed by the selection methods.</w:t>
      </w:r>
    </w:p>
    <w:p>
      <w:pPr>
        <w:pStyle w:val="BodyText"/>
      </w:pPr>
      <w:r>
        <w:t xml:space="preserve">Figure</w:t>
      </w:r>
      <w:r>
        <w:t xml:space="preserve"> </w:t>
      </w:r>
      <w:r>
        <w:rPr>
          <w:b/>
          <w:bCs/>
        </w:rPr>
        <w:t xml:space="preserve">?@fig-typeII-pgoodcovs-03</w:t>
      </w:r>
      <w:r>
        <w:t xml:space="preserve"> </w:t>
      </w:r>
      <w:r>
        <w:t xml:space="preserve">and Figure</w:t>
      </w:r>
      <w:r>
        <w:t xml:space="preserve"> </w:t>
      </w:r>
      <w:r>
        <w:rPr>
          <w:b/>
          <w:bCs/>
        </w:rPr>
        <w:t xml:space="preserve">?@fig-typeII-pgoodcovs-05</w:t>
      </w:r>
      <w:r>
        <w:t xml:space="preserve"> </w:t>
      </w:r>
      <w:r>
        <w:t xml:space="preserve">display the change in Type II error as the proportion of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101" w:name="fig-typeii-pgoodcovs-03"/>
          <w:p>
            <w:pPr>
              <w:pStyle w:val="Compact"/>
              <w:jc w:val="center"/>
            </w:pPr>
            <w:r>
              <w:drawing>
                <wp:inline>
                  <wp:extent cx="5334000" cy="3810000"/>
                  <wp:effectExtent b="0" l="0" r="0" t="0"/>
                  <wp:docPr descr="" title="" id="99" name="Picture"/>
                  <a:graphic>
                    <a:graphicData uri="http://schemas.openxmlformats.org/drawingml/2006/picture">
                      <pic:pic>
                        <pic:nvPicPr>
                          <pic:cNvPr descr="index_files/figure-docx/notebooks-mak_figures-fig-typeii-pgoodcovs-03-output-1.png" id="100" name="Picture"/>
                          <pic:cNvPicPr>
                            <a:picLocks noChangeArrowheads="1" noChangeAspect="1"/>
                          </pic:cNvPicPr>
                        </pic:nvPicPr>
                        <pic:blipFill>
                          <a:blip r:embed="rId9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Type II Error by Proportion of Good Covariates, b_x=0.3</w:t>
            </w:r>
          </w:p>
          <w:bookmarkEnd w:id="101"/>
        </w:tc>
      </w:tr>
    </w:tbl>
    <w:p>
      <w:pPr>
        <w:pStyle w:val="BodyText"/>
      </w:pPr>
      <w:r>
        <w:rPr>
          <w:vertAlign w:val="subscript"/>
        </w:rPr>
        <w:t xml:space="preserve">Source:</w:t>
      </w:r>
      <w:r>
        <w:rPr>
          <w:vertAlign w:val="subscript"/>
        </w:rPr>
        <w:t xml:space="preserve"> </w:t>
      </w:r>
      <w:hyperlink r:id="rId10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06" w:name="fig-typeii-pgoodcovs-05"/>
          <w:p>
            <w:pPr>
              <w:pStyle w:val="Compact"/>
              <w:jc w:val="center"/>
            </w:pPr>
            <w:r>
              <w:drawing>
                <wp:inline>
                  <wp:extent cx="5334000" cy="3810000"/>
                  <wp:effectExtent b="0" l="0" r="0" t="0"/>
                  <wp:docPr descr="" title="" id="104" name="Picture"/>
                  <a:graphic>
                    <a:graphicData uri="http://schemas.openxmlformats.org/drawingml/2006/picture">
                      <pic:pic>
                        <pic:nvPicPr>
                          <pic:cNvPr descr="index_files/figure-docx/notebooks-mak_figures-fig-typeii-pgoodcovs-05-output-1.png" id="105" name="Picture"/>
                          <pic:cNvPicPr>
                            <a:picLocks noChangeArrowheads="1" noChangeAspect="1"/>
                          </pic:cNvPicPr>
                        </pic:nvPicPr>
                        <pic:blipFill>
                          <a:blip r:embed="rId10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Type II Error by Proportion of Good Covariates, b_x=0.5</w:t>
            </w:r>
          </w:p>
          <w:bookmarkEnd w:id="106"/>
        </w:tc>
      </w:tr>
    </w:tbl>
    <w:p>
      <w:pPr>
        <w:pStyle w:val="BodyText"/>
      </w:pPr>
      <w:r>
        <w:rPr>
          <w:vertAlign w:val="subscript"/>
        </w:rPr>
        <w:t xml:space="preserve">Source:</w:t>
      </w:r>
      <w:r>
        <w:rPr>
          <w:vertAlign w:val="subscript"/>
        </w:rPr>
        <w:t xml:space="preserve"> </w:t>
      </w:r>
      <w:hyperlink r:id="rId107">
        <w:r>
          <w:rPr>
            <w:rStyle w:val="Hyperlink"/>
            <w:vertAlign w:val="subscript"/>
          </w:rPr>
          <w:t xml:space="preserve">Make Figures for Main Manuscript</w:t>
        </w:r>
      </w:hyperlink>
    </w:p>
    <w:p>
      <w:pPr>
        <w:pStyle w:val="BodyText"/>
      </w:pPr>
      <w:r>
        <w:t xml:space="preserve">For higher proportions of good covariates, LASSO, partial correlation, and bivariate correlation have the lowest Type II error.</w:t>
      </w:r>
    </w:p>
    <w:p>
      <w:pPr>
        <w:pStyle w:val="BodyText"/>
      </w:pPr>
      <w:r>
        <w:t xml:space="preserve">Figure</w:t>
      </w:r>
      <w:r>
        <w:t xml:space="preserve"> </w:t>
      </w:r>
      <w:r>
        <w:rPr>
          <w:b/>
          <w:bCs/>
        </w:rPr>
        <w:t xml:space="preserve">?@fig-typeII-rycov-03</w:t>
      </w:r>
      <w:r>
        <w:t xml:space="preserve"> </w:t>
      </w:r>
      <w:r>
        <w:t xml:space="preserve">and Figure</w:t>
      </w:r>
      <w:r>
        <w:t xml:space="preserve"> </w:t>
      </w:r>
      <w:r>
        <w:rPr>
          <w:b/>
          <w:bCs/>
        </w:rPr>
        <w:t xml:space="preserve">?@fig-typeII-rycov-05</w:t>
      </w:r>
      <w:r>
        <w:t xml:space="preserve"> </w:t>
      </w:r>
      <w:r>
        <w:t xml:space="preserve">display the change in Type II error as the correlation between</w:t>
      </w:r>
      <w:r>
        <w:t xml:space="preserve"> </w:t>
      </w:r>
      <m:oMath>
        <m:r>
          <m:t>Y</m:t>
        </m:r>
      </m:oMath>
      <w:r>
        <w:t xml:space="preserve"> </w:t>
      </w:r>
      <w:r>
        <w:t xml:space="preserve">and the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111" w:name="fig-typeii-rycov-03"/>
          <w:p>
            <w:pPr>
              <w:pStyle w:val="Compact"/>
              <w:jc w:val="center"/>
            </w:pPr>
            <w:r>
              <w:drawing>
                <wp:inline>
                  <wp:extent cx="5334000" cy="3810000"/>
                  <wp:effectExtent b="0" l="0" r="0" t="0"/>
                  <wp:docPr descr="" title="" id="109" name="Picture"/>
                  <a:graphic>
                    <a:graphicData uri="http://schemas.openxmlformats.org/drawingml/2006/picture">
                      <pic:pic>
                        <pic:nvPicPr>
                          <pic:cNvPr descr="index_files/figure-docx/notebooks-mak_figures-fig-typeii-rycov-03-output-1.png" id="110" name="Picture"/>
                          <pic:cNvPicPr>
                            <a:picLocks noChangeArrowheads="1" noChangeAspect="1"/>
                          </pic:cNvPicPr>
                        </pic:nvPicPr>
                        <pic:blipFill>
                          <a:blip r:embed="rId10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Type II Error by Y-Covariate Correlation, b_x=0.3</w:t>
            </w:r>
          </w:p>
          <w:bookmarkEnd w:id="111"/>
        </w:tc>
      </w:tr>
    </w:tbl>
    <w:p>
      <w:pPr>
        <w:pStyle w:val="BodyText"/>
      </w:pPr>
      <w:r>
        <w:rPr>
          <w:vertAlign w:val="subscript"/>
        </w:rPr>
        <w:t xml:space="preserve">Source:</w:t>
      </w:r>
      <w:r>
        <w:rPr>
          <w:vertAlign w:val="subscript"/>
        </w:rPr>
        <w:t xml:space="preserve"> </w:t>
      </w:r>
      <w:hyperlink r:id="rId11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16" w:name="fig-typeii-rycov-05"/>
          <w:p>
            <w:pPr>
              <w:pStyle w:val="Compact"/>
              <w:jc w:val="center"/>
            </w:pPr>
            <w:r>
              <w:drawing>
                <wp:inline>
                  <wp:extent cx="5334000" cy="3810000"/>
                  <wp:effectExtent b="0" l="0" r="0" t="0"/>
                  <wp:docPr descr="" title="" id="114" name="Picture"/>
                  <a:graphic>
                    <a:graphicData uri="http://schemas.openxmlformats.org/drawingml/2006/picture">
                      <pic:pic>
                        <pic:nvPicPr>
                          <pic:cNvPr descr="index_files/figure-docx/notebooks-mak_figures-fig-typeii-rycov-05-output-1.png" id="115" name="Picture"/>
                          <pic:cNvPicPr>
                            <a:picLocks noChangeArrowheads="1" noChangeAspect="1"/>
                          </pic:cNvPicPr>
                        </pic:nvPicPr>
                        <pic:blipFill>
                          <a:blip r:embed="rId11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Type II Error by Y-Covariate Correlation, b_x=0.5</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Figures for Main Manuscript</w:t>
        </w:r>
      </w:hyperlink>
    </w:p>
    <w:p>
      <w:pPr>
        <w:pStyle w:val="BodyText"/>
      </w:pPr>
      <w:r>
        <w:t xml:space="preserve">All methods (excluding the no covariates approach) show similar decreasing trends in Type II error as the correlation between</w:t>
      </w:r>
      <w:r>
        <w:t xml:space="preserve"> </w:t>
      </w:r>
      <m:oMath>
        <m:r>
          <m:t>Y</m:t>
        </m:r>
      </m:oMath>
      <w:r>
        <w:t xml:space="preserve"> </w:t>
      </w:r>
      <w:r>
        <w:t xml:space="preserve">and the good covariates increases. The differences between these methods are minimal.</w:t>
      </w:r>
    </w:p>
    <w:bookmarkEnd w:id="118"/>
    <w:bookmarkEnd w:id="119"/>
    <w:bookmarkStart w:id="130" w:name="parameter-estimates-1"/>
    <w:p>
      <w:pPr>
        <w:pStyle w:val="Heading2"/>
      </w:pPr>
      <w:r>
        <w:t xml:space="preserve">Parameter Estimates</w:t>
      </w:r>
    </w:p>
    <w:p>
      <w:pPr>
        <w:pStyle w:val="FirstParagraph"/>
      </w:pPr>
      <w:r>
        <w:t xml:space="preserve">As mentioned, this section considers two population parameters of</w:t>
      </w:r>
      <w:r>
        <w:t xml:space="preserve"> </w:t>
      </w:r>
      <m:oMath>
        <m:r>
          <m:t>X</m:t>
        </m:r>
      </m:oMath>
      <w:r>
        <w:t xml:space="preserve"> </w:t>
      </w:r>
      <w:r>
        <w:t xml:space="preserve">set to 0.3 and 0.5 Figure</w:t>
      </w:r>
      <w:r>
        <w:t xml:space="preserve"> </w:t>
      </w:r>
      <w:hyperlink w:anchor="fig-distribution-bx-03">
        <w:r>
          <w:rPr>
            <w:rStyle w:val="Hyperlink"/>
          </w:rPr>
          <w:t xml:space="preserve">Figure 17</w:t>
        </w:r>
      </w:hyperlink>
      <w:r>
        <w:t xml:space="preserve"> </w:t>
      </w:r>
      <w:r>
        <w:t xml:space="preserve">and Figure</w:t>
      </w:r>
      <w:r>
        <w:t xml:space="preserve"> </w:t>
      </w:r>
      <w:hyperlink w:anchor="fig-distribution-bx-05">
        <w:r>
          <w:rPr>
            <w:rStyle w:val="Hyperlink"/>
          </w:rPr>
          <w:t xml:space="preserve">Figure 18</w:t>
        </w:r>
      </w:hyperlink>
      <w:r>
        <w:t xml:space="preserve"> </w:t>
      </w:r>
      <w:r>
        <w:t xml:space="preserve">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tbl>
      <w:tblPr>
        <w:tblStyle w:val="Table"/>
        <w:tblW w:type="pct" w:w="5000"/>
        <w:tblLayout w:type="fixed"/>
        <w:tblLook w:firstRow="0" w:lastRow="0" w:firstColumn="0" w:lastColumn="0" w:noHBand="0" w:noVBand="0" w:val="0000"/>
      </w:tblPr>
      <w:tblGrid>
        <w:gridCol w:w="7920"/>
      </w:tblGrid>
      <w:tr>
        <w:tc>
          <w:tcPr/>
          <w:bookmarkStart w:id="123" w:name="fig-distribution-bx-03"/>
          <w:p>
            <w:pPr>
              <w:pStyle w:val="Compact"/>
              <w:jc w:val="center"/>
            </w:pPr>
            <w:r>
              <w:drawing>
                <wp:inline>
                  <wp:extent cx="5334000" cy="3810000"/>
                  <wp:effectExtent b="0" l="0" r="0" t="0"/>
                  <wp:docPr descr="" title="" id="121" name="Picture"/>
                  <a:graphic>
                    <a:graphicData uri="http://schemas.openxmlformats.org/drawingml/2006/picture">
                      <pic:pic>
                        <pic:nvPicPr>
                          <pic:cNvPr descr="index_files/figure-docx/notebooks-mak_figures-fig-distribution-bx-03-output-2.png" id="122" name="Picture"/>
                          <pic:cNvPicPr>
                            <a:picLocks noChangeArrowheads="1" noChangeAspect="1"/>
                          </pic:cNvPicPr>
                        </pic:nvPicPr>
                        <pic:blipFill>
                          <a:blip r:embed="rId1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Sampling Distribution for b_x=0.3 Estimate</w:t>
            </w:r>
          </w:p>
          <w:bookmarkEnd w:id="123"/>
        </w:tc>
      </w:tr>
    </w:tbl>
    <w:p>
      <w:pPr>
        <w:pStyle w:val="BodyText"/>
      </w:pPr>
      <w:r>
        <w:rPr>
          <w:vertAlign w:val="subscript"/>
        </w:rPr>
        <w:t xml:space="preserve">Source:</w:t>
      </w:r>
      <w:r>
        <w:rPr>
          <w:vertAlign w:val="subscript"/>
        </w:rPr>
        <w:t xml:space="preserve"> </w:t>
      </w:r>
      <w:hyperlink r:id="rId124">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28" w:name="fig-distribution-bx-05"/>
          <w:p>
            <w:pPr>
              <w:pStyle w:val="Compact"/>
              <w:jc w:val="center"/>
            </w:pPr>
            <w:r>
              <w:drawing>
                <wp:inline>
                  <wp:extent cx="5334000" cy="3810000"/>
                  <wp:effectExtent b="0" l="0" r="0" t="0"/>
                  <wp:docPr descr="" title="" id="126" name="Picture"/>
                  <a:graphic>
                    <a:graphicData uri="http://schemas.openxmlformats.org/drawingml/2006/picture">
                      <pic:pic>
                        <pic:nvPicPr>
                          <pic:cNvPr descr="index_files/figure-docx/notebooks-mak_figures-fig-distribution-bx-05-output-2.png" id="127" name="Picture"/>
                          <pic:cNvPicPr>
                            <a:picLocks noChangeArrowheads="1" noChangeAspect="1"/>
                          </pic:cNvPicPr>
                        </pic:nvPicPr>
                        <pic:blipFill>
                          <a:blip r:embed="rId12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Sampling Distribution for b_x=0.5 Estimate</w:t>
            </w:r>
          </w:p>
          <w:bookmarkEnd w:id="128"/>
        </w:tc>
      </w:tr>
    </w:tbl>
    <w:p>
      <w:pPr>
        <w:pStyle w:val="BodyText"/>
      </w:pPr>
      <w:r>
        <w:rPr>
          <w:vertAlign w:val="subscript"/>
        </w:rPr>
        <w:t xml:space="preserve">Source:</w:t>
      </w:r>
      <w:r>
        <w:rPr>
          <w:vertAlign w:val="subscript"/>
        </w:rPr>
        <w:t xml:space="preserve"> </w:t>
      </w:r>
      <w:hyperlink r:id="rId129">
        <w:r>
          <w:rPr>
            <w:rStyle w:val="Hyperlink"/>
            <w:vertAlign w:val="subscript"/>
          </w:rPr>
          <w:t xml:space="preserve">Make Figures for Main Manuscript</w:t>
        </w:r>
      </w:hyperlink>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bookmarkEnd w:id="130"/>
    <w:bookmarkEnd w:id="131"/>
    <w:bookmarkStart w:id="132"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132"/>
    <w:bookmarkStart w:id="144" w:name="references"/>
    <w:p>
      <w:pPr>
        <w:pStyle w:val="Heading1"/>
      </w:pPr>
      <w:r>
        <w:t xml:space="preserve">References</w:t>
      </w:r>
    </w:p>
    <w:bookmarkStart w:id="143" w:name="refs"/>
    <w:bookmarkStart w:id="134"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133">
        <w:r>
          <w:rPr>
            <w:rStyle w:val="Hyperlink"/>
          </w:rPr>
          <w:t xml:space="preserve">https://doi.org/10.1038/nrn3475</w:t>
        </w:r>
      </w:hyperlink>
      <w:r>
        <w:t xml:space="preserve">.</w:t>
      </w:r>
    </w:p>
    <w:bookmarkEnd w:id="134"/>
    <w:bookmarkStart w:id="13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135">
        <w:r>
          <w:rPr>
            <w:rStyle w:val="Hyperlink"/>
          </w:rPr>
          <w:t xml:space="preserve">https://doi.org/10.21231/GNT1-HW21</w:t>
        </w:r>
      </w:hyperlink>
      <w:r>
        <w:t xml:space="preserve">.</w:t>
      </w:r>
    </w:p>
    <w:bookmarkEnd w:id="136"/>
    <w:bookmarkStart w:id="137"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137"/>
    <w:bookmarkStart w:id="138"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138"/>
    <w:bookmarkStart w:id="140"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139">
        <w:r>
          <w:rPr>
            <w:rStyle w:val="Hyperlink"/>
          </w:rPr>
          <w:t xml:space="preserve">https://doi.org/10.1177/0956797611417632</w:t>
        </w:r>
      </w:hyperlink>
      <w:r>
        <w:t xml:space="preserve">.</w:t>
      </w:r>
    </w:p>
    <w:bookmarkEnd w:id="140"/>
    <w:bookmarkStart w:id="142"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141">
        <w:r>
          <w:rPr>
            <w:rStyle w:val="Hyperlink"/>
          </w:rPr>
          <w:t xml:space="preserve">https://doi.org/10.1177/1745691614553988</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hyperlink" Id="rId133" Target="https://doi.org/10.1038/nrn3475" TargetMode="External" /><Relationship Type="http://schemas.openxmlformats.org/officeDocument/2006/relationships/hyperlink" Id="rId139" Target="https://doi.org/10.1177/0956797611417632" TargetMode="External" /><Relationship Type="http://schemas.openxmlformats.org/officeDocument/2006/relationships/hyperlink" Id="rId141" Target="https://doi.org/10.1177/1745691614553988" TargetMode="External" /><Relationship Type="http://schemas.openxmlformats.org/officeDocument/2006/relationships/hyperlink" Id="rId135" Target="https://doi.org/10.21231/GNT1-HW21" TargetMode="External" /><Relationship Type="http://schemas.openxmlformats.org/officeDocument/2006/relationships/hyperlink" Id="rId66" Target="https://jjcurtin.github.io/study_cov/notebooks\mak_figures-preview.html#cell-fig-distribution-bx-0" TargetMode="External" /><Relationship Type="http://schemas.openxmlformats.org/officeDocument/2006/relationships/hyperlink" Id="rId124" Target="https://jjcurtin.github.io/study_cov/notebooks\mak_figures-preview.html#cell-fig-distribution-bx-03" TargetMode="External" /><Relationship Type="http://schemas.openxmlformats.org/officeDocument/2006/relationships/hyperlink" Id="rId129" Target="https://jjcurtin.github.io/study_cov/notebooks\mak_figures-preview.html#cell-fig-distribution-bx-05"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49" Target="https://jjcurtin.github.io/study_cov/notebooks\mak_figures-preview.html#cell-fig-typeI-ncovs" TargetMode="External" /><Relationship Type="http://schemas.openxmlformats.org/officeDocument/2006/relationships/hyperlink" Id="rId44" Target="https://jjcurtin.github.io/study_cov/notebooks\mak_figures-preview.html#cell-fig-typeI-nobs" TargetMode="External" /><Relationship Type="http://schemas.openxmlformats.org/officeDocument/2006/relationships/hyperlink" Id="rId54" Target="https://jjcurtin.github.io/study_cov/notebooks\mak_figures-preview.html#cell-fig-typeI-pgoodcovs" TargetMode="External" /><Relationship Type="http://schemas.openxmlformats.org/officeDocument/2006/relationships/hyperlink" Id="rId59" Target="https://jjcurtin.github.io/study_cov/notebooks\mak_figures-preview.html#cell-fig-typeI-rycov" TargetMode="External" /><Relationship Type="http://schemas.openxmlformats.org/officeDocument/2006/relationships/hyperlink" Id="rId72" Target="https://jjcurtin.github.io/study_cov/notebooks\mak_figures-preview.html#cell-fig-typeII-bar-03" TargetMode="External" /><Relationship Type="http://schemas.openxmlformats.org/officeDocument/2006/relationships/hyperlink" Id="rId77" Target="https://jjcurtin.github.io/study_cov/notebooks\mak_figures-preview.html#cell-fig-typeII-bar-05" TargetMode="External" /><Relationship Type="http://schemas.openxmlformats.org/officeDocument/2006/relationships/hyperlink" Id="rId92" Target="https://jjcurtin.github.io/study_cov/notebooks\mak_figures-preview.html#cell-fig-typeII-ncovs-03" TargetMode="External" /><Relationship Type="http://schemas.openxmlformats.org/officeDocument/2006/relationships/hyperlink" Id="rId97" Target="https://jjcurtin.github.io/study_cov/notebooks\mak_figures-preview.html#cell-fig-typeII-ncovs-05" TargetMode="External" /><Relationship Type="http://schemas.openxmlformats.org/officeDocument/2006/relationships/hyperlink" Id="rId82" Target="https://jjcurtin.github.io/study_cov/notebooks\mak_figures-preview.html#cell-fig-typeII-nobs-03" TargetMode="External" /><Relationship Type="http://schemas.openxmlformats.org/officeDocument/2006/relationships/hyperlink" Id="rId87" Target="https://jjcurtin.github.io/study_cov/notebooks\mak_figures-preview.html#cell-fig-typeII-nobs-05" TargetMode="External" /><Relationship Type="http://schemas.openxmlformats.org/officeDocument/2006/relationships/hyperlink" Id="rId102" Target="https://jjcurtin.github.io/study_cov/notebooks\mak_figures-preview.html#cell-fig-typeII-pgoodcovs-03" TargetMode="External" /><Relationship Type="http://schemas.openxmlformats.org/officeDocument/2006/relationships/hyperlink" Id="rId107" Target="https://jjcurtin.github.io/study_cov/notebooks\mak_figures-preview.html#cell-fig-typeII-pgoodcovs-05" TargetMode="External" /><Relationship Type="http://schemas.openxmlformats.org/officeDocument/2006/relationships/hyperlink" Id="rId112" Target="https://jjcurtin.github.io/study_cov/notebooks\mak_figures-preview.html#cell-fig-typeII-rycov-03" TargetMode="External" /><Relationship Type="http://schemas.openxmlformats.org/officeDocument/2006/relationships/hyperlink" Id="rId117"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133" Target="https://doi.org/10.1038/nrn3475" TargetMode="External" /><Relationship Type="http://schemas.openxmlformats.org/officeDocument/2006/relationships/hyperlink" Id="rId139" Target="https://doi.org/10.1177/0956797611417632" TargetMode="External" /><Relationship Type="http://schemas.openxmlformats.org/officeDocument/2006/relationships/hyperlink" Id="rId141" Target="https://doi.org/10.1177/1745691614553988" TargetMode="External" /><Relationship Type="http://schemas.openxmlformats.org/officeDocument/2006/relationships/hyperlink" Id="rId135" Target="https://doi.org/10.21231/GNT1-HW21" TargetMode="External" /><Relationship Type="http://schemas.openxmlformats.org/officeDocument/2006/relationships/hyperlink" Id="rId66" Target="https://jjcurtin.github.io/study_cov/notebooks\mak_figures-preview.html#cell-fig-distribution-bx-0" TargetMode="External" /><Relationship Type="http://schemas.openxmlformats.org/officeDocument/2006/relationships/hyperlink" Id="rId124" Target="https://jjcurtin.github.io/study_cov/notebooks\mak_figures-preview.html#cell-fig-distribution-bx-03" TargetMode="External" /><Relationship Type="http://schemas.openxmlformats.org/officeDocument/2006/relationships/hyperlink" Id="rId129" Target="https://jjcurtin.github.io/study_cov/notebooks\mak_figures-preview.html#cell-fig-distribution-bx-05"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49" Target="https://jjcurtin.github.io/study_cov/notebooks\mak_figures-preview.html#cell-fig-typeI-ncovs" TargetMode="External" /><Relationship Type="http://schemas.openxmlformats.org/officeDocument/2006/relationships/hyperlink" Id="rId44" Target="https://jjcurtin.github.io/study_cov/notebooks\mak_figures-preview.html#cell-fig-typeI-nobs" TargetMode="External" /><Relationship Type="http://schemas.openxmlformats.org/officeDocument/2006/relationships/hyperlink" Id="rId54" Target="https://jjcurtin.github.io/study_cov/notebooks\mak_figures-preview.html#cell-fig-typeI-pgoodcovs" TargetMode="External" /><Relationship Type="http://schemas.openxmlformats.org/officeDocument/2006/relationships/hyperlink" Id="rId59" Target="https://jjcurtin.github.io/study_cov/notebooks\mak_figures-preview.html#cell-fig-typeI-rycov" TargetMode="External" /><Relationship Type="http://schemas.openxmlformats.org/officeDocument/2006/relationships/hyperlink" Id="rId72" Target="https://jjcurtin.github.io/study_cov/notebooks\mak_figures-preview.html#cell-fig-typeII-bar-03" TargetMode="External" /><Relationship Type="http://schemas.openxmlformats.org/officeDocument/2006/relationships/hyperlink" Id="rId77" Target="https://jjcurtin.github.io/study_cov/notebooks\mak_figures-preview.html#cell-fig-typeII-bar-05" TargetMode="External" /><Relationship Type="http://schemas.openxmlformats.org/officeDocument/2006/relationships/hyperlink" Id="rId92" Target="https://jjcurtin.github.io/study_cov/notebooks\mak_figures-preview.html#cell-fig-typeII-ncovs-03" TargetMode="External" /><Relationship Type="http://schemas.openxmlformats.org/officeDocument/2006/relationships/hyperlink" Id="rId97" Target="https://jjcurtin.github.io/study_cov/notebooks\mak_figures-preview.html#cell-fig-typeII-ncovs-05" TargetMode="External" /><Relationship Type="http://schemas.openxmlformats.org/officeDocument/2006/relationships/hyperlink" Id="rId82" Target="https://jjcurtin.github.io/study_cov/notebooks\mak_figures-preview.html#cell-fig-typeII-nobs-03" TargetMode="External" /><Relationship Type="http://schemas.openxmlformats.org/officeDocument/2006/relationships/hyperlink" Id="rId87" Target="https://jjcurtin.github.io/study_cov/notebooks\mak_figures-preview.html#cell-fig-typeII-nobs-05" TargetMode="External" /><Relationship Type="http://schemas.openxmlformats.org/officeDocument/2006/relationships/hyperlink" Id="rId102" Target="https://jjcurtin.github.io/study_cov/notebooks\mak_figures-preview.html#cell-fig-typeII-pgoodcovs-03" TargetMode="External" /><Relationship Type="http://schemas.openxmlformats.org/officeDocument/2006/relationships/hyperlink" Id="rId107" Target="https://jjcurtin.github.io/study_cov/notebooks\mak_figures-preview.html#cell-fig-typeII-pgoodcovs-05" TargetMode="External" /><Relationship Type="http://schemas.openxmlformats.org/officeDocument/2006/relationships/hyperlink" Id="rId112" Target="https://jjcurtin.github.io/study_cov/notebooks\mak_figures-preview.html#cell-fig-typeII-rycov-03" TargetMode="External" /><Relationship Type="http://schemas.openxmlformats.org/officeDocument/2006/relationships/hyperlink" Id="rId117"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2025-10-16T01:02:25Z</dcterms:created>
  <dcterms:modified xsi:type="dcterms:W3CDTF">2025-10-16T01:02:25Z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2025-10-15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