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Methods</w:t>
      </w:r>
      <w:r>
        <w:t xml:space="preserve"> </w:t>
      </w:r>
      <w:r>
        <w:t xml:space="preserve">for</w:t>
      </w:r>
      <w:r>
        <w:t xml:space="preserve"> </w:t>
      </w:r>
      <w:r>
        <w:t xml:space="preserve">Covariate</w:t>
      </w:r>
      <w:r>
        <w:t xml:space="preserve"> </w:t>
      </w:r>
      <w:r>
        <w:t xml:space="preserve">Selection</w:t>
      </w:r>
      <w:r>
        <w:t xml:space="preserve"> </w:t>
      </w:r>
      <w:r>
        <w:t xml:space="preserve">in</w:t>
      </w:r>
      <w:r>
        <w:t xml:space="preserve"> </w:t>
      </w:r>
      <w:r>
        <w:t xml:space="preserve">Experimental</w:t>
      </w:r>
      <w:r>
        <w:t xml:space="preserve"> </w:t>
      </w:r>
      <w:r>
        <w:t xml:space="preserve">Designs</w:t>
      </w:r>
    </w:p>
    <w:p>
      <w:pPr>
        <w:pStyle w:val="Author"/>
      </w:pPr>
      <w:r>
        <w:t xml:space="preserve">Lauren</w:t>
      </w:r>
      <w:r>
        <w:t xml:space="preserve"> </w:t>
      </w:r>
      <w:r>
        <w:t xml:space="preserve">Khoury</w:t>
      </w:r>
    </w:p>
    <w:p>
      <w:pPr>
        <w:pStyle w:val="Author"/>
      </w:pPr>
      <w:r>
        <w:t xml:space="preserve">Kendra</w:t>
      </w:r>
      <w:r>
        <w:t xml:space="preserve"> </w:t>
      </w:r>
      <w:r>
        <w:t xml:space="preserve">Wyant</w:t>
      </w:r>
    </w:p>
    <w:p>
      <w:pPr>
        <w:pStyle w:val="Author"/>
      </w:pPr>
      <w:r>
        <w:t xml:space="preserve">Markus</w:t>
      </w:r>
      <w:r>
        <w:t xml:space="preserve"> </w:t>
      </w:r>
      <w:r>
        <w:t xml:space="preserve">Brauer</w:t>
      </w:r>
    </w:p>
    <w:p>
      <w:pPr>
        <w:pStyle w:val="Author"/>
      </w:pPr>
      <w:r>
        <w:t xml:space="preserve">John</w:t>
      </w:r>
      <w:r>
        <w:t xml:space="preserve"> </w:t>
      </w:r>
      <w:r>
        <w:t xml:space="preserve">J.</w:t>
      </w:r>
      <w:r>
        <w:t xml:space="preserve"> </w:t>
      </w:r>
      <w:r>
        <w:t xml:space="preserve">Curtin</w:t>
      </w:r>
    </w:p>
    <w:p>
      <w:pPr>
        <w:pStyle w:val="Date"/>
      </w:pPr>
      <w:r>
        <w:t xml:space="preserve">2025-11-14</w:t>
      </w:r>
    </w:p>
    <w:p>
      <w:pPr>
        <w:pStyle w:val="AbstractTitle"/>
      </w:pPr>
      <w:r>
        <w:t xml:space="preserve">Abstract</w:t>
      </w:r>
    </w:p>
    <w:p>
      <w:pPr>
        <w:pStyle w:val="Abstract"/>
      </w:pPr>
      <w:r>
        <w:t xml:space="preserve">Abstract</w:t>
      </w:r>
      <w:r>
        <w:t xml:space="preserve"> </w:t>
      </w:r>
      <w:r>
        <w:t xml:space="preserve">of</w:t>
      </w:r>
      <w:r>
        <w:t xml:space="preserve"> </w:t>
      </w:r>
      <w:r>
        <w:t xml:space="preserve">paper</w:t>
      </w:r>
      <w:r>
        <w:t xml:space="preserve"> </w:t>
      </w:r>
      <w:r>
        <w:t xml:space="preserve">goes</w:t>
      </w:r>
      <w:r>
        <w:t xml:space="preserve"> </w:t>
      </w:r>
      <w:r>
        <w:t xml:space="preserve">here</w:t>
      </w:r>
      <w:r>
        <w:t xml:space="preserve"> </w:t>
      </w:r>
      <w:r>
        <w:t xml:space="preserve">and</w:t>
      </w:r>
      <w:r>
        <w:t xml:space="preserve"> </w:t>
      </w:r>
      <w:r>
        <w:t xml:space="preserve">can</w:t>
      </w:r>
      <w:r>
        <w:t xml:space="preserve"> </w:t>
      </w:r>
      <w:r>
        <w:t xml:space="preserve">span</w:t>
      </w:r>
      <w:r>
        <w:t xml:space="preserve"> </w:t>
      </w:r>
      <w:r>
        <w:t xml:space="preserve">several</w:t>
      </w:r>
      <w:r>
        <w:t xml:space="preserve"> </w:t>
      </w:r>
      <w:r>
        <w:t xml:space="preserve">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 These concerns have led to a replication crisis and have prompted increased caution and consideration around researcher decisions in statistical tests.</w:t>
      </w:r>
      <w:r>
        <w:t xml:space="preserve"> </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Criticially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settings. These settings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(Pearson correlation, full linear model, and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setting.</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the Pearson correlation coefficient (</w:t>
      </w:r>
      <w:r>
        <w:rPr>
          <w:i/>
          <w:iCs/>
        </w:rPr>
        <w:t xml:space="preserve">r</w:t>
      </w:r>
      <w:r>
        <w:t xml:space="preserve">), a full linear model, and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Bivariate correlation</w:t>
                  </w:r>
                </w:p>
              </w:tc>
              <w:tc>
                <w:tcPr/>
                <w:p>
                  <w:pPr>
                    <w:pStyle w:val="Compact"/>
                    <w:jc w:val="left"/>
                    <w:jc w:val="center"/>
                  </w:pPr>
                  <w:r>
                    <w:t xml:space="preserve">Pearson correlation coefficient (r) of covariates on Y. Covariates are considered one at a time and included in the final model if they yield a significant effect on Y (p &lt; .05).</w:t>
                  </w:r>
                </w:p>
              </w:tc>
            </w:tr>
            <w:tr>
              <w:tc>
                <w:tcPr/>
                <w:p>
                  <w:pPr>
                    <w:pStyle w:val="Compact"/>
                    <w:jc w:val="left"/>
                    <w:jc w:val="center"/>
                  </w:pPr>
                  <w:r>
                    <w:t xml:space="preserve">Partial correlation</w:t>
                  </w:r>
                </w:p>
              </w:tc>
              <w:tc>
                <w:tcPr/>
                <w:p>
                  <w:pPr>
                    <w:pStyle w:val="Compact"/>
                    <w:jc w:val="left"/>
                    <w:jc w:val="center"/>
                  </w:pPr>
                  <w:r>
                    <w:t xml:space="preserve">Pearson correlation coefficient (r) of covariates on Y while controlling for X. Covariates are considered one at a time and included in the final model if they yield a significant effect on Y (p &lt; .05).</w:t>
                  </w:r>
                </w:p>
              </w:tc>
            </w:tr>
            <w:tr>
              <w:tc>
                <w:tcPr/>
                <w:p>
                  <w:pPr>
                    <w:pStyle w:val="Compact"/>
                    <w:jc w:val="left"/>
                    <w:jc w:val="center"/>
                  </w:pPr>
                  <w:r>
                    <w:t xml:space="preserve">Full linear model</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Full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LASSO</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settings"/>
    <w:p>
      <w:pPr>
        <w:pStyle w:val="Heading2"/>
      </w:pPr>
      <w:r>
        <w:t xml:space="preserve">Research Settings</w:t>
      </w:r>
    </w:p>
    <w:p>
      <w:pPr>
        <w:pStyle w:val="FirstParagraph"/>
      </w:pPr>
      <w:r>
        <w:t xml:space="preserve">We manipulated several variables designed to mimic varying research settings that psychology researchers might be working in. We crossed all levels of each variable to create a total of 540 unique research settings. A summary of these settings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w:t>
      </w:r>
      <w:r>
        <w:t xml:space="preserve">good</w:t>
      </w:r>
      <w:r>
        <w:t xml:space="preserve">”</w:t>
      </w:r>
      <w:r>
        <w:t xml:space="preserve"> </w:t>
      </w:r>
      <w:r>
        <w:t xml:space="preserve">covariates. We used varying proportions of good covariates across research settings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setting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Setting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setting. Within each simulation we generated a unique datset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Settings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 We also calculated true and false positive rates to evaluate the rate at which the model selected covariates correlated with</w:t>
      </w:r>
      <w:r>
        <w:t xml:space="preserve"> </w:t>
      </w:r>
      <w:r>
        <w:rPr>
          <w:i/>
          <w:iCs/>
        </w:rPr>
        <w:t xml:space="preserve">Y</w:t>
      </w:r>
      <w:r>
        <w:t xml:space="preserve"> </w:t>
      </w:r>
      <w:r>
        <w:t xml:space="preserve">(i.e., percentage of good covariates selected) and incorrectly selected covariates not correlated with</w:t>
      </w:r>
      <w:r>
        <w:t xml:space="preserve"> </w:t>
      </w:r>
      <w:r>
        <w:rPr>
          <w:i/>
          <w:iCs/>
        </w:rPr>
        <w:t xml:space="preserve">Y</w:t>
      </w:r>
      <w:r>
        <w:t xml:space="preserve"> </w:t>
      </w:r>
      <w:r>
        <w:t xml:space="preserve">(i.e., percentage of bad covariates selected).</w:t>
      </w:r>
      <w:r>
        <w:t xml:space="preserve"> </w:t>
      </w:r>
      <w:r>
        <w:t xml:space="preserve"> </w:t>
      </w:r>
    </w:p>
    <w:p>
      <w:pPr>
        <w:pStyle w:val="BodyText"/>
      </w:pPr>
      <w:r>
        <w:t xml:space="preserve">For research settings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settings. For research settings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settings. We also provide sampling distributions of the parameter estimate for</w:t>
      </w:r>
      <w:r>
        <w:t xml:space="preserve"> </w:t>
      </w:r>
      <w:r>
        <w:rPr>
          <w:i/>
          <w:iCs/>
        </w:rPr>
        <w:t xml:space="preserve">X</w:t>
      </w:r>
      <w:r>
        <w:t xml:space="preserve"> </w:t>
      </w:r>
      <w:r>
        <w:t xml:space="preserve">across research settings for each method, separately by true effect size (0, 0.3, and 0.5). Detailed tables of range and average error rates for each research setting and true and false positive rates for covariates are available in the supplement.</w:t>
      </w:r>
    </w:p>
    <w:bookmarkEnd w:id="27"/>
    <w:bookmarkEnd w:id="28"/>
    <w:bookmarkStart w:id="62"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settings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810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setting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 full linear model with</w:t>
      </w:r>
      <w:r>
        <w:t xml:space="preserve"> </w:t>
      </w:r>
      <w:r>
        <w:rPr>
          <w:i/>
          <w:iCs/>
        </w:rPr>
        <w:t xml:space="preserve">X</w:t>
      </w:r>
      <w:r>
        <w:t xml:space="preserve"> </w:t>
      </w:r>
      <w:r>
        <w:t xml:space="preserve">and LASSO with</w:t>
      </w:r>
      <w:r>
        <w:t xml:space="preserve"> </w:t>
      </w:r>
      <w:r>
        <w:rPr>
          <w:i/>
          <w:iCs/>
        </w:rPr>
        <w:t xml:space="preserve">X</w:t>
      </w:r>
      <w:r>
        <w:t xml:space="preserve">, and to a lesser degree partial correlation.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settings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setting (</w:t>
      </w:r>
      <w:hyperlink w:anchor="fig-panel-2">
        <w:r>
          <w:rPr>
            <w:rStyle w:val="Hyperlink"/>
          </w:rPr>
          <w:t xml:space="preserve">Figure 4</w:t>
        </w:r>
      </w:hyperlink>
      <w:r>
        <w:t xml:space="preserve">). Across all research setting,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 full linear model without</w:t>
      </w:r>
      <w:r>
        <w:t xml:space="preserve"> </w:t>
      </w:r>
      <w:r>
        <w:rPr>
          <w:i/>
          <w:iCs/>
        </w:rPr>
        <w:t xml:space="preserve">X</w:t>
      </w:r>
      <w:r>
        <w:t xml:space="preserve">. As sample size increased, the methods performed comparably with respect to Type II error. Using all covariates or a full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full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right"/>
                    <w:jc w:val="center"/>
                  </w:pPr>
                  <w:r>
                    <w:t xml:space="preserve">b_x = 0</w:t>
                  </w:r>
                </w:p>
              </w:tc>
              <w:tc>
                <w:tcPr/>
                <w:p>
                  <w:pPr>
                    <w:pStyle w:val="Compact"/>
                    <w:jc w:val="right"/>
                    <w:jc w:val="center"/>
                  </w:pPr>
                  <w:r>
                    <w:t xml:space="preserve">b_x = .3</w:t>
                  </w:r>
                </w:p>
              </w:tc>
              <w:tc>
                <w:tcPr/>
                <w:p>
                  <w:pPr>
                    <w:pStyle w:val="Compact"/>
                    <w:jc w:val="right"/>
                    <w:jc w:val="center"/>
                  </w:pPr>
                  <w:r>
                    <w:t xml:space="preserve">b_x = .5</w:t>
                  </w:r>
                </w:p>
              </w:tc>
            </w:tr>
            <w:tr>
              <w:tc>
                <w:tcPr/>
                <w:p>
                  <w:pPr>
                    <w:pStyle w:val="Compact"/>
                    <w:jc w:val="left"/>
                    <w:jc w:val="center"/>
                  </w:pPr>
                  <w:r>
                    <w:t xml:space="preserve">p-hacking</w:t>
                  </w:r>
                </w:p>
              </w:tc>
              <w:tc>
                <w:tcPr/>
                <w:p>
                  <w:pPr>
                    <w:pStyle w:val="Compact"/>
                    <w:jc w:val="right"/>
                    <w:jc w:val="center"/>
                  </w:pPr>
                  <w:r>
                    <w:t xml:space="preserve">0</w:t>
                  </w:r>
                </w:p>
              </w:tc>
              <w:tc>
                <w:tcPr/>
                <w:p>
                  <w:pPr>
                    <w:pStyle w:val="Compact"/>
                    <w:jc w:val="right"/>
                    <w:jc w:val="center"/>
                  </w:pPr>
                  <w:r>
                    <w:t xml:space="preserve">0.368</w:t>
                  </w:r>
                </w:p>
              </w:tc>
              <w:tc>
                <w:tcPr/>
                <w:p>
                  <w:pPr>
                    <w:pStyle w:val="Compact"/>
                    <w:jc w:val="right"/>
                    <w:jc w:val="center"/>
                  </w:pPr>
                  <w:r>
                    <w:t xml:space="preserve">0.563</w:t>
                  </w:r>
                </w:p>
              </w:tc>
            </w:tr>
            <w:tr>
              <w:tc>
                <w:tcPr/>
                <w:p>
                  <w:pPr>
                    <w:pStyle w:val="Compact"/>
                    <w:jc w:val="left"/>
                    <w:jc w:val="center"/>
                  </w:pPr>
                  <w:r>
                    <w:t xml:space="preserve">No covariates</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Single covariate lm</w:t>
                  </w:r>
                </w:p>
              </w:tc>
              <w:tc>
                <w:tcPr/>
                <w:p>
                  <w:pPr>
                    <w:pStyle w:val="Compact"/>
                    <w:jc w:val="right"/>
                    <w:jc w:val="center"/>
                  </w:pPr>
                  <w:r>
                    <w:t xml:space="preserve">0</w:t>
                  </w:r>
                </w:p>
              </w:tc>
              <w:tc>
                <w:tcPr/>
                <w:p>
                  <w:pPr>
                    <w:pStyle w:val="Compact"/>
                    <w:jc w:val="right"/>
                    <w:jc w:val="center"/>
                  </w:pPr>
                  <w:r>
                    <w:t xml:space="preserve">0.297</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lm</w:t>
                  </w:r>
                </w:p>
              </w:tc>
              <w:tc>
                <w:tcPr/>
                <w:p>
                  <w:pPr>
                    <w:pStyle w:val="Compact"/>
                    <w:jc w:val="right"/>
                    <w:jc w:val="center"/>
                  </w:pPr>
                  <w:r>
                    <w:t xml:space="preserve">0</w:t>
                  </w:r>
                </w:p>
              </w:tc>
              <w:tc>
                <w:tcPr/>
                <w:p>
                  <w:pPr>
                    <w:pStyle w:val="Compact"/>
                    <w:jc w:val="right"/>
                    <w:jc w:val="center"/>
                  </w:pPr>
                  <w:r>
                    <w:t xml:space="preserve">0.287</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LASSO</w:t>
                  </w:r>
                </w:p>
              </w:tc>
              <w:tc>
                <w:tcPr/>
                <w:p>
                  <w:pPr>
                    <w:pStyle w:val="Compact"/>
                    <w:jc w:val="right"/>
                    <w:jc w:val="center"/>
                  </w:pPr>
                  <w:r>
                    <w:t xml:space="preserve">0</w:t>
                  </w:r>
                </w:p>
              </w:tc>
              <w:tc>
                <w:tcPr/>
                <w:p>
                  <w:pPr>
                    <w:pStyle w:val="Compact"/>
                    <w:jc w:val="right"/>
                    <w:jc w:val="center"/>
                  </w:pPr>
                  <w:r>
                    <w:t xml:space="preserve">0.292</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Start w:id="53" w:name="X171b6f861f3aa5667fe622e0e08d2d8cd2b933e"/>
    <w:p>
      <w:pPr>
        <w:pStyle w:val="Heading4"/>
      </w:pPr>
      <w:r>
        <w:t xml:space="preserve">1. Don’t p hack and other type I error conclusions</w:t>
      </w:r>
    </w:p>
    <w:bookmarkEnd w:id="53"/>
    <w:bookmarkStart w:id="54" w:name="X7840189bc882c2298dc5239e66f72ba94bcc566"/>
    <w:p>
      <w:pPr>
        <w:pStyle w:val="Heading4"/>
      </w:pPr>
      <w:r>
        <w:t xml:space="preserve">2. Use covariates and other type II error conclusions</w:t>
      </w:r>
    </w:p>
    <w:bookmarkEnd w:id="54"/>
    <w:bookmarkStart w:id="55" w:name="Xa35707983fd21013acacaa943b7986ba4bd4e8a"/>
    <w:p>
      <w:pPr>
        <w:pStyle w:val="Heading4"/>
      </w:pPr>
      <w:r>
        <w:t xml:space="preserve">3. In many instances you can use all covariates</w:t>
      </w:r>
    </w:p>
    <w:bookmarkEnd w:id="55"/>
    <w:bookmarkStart w:id="56" w:name="X4854958f85c0919bb4b92f919a9cc75c4c02f24"/>
    <w:p>
      <w:pPr>
        <w:pStyle w:val="Heading4"/>
      </w:pPr>
      <w:r>
        <w:t xml:space="preserve">4. Compare candidate selection methods (R and partial R - comparable in power, one slight increase in type 1 and 1 small biasing in parameter estimates) might improve power in certain research settings (low n, large number of covariates). Describe departure in type 1 error by comparing with other violations - normality (trivial)</w:t>
      </w:r>
    </w:p>
    <w:bookmarkEnd w:id="56"/>
    <w:bookmarkStart w:id="57" w:name="X1fa97cb1391865afe2e1512bf776634612c4531"/>
    <w:p>
      <w:pPr>
        <w:pStyle w:val="Heading4"/>
      </w:pPr>
      <w:r>
        <w:t xml:space="preserve">5. Don’t run with n = 50 but acknowledge difficulty in reaching conclusions</w:t>
      </w:r>
    </w:p>
    <w:bookmarkEnd w:id="57"/>
    <w:bookmarkStart w:id="58" w:name="X83dff15730192dc336cd88a1061270059da0e24"/>
    <w:p>
      <w:pPr>
        <w:pStyle w:val="Heading4"/>
      </w:pPr>
      <w:r>
        <w:t xml:space="preserve">6. Alternative type of covariate not addressed in this study - Measured covariates after baseline (reasonably sure that they were not affected by x). Another use of covariates is for controlling but that is different and more complicated.</w:t>
      </w:r>
    </w:p>
    <w:bookmarkEnd w:id="58"/>
    <w:bookmarkStart w:id="59" w:name="Xdd2ccb7257dc19bc9050bd5cc868098993a2b8a"/>
    <w:p>
      <w:pPr>
        <w:pStyle w:val="Heading4"/>
      </w:pPr>
      <w:r>
        <w:t xml:space="preserve">7. Why we get biased parameter estimates with x</w:t>
      </w:r>
    </w:p>
    <w:bookmarkEnd w:id="59"/>
    <w:bookmarkStart w:id="60" w:name="final-conclusions"/>
    <w:p>
      <w:pPr>
        <w:pStyle w:val="Heading4"/>
      </w:pPr>
      <w:r>
        <w:t xml:space="preserve">8. Final Conclusions</w:t>
      </w:r>
    </w:p>
    <w:bookmarkEnd w:id="60"/>
    <w:bookmarkEnd w:id="61"/>
    <w:bookmarkEnd w:id="62"/>
    <w:bookmarkStart w:id="93" w:name="references"/>
    <w:p>
      <w:pPr>
        <w:pStyle w:val="Heading1"/>
      </w:pPr>
      <w:r>
        <w:t xml:space="preserve">References</w:t>
      </w:r>
    </w:p>
    <w:bookmarkStart w:id="92" w:name="refs"/>
    <w:bookmarkStart w:id="64"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3">
        <w:r>
          <w:rPr>
            <w:rStyle w:val="Hyperlink"/>
          </w:rPr>
          <w:t xml:space="preserve">https://doi.org/10.1016/0197-2456(89)90055-x</w:t>
        </w:r>
      </w:hyperlink>
      <w:r>
        <w:t xml:space="preserve">.</w:t>
      </w:r>
    </w:p>
    <w:bookmarkEnd w:id="64"/>
    <w:bookmarkStart w:id="66"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5">
        <w:r>
          <w:rPr>
            <w:rStyle w:val="Hyperlink"/>
          </w:rPr>
          <w:t xml:space="preserve">https://doi.org/10.1038/nrn3475</w:t>
        </w:r>
      </w:hyperlink>
      <w:r>
        <w:t xml:space="preserve">.</w:t>
      </w:r>
    </w:p>
    <w:bookmarkEnd w:id="66"/>
    <w:bookmarkStart w:id="68"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7">
        <w:r>
          <w:rPr>
            <w:rStyle w:val="Hyperlink"/>
          </w:rPr>
          <w:t xml:space="preserve">https://doi.org/10.21231/GNT1-HW21</w:t>
        </w:r>
      </w:hyperlink>
      <w:r>
        <w:t xml:space="preserve">.</w:t>
      </w:r>
    </w:p>
    <w:bookmarkEnd w:id="68"/>
    <w:bookmarkStart w:id="70"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9">
        <w:r>
          <w:rPr>
            <w:rStyle w:val="Hyperlink"/>
          </w:rPr>
          <w:t xml:space="preserve">https://doi.org/10.1037/h0045186</w:t>
        </w:r>
      </w:hyperlink>
      <w:r>
        <w:t xml:space="preserve">.</w:t>
      </w:r>
    </w:p>
    <w:bookmarkEnd w:id="70"/>
    <w:bookmarkStart w:id="71"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1"/>
    <w:bookmarkStart w:id="72"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2"/>
    <w:bookmarkStart w:id="74"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3">
        <w:r>
          <w:rPr>
            <w:rStyle w:val="Hyperlink"/>
          </w:rPr>
          <w:t xml:space="preserve">https://doi.org/10.1186/1471-2288-14-49</w:t>
        </w:r>
      </w:hyperlink>
      <w:r>
        <w:t xml:space="preserve">.</w:t>
      </w:r>
    </w:p>
    <w:bookmarkEnd w:id="74"/>
    <w:bookmarkStart w:id="7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5">
        <w:r>
          <w:rPr>
            <w:rStyle w:val="Hyperlink"/>
          </w:rPr>
          <w:t xml:space="preserve">https://doi.org/10.1016/j.annepidem.2005.09.007</w:t>
        </w:r>
      </w:hyperlink>
      <w:r>
        <w:t xml:space="preserve">.</w:t>
      </w:r>
    </w:p>
    <w:bookmarkEnd w:id="76"/>
    <w:bookmarkStart w:id="7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7">
        <w:r>
          <w:rPr>
            <w:rStyle w:val="Hyperlink"/>
          </w:rPr>
          <w:t xml:space="preserve">https://doi.org/10.1016/j.jclinepi.2003.09.014</w:t>
        </w:r>
      </w:hyperlink>
      <w:r>
        <w:t xml:space="preserve">.</w:t>
      </w:r>
    </w:p>
    <w:bookmarkEnd w:id="78"/>
    <w:bookmarkStart w:id="8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9">
        <w:r>
          <w:rPr>
            <w:rStyle w:val="Hyperlink"/>
          </w:rPr>
          <w:t xml:space="preserve">https://doi.org/10.1371/journal.pmed.0020124</w:t>
        </w:r>
      </w:hyperlink>
      <w:r>
        <w:t xml:space="preserve">.</w:t>
      </w:r>
    </w:p>
    <w:bookmarkEnd w:id="80"/>
    <w:bookmarkStart w:id="8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1">
        <w:r>
          <w:rPr>
            <w:rStyle w:val="Hyperlink"/>
          </w:rPr>
          <w:t xml:space="preserve">https://doi.org/10.1186/1745-6215-15-139</w:t>
        </w:r>
      </w:hyperlink>
      <w:r>
        <w:t xml:space="preserve">.</w:t>
      </w:r>
    </w:p>
    <w:bookmarkEnd w:id="82"/>
    <w:bookmarkStart w:id="84"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3">
        <w:r>
          <w:rPr>
            <w:rStyle w:val="Hyperlink"/>
          </w:rPr>
          <w:t xml:space="preserve">https://doi.org/10.1080/03610928508828942</w:t>
        </w:r>
      </w:hyperlink>
      <w:r>
        <w:t xml:space="preserve">.</w:t>
      </w:r>
    </w:p>
    <w:bookmarkEnd w:id="84"/>
    <w:bookmarkStart w:id="86"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5">
        <w:r>
          <w:rPr>
            <w:rStyle w:val="Hyperlink"/>
          </w:rPr>
          <w:t xml:space="preserve">https://doi.org/10.1177/0956797611417632</w:t>
        </w:r>
      </w:hyperlink>
      <w:r>
        <w:t xml:space="preserve">.</w:t>
      </w:r>
    </w:p>
    <w:bookmarkEnd w:id="86"/>
    <w:bookmarkStart w:id="88"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7">
        <w:r>
          <w:rPr>
            <w:rStyle w:val="Hyperlink"/>
          </w:rPr>
          <w:t xml:space="preserve">https://doi.org/10.1037/a0033242</w:t>
        </w:r>
      </w:hyperlink>
      <w:r>
        <w:t xml:space="preserve">.</w:t>
      </w:r>
    </w:p>
    <w:bookmarkEnd w:id="88"/>
    <w:bookmarkStart w:id="90"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9">
        <w:r>
          <w:rPr>
            <w:rStyle w:val="Hyperlink"/>
          </w:rPr>
          <w:t xml:space="preserve">https://doi.org/10.1016/j.jclinepi.2014.11.001</w:t>
        </w:r>
      </w:hyperlink>
      <w:r>
        <w:t xml:space="preserve">.</w:t>
      </w:r>
    </w:p>
    <w:bookmarkEnd w:id="90"/>
    <w:bookmarkStart w:id="91"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63" Target="https://doi.org/10.1016/0197-2456(89)90055-x" TargetMode="External" /><Relationship Type="http://schemas.openxmlformats.org/officeDocument/2006/relationships/hyperlink" Id="rId75" Target="https://doi.org/10.1016/j.annepidem.2005.09.007" TargetMode="External" /><Relationship Type="http://schemas.openxmlformats.org/officeDocument/2006/relationships/hyperlink" Id="rId77" Target="https://doi.org/10.1016/j.jclinepi.2003.09.014" TargetMode="External" /><Relationship Type="http://schemas.openxmlformats.org/officeDocument/2006/relationships/hyperlink" Id="rId89" Target="https://doi.org/10.1016/j.jclinepi.2014.11.001" TargetMode="External" /><Relationship Type="http://schemas.openxmlformats.org/officeDocument/2006/relationships/hyperlink" Id="rId87" Target="https://doi.org/10.1037/a0033242" TargetMode="External" /><Relationship Type="http://schemas.openxmlformats.org/officeDocument/2006/relationships/hyperlink" Id="rId69" Target="https://doi.org/10.1037/h0045186" TargetMode="External" /><Relationship Type="http://schemas.openxmlformats.org/officeDocument/2006/relationships/hyperlink" Id="rId65" Target="https://doi.org/10.1038/nrn3475" TargetMode="External" /><Relationship Type="http://schemas.openxmlformats.org/officeDocument/2006/relationships/hyperlink" Id="rId83" Target="https://doi.org/10.1080/03610928508828942" TargetMode="External" /><Relationship Type="http://schemas.openxmlformats.org/officeDocument/2006/relationships/hyperlink" Id="rId85" Target="https://doi.org/10.1177/0956797611417632" TargetMode="External" /><Relationship Type="http://schemas.openxmlformats.org/officeDocument/2006/relationships/hyperlink" Id="rId73" Target="https://doi.org/10.1186/1471-2288-14-49" TargetMode="External" /><Relationship Type="http://schemas.openxmlformats.org/officeDocument/2006/relationships/hyperlink" Id="rId81" Target="https://doi.org/10.1186/1745-6215-15-139" TargetMode="External" /><Relationship Type="http://schemas.openxmlformats.org/officeDocument/2006/relationships/hyperlink" Id="rId79" Target="https://doi.org/10.1371/journal.pmed.0020124" TargetMode="External" /><Relationship Type="http://schemas.openxmlformats.org/officeDocument/2006/relationships/hyperlink" Id="rId67"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16/0197-2456(89)90055-x" TargetMode="External" /><Relationship Type="http://schemas.openxmlformats.org/officeDocument/2006/relationships/hyperlink" Id="rId75" Target="https://doi.org/10.1016/j.annepidem.2005.09.007" TargetMode="External" /><Relationship Type="http://schemas.openxmlformats.org/officeDocument/2006/relationships/hyperlink" Id="rId77" Target="https://doi.org/10.1016/j.jclinepi.2003.09.014" TargetMode="External" /><Relationship Type="http://schemas.openxmlformats.org/officeDocument/2006/relationships/hyperlink" Id="rId89" Target="https://doi.org/10.1016/j.jclinepi.2014.11.001" TargetMode="External" /><Relationship Type="http://schemas.openxmlformats.org/officeDocument/2006/relationships/hyperlink" Id="rId87" Target="https://doi.org/10.1037/a0033242" TargetMode="External" /><Relationship Type="http://schemas.openxmlformats.org/officeDocument/2006/relationships/hyperlink" Id="rId69" Target="https://doi.org/10.1037/h0045186" TargetMode="External" /><Relationship Type="http://schemas.openxmlformats.org/officeDocument/2006/relationships/hyperlink" Id="rId65" Target="https://doi.org/10.1038/nrn3475" TargetMode="External" /><Relationship Type="http://schemas.openxmlformats.org/officeDocument/2006/relationships/hyperlink" Id="rId83" Target="https://doi.org/10.1080/03610928508828942" TargetMode="External" /><Relationship Type="http://schemas.openxmlformats.org/officeDocument/2006/relationships/hyperlink" Id="rId85" Target="https://doi.org/10.1177/0956797611417632" TargetMode="External" /><Relationship Type="http://schemas.openxmlformats.org/officeDocument/2006/relationships/hyperlink" Id="rId73" Target="https://doi.org/10.1186/1471-2288-14-49" TargetMode="External" /><Relationship Type="http://schemas.openxmlformats.org/officeDocument/2006/relationships/hyperlink" Id="rId81" Target="https://doi.org/10.1186/1745-6215-15-139" TargetMode="External" /><Relationship Type="http://schemas.openxmlformats.org/officeDocument/2006/relationships/hyperlink" Id="rId79" Target="https://doi.org/10.1371/journal.pmed.0020124" TargetMode="External" /><Relationship Type="http://schemas.openxmlformats.org/officeDocument/2006/relationships/hyperlink" Id="rId67"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Lauren Khoury; Kendra Wyant; Markus Brauer; John J. Curtin</dc:creator>
  <cp:keywords/>
  <dcterms:created xsi:type="dcterms:W3CDTF">2025-11-15T02:54:04Z</dcterms:created>
  <dcterms:modified xsi:type="dcterms:W3CDTF">2025-11-15T02:54:04Z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2025-11-14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