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2026-03-17</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(REFS.</w:t>
      </w:r>
      <w:r>
        <w:t xml:space="preserve"> </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Cs/>
          <w:i/>
        </w:rPr>
        <w:t xml:space="preserve">p</w:t>
      </w:r>
      <w:r>
        <w:t xml:space="preserve">-value for the test of their focal IV. Today, we recognize that this approach, known as</w:t>
      </w:r>
      <w:r>
        <w:t xml:space="preserve"> </w:t>
      </w:r>
      <w:r>
        <w:rPr>
          <w:iCs/>
          <w:i/>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Cs/>
          <w:i/>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Cs/>
          <w:i/>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w:t>
      </w:r>
      <w:r>
        <w:t xml:space="preserve">screening models</w:t>
      </w:r>
      <w:r>
        <w:t xml:space="preserve">”</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w:t>
      </w:r>
      <w:r>
        <w:t xml:space="preserve">all covariates</w:t>
      </w:r>
      <w:r>
        <w:t xml:space="preserve">”</w:t>
      </w:r>
      <w:r>
        <w:t xml:space="preserve"> </w:t>
      </w:r>
      <w:r>
        <w:t xml:space="preserve">and</w:t>
      </w:r>
      <w:r>
        <w:t xml:space="preserve"> </w:t>
      </w:r>
      <w:r>
        <w:t xml:space="preserve">“</w:t>
      </w:r>
      <w:r>
        <w:t xml:space="preserve">no covariates</w:t>
      </w:r>
      <w:r>
        <w:t xml:space="preserve">”</w:t>
      </w:r>
      <w:r>
        <w:t xml:space="preserve"> </w:t>
      </w:r>
      <w:r>
        <w:t xml:space="preserve">approaches as well as the</w:t>
      </w:r>
      <w:r>
        <w:t xml:space="preserve"> </w:t>
      </w:r>
      <w:r>
        <w:rPr>
          <w:iCs/>
          <w:i/>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Cs/>
          <w:i/>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Cs/>
          <w:i/>
        </w:rPr>
        <w:t xml:space="preserve">p</w:t>
      </w:r>
      <w:r>
        <w:t xml:space="preserve">-value for that covariate was less than 0.05 in the screening model that evaluated it. The</w:t>
      </w:r>
      <w:r>
        <w:t xml:space="preserve"> </w:t>
      </w:r>
      <w:r>
        <w:rPr>
          <w:iCs/>
          <w:i/>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Cs/>
          <w:i/>
        </w:rPr>
        <w:t xml:space="preserve">p</w:t>
      </w:r>
      <w:r>
        <w:t xml:space="preserve">-hacking) and two a priori selection approaches that did not use the data to screen and select covariates. The</w:t>
      </w:r>
      <w:r>
        <w:t xml:space="preserve"> </w:t>
      </w:r>
      <w:r>
        <w:rPr>
          <w:iCs/>
          <w:i/>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Cs/>
          <w:i/>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pct" w:w="5000"/>
              <w:tblLook w:firstRow="1" w:lastRow="1" w:firstColumn="0" w:lastColumn="0" w:noHBand="0" w:noVBand="0" w:val="0020"/>
              <w:jc w:val="start"/>
              <w:tblLayout w:type="fixed"/>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Cs/>
          <w:b/>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Cs/>
          <w:b/>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Cs/>
          <w:b/>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Cs/>
          <w:b/>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2"/>
        </w:numPr>
        <w:pStyle w:val="Compact"/>
      </w:pPr>
      <w:r>
        <w:rPr>
          <w:bCs/>
          <w:b/>
        </w:rPr>
        <w:t xml:space="preserve">The magnitude of the correlation between the covariates and</w:t>
      </w:r>
      <w:r>
        <w:rPr>
          <w:bCs/>
          <w:b/>
        </w:rPr>
        <w:t xml:space="preserve"> </w:t>
      </w:r>
      <m:oMath>
        <m:r>
          <m:t>Y</m:t>
        </m:r>
      </m:oMath>
      <w:r>
        <w:rPr>
          <w:bCs/>
          <w:b/>
        </w:rPr>
        <w:t xml:space="preserve"> </w:t>
      </w:r>
      <w:r>
        <w:rPr>
          <w:bCs/>
          <w:b/>
        </w:rPr>
        <w:t xml:space="preserve">(</w:t>
      </w:r>
      <w:r>
        <w:rPr>
          <w:bCs/>
          <w:b/>
        </w:rPr>
        <w:t xml:space="preserve">$r_{cov\-Y}$</w:t>
      </w:r>
      <w:r>
        <w:rPr>
          <w:bCs/>
          <w:b/>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ook w:firstRow="0" w:lastRow="0" w:firstColumn="0" w:lastColumn="0" w:noHBand="0" w:noVBand="0" w:val="0000"/>
        <w:jc w:val="start"/>
        <w:tblLayout w:type="fixed"/>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endChr m:val=")"/>
            <m:sep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Cs/>
          <w:i/>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Cs/>
          <w:i/>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ook w:firstRow="0" w:lastRow="0" w:firstColumn="0" w:lastColumn="0" w:noHBand="0" w:noVBand="0" w:val="0000"/>
        <w:jc w:val="start"/>
        <w:tblLayout w:type="fixed"/>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Cs/>
          <w:i/>
        </w:rPr>
        <w:t xml:space="preserve">p</w:t>
      </w:r>
      <w:r>
        <w:t xml:space="preserve">-hacking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w:t>
      </w:r>
      <w:r>
        <w:t xml:space="preserve"> </w:t>
      </w:r>
      <w:r>
        <w:rPr>
          <w:iCs/>
          <w:i/>
        </w:rPr>
        <w:t xml:space="preserve">p</w:t>
      </w:r>
      <w:r>
        <w:t xml:space="preserve">-hacking reached 0.462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Cs/>
          <w:i/>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 N = 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Cs/>
          <w:i/>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ook w:firstRow="0" w:lastRow="0" w:firstColumn="0" w:lastColumn="0" w:noHBand="0" w:noVBand="0" w:val="0000"/>
        <w:jc w:val="start"/>
        <w:tblLayout w:type="fixed"/>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all-covariates approach tended to under-perform (i.e., higher Type II error rates) relative to the candidate data-driven approaches when the sample size was low, the number of available covariates was high, or the percentage of good covariates 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 N, high number of covariates, low percentage of good covariates).</w:t>
      </w:r>
    </w:p>
    <w:tbl>
      <w:tblPr>
        <w:tblStyle w:val="Table"/>
        <w:tblW w:type="pct" w:w="5000"/>
        <w:tblLook w:firstRow="0" w:lastRow="0" w:firstColumn="0" w:lastColumn="0" w:noHBand="0" w:noVBand="0" w:val="0000"/>
        <w:jc w:val="start"/>
        <w:tblLayout w:type="fixed"/>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mean of the parameter estimate’s sampling distribution equals the value of the population parameter) and their sampling distributions follow the t-distribution. To evaluate the impact of the screening approaches on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4"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Cs/>
          <w:i/>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Cs/>
          <w:i/>
        </w:rPr>
        <w:t xml:space="preserve">p</w:t>
      </w:r>
      <w:r>
        <w:t xml:space="preserve">-hacking yielded substantial optimistic (over-estimation) bias in the parameter estimates as seen in the both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 $Y (given that</w:t>
      </w:r>
      <w:r>
        <w:t xml:space="preserve"> </w:t>
      </w:r>
      <m:oMath>
        <m:r>
          <m:rPr>
            <m:sty m:val="p"/>
          </m:rPr>
          <m:t>/</m:t>
        </m:r>
        <m:r>
          <m:t>b</m:t>
        </m:r>
        <m:r>
          <m:t>e</m:t>
        </m:r>
        <m:r>
          <m:t>t</m:t>
        </m:r>
        <m:sSub>
          <m:e>
            <m:r>
              <m:t>a</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pessimistically (under-estimation) bias in the estimate of</w:t>
      </w:r>
      <w:r>
        <w:t xml:space="preserve"> </w:t>
      </w:r>
      <m:oMath>
        <m:sSub>
          <m:e>
            <m:r>
              <m:t>β</m:t>
            </m:r>
          </m:e>
          <m:sub>
            <m:r>
              <m:t>X</m:t>
            </m:r>
          </m:sub>
        </m:sSub>
      </m:oMath>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Cs/>
          <w:i/>
        </w:rPr>
        <w:t xml:space="preserve">p</w:t>
      </w:r>
      <w:r>
        <w:t xml:space="preserve">-hacking can severely inflate Type I error rate. Simmons et al. observed a mean Type I error rate of 0.117 for the test of an IV when selecting between two potential covariates (</w:t>
      </w:r>
      <w:r>
        <w:rPr>
          <w:iCs/>
          <w:i/>
        </w:rPr>
        <w:t xml:space="preserve">N</w:t>
      </w:r>
      <w:r>
        <w:t xml:space="preserve">=40) using a</w:t>
      </w:r>
      <w:r>
        <w:t xml:space="preserve"> </w:t>
      </w:r>
      <w:r>
        <w:rPr>
          <w:iCs/>
          <w:i/>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Cs/>
          <w:i/>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Cs/>
          <w:i/>
        </w:rPr>
        <w:t xml:space="preserve">p</w:t>
      </w:r>
      <w:r>
        <w:t xml:space="preserve">- hacking approach increases to 0.191. And if the size of the pool is increased further (i.e., 16-20 covariates), the mean Type I error rate is increased nearly 3-fold (0.295) from what was reported by Simmons et al., even when aggregated across contexts that include sample sizes up to N=400.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has a mean Type I error rate of 0.05 and yields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is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 N,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w:r>
        <w:t xml:space="preserve">$r_{cov\-Y}$</w:t>
      </w:r>
      <w:r>
        <w:t xml:space="preserve">=0.5,</w:t>
      </w:r>
      <w:r>
        <w:t xml:space="preserve"> </w:t>
      </w:r>
      <w:r>
        <w:t xml:space="preserve">$\%_cov}$</w:t>
      </w:r>
      <w:r>
        <w:t xml:space="preserve">=0.25 and</w:t>
      </w:r>
      <w:r>
        <w:t xml:space="preserve"> </w:t>
      </w:r>
      <m:oMath>
        <m:sSub>
          <m:e>
            <m:r>
              <m:t>β</m:t>
            </m:r>
          </m:e>
          <m:sub>
            <m:r>
              <m:t>X</m:t>
            </m:r>
          </m:sub>
        </m:sSub>
      </m:oMath>
      <w:r>
        <w:t xml:space="preserve">=0.5), the Type II error rate for the LASSO with</w:t>
      </w:r>
      <w:r>
        <w:t xml:space="preserve"> </w:t>
      </w:r>
      <m:oMath>
        <m:r>
          <m:t>X</m:t>
        </m:r>
      </m:oMath>
      <w:r>
        <w:t xml:space="preserve"> </w:t>
      </w:r>
      <w:r>
        <w:t xml:space="preserve">approach is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provides an unbiased estimate of</w:t>
      </w:r>
      <w:r>
        <w:t xml:space="preserve"> </w:t>
      </w:r>
      <m:oMath>
        <m:sSub>
          <m:e>
            <m:r>
              <m:t>β</m:t>
            </m:r>
          </m:e>
          <m:sub>
            <m:r>
              <m:t>X</m:t>
            </m:r>
          </m:sub>
        </m:sSub>
      </m:oMath>
      <w:r>
        <w:t xml:space="preserve">. However, it has a slightly inflated Type I error rate (0.057) and the implementation of LASSO may be less familiar to some researchers (but see example code on OSF to implement it ). Screening with separate covariate linear models with</w:t>
      </w:r>
      <w:r>
        <w:t xml:space="preserve"> </w:t>
      </w:r>
      <m:oMath>
        <m:r>
          <m:t>X</m:t>
        </m:r>
      </m:oMath>
      <w:r>
        <w:t xml:space="preserve"> </w:t>
      </w:r>
      <w:r>
        <w:t xml:space="preserve">may feel easier or more familiar to some researchers, and also yields an unbiased estimate of</w:t>
      </w:r>
      <w:r>
        <w:t xml:space="preserve"> </w:t>
      </w:r>
      <m:oMath>
        <m:sSub>
          <m:e>
            <m:r>
              <m:t>β</m:t>
            </m:r>
          </m:e>
          <m:sub>
            <m:r>
              <m:t>X</m:t>
            </m:r>
          </m:sub>
        </m:sSub>
      </m:oMath>
      <w:r>
        <w:t xml:space="preserve"> </w:t>
      </w:r>
      <w:r>
        <w:t xml:space="preserve">with slightly worse Type II (0.341) but better Type I (0.052) than LASSO with</w:t>
      </w:r>
      <w:r>
        <w:t xml:space="preserve"> </w:t>
      </w:r>
      <m:oMath>
        <m:r>
          <m:t>X</m:t>
        </m:r>
      </m:oMath>
      <w:r>
        <w:t xml:space="preserve">. Finally, if perfect control of Type I error rate at the nominal alpha is desired, screening with separate linear models without</w:t>
      </w:r>
      <w:r>
        <w:t xml:space="preserve"> </w:t>
      </w:r>
      <m:oMath>
        <m:r>
          <m:t>X</m:t>
        </m:r>
      </m:oMath>
      <w:r>
        <w:t xml:space="preserve"> </w:t>
      </w:r>
      <w:r>
        <w:t xml:space="preserve">may be preferred. However, this approach introduces modest pessimistic bias into the estimate of</w:t>
      </w:r>
      <w:r>
        <w:t xml:space="preserve"> </w:t>
      </w:r>
      <m:oMath>
        <m:sSub>
          <m:e>
            <m:r>
              <m:t>β</m:t>
            </m:r>
          </m:e>
          <m:sub>
            <m:r>
              <m:t>X</m:t>
            </m:r>
          </m:sub>
        </m:sSub>
      </m:oMath>
      <w:r>
        <w:t xml:space="preserve">, and further increase in mean Type II error rate (0.347) than the previous two approach.</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 (</w:t>
      </w:r>
      <w:r>
        <w:t xml:space="preserve"> </w:t>
      </w:r>
      <w:r>
        <w:t xml:space="preserve">INSERT MILLER AND CHAPMAN REF).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Cs/>
          <w:i/>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Cs/>
          <w:i/>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Cs/>
          <w:i/>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Cs/>
          <w:i/>
        </w:rPr>
        <w:t xml:space="preserve">Statistical</w:t>
      </w:r>
      <w:r>
        <w:rPr>
          <w:iCs/>
          <w:i/>
        </w:rPr>
        <w:t xml:space="preserve"> </w:t>
      </w:r>
      <w:r>
        <w:rPr>
          <w:iCs/>
          <w:i/>
        </w:rPr>
        <w:t xml:space="preserve">Power Analysis</w:t>
      </w:r>
      <w:r>
        <w:rPr>
          <w:iCs/>
          <w:i/>
        </w:rPr>
        <w:t xml:space="preserve"> </w:t>
      </w:r>
      <w:r>
        <w:rPr>
          <w:iCs/>
          <w:i/>
        </w:rPr>
        <w:t xml:space="preserve">for the</w:t>
      </w:r>
      <w:r>
        <w:rPr>
          <w:iCs/>
          <w:i/>
        </w:rPr>
        <w:t xml:space="preserve"> </w:t>
      </w:r>
      <w:r>
        <w:rPr>
          <w:iCs/>
          <w:i/>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Cs/>
          <w:i/>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Cs/>
          <w:i/>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Cs/>
          <w:i/>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Cs/>
          <w:i/>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Cs/>
          <w:i/>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Cs/>
          <w:i/>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Cs/>
          <w:i/>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Cs/>
          <w:i/>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Cs/>
          <w:i/>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Cs/>
          <w:i/>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Cs/>
          <w:i/>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Cs/>
          <w:i/>
        </w:rPr>
        <w:t xml:space="preserve">Journal of Clinical Epidemiology</w:t>
      </w:r>
      <w:r>
        <w:t xml:space="preserve"> </w:t>
      </w:r>
      <w:r>
        <w:t xml:space="preserve">59: 920–25.</w:t>
      </w:r>
    </w:p>
    <w:bookmarkEnd w:id="96"/>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2026-03-17T19:02:10Z</dcterms:created>
  <dcterms:modified xsi:type="dcterms:W3CDTF">2026-03-17T19:02:10Z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