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56.png" ContentType="image/png"/>
  <Override PartName="/word/media/rId4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2026-03-17</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Shapiro, and Curtin 2013; Hefner et al. 2013)</w:t>
      </w:r>
      <w:r>
        <w:t xml:space="preserve">.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w:t>
      </w:r>
      <w:r>
        <w:t xml:space="preserve"> </w:t>
      </w:r>
      <w:r>
        <w:rPr>
          <w:i/>
          <w:iCs/>
        </w:rPr>
        <w:t xml:space="preserve">p</w:t>
      </w:r>
      <w:r>
        <w:t xml:space="preserve">-value for the test of their focal IV.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candidate data-driven approaches to select an optimal set of covariates when testing the effect of a focal manipulated IV. For each approach, we use covariate</w:t>
      </w:r>
      <w:r>
        <w:t xml:space="preserve"> </w:t>
      </w:r>
      <w:r>
        <w:t xml:space="preserve">“screening models”</w:t>
      </w:r>
      <w:r>
        <w:t xml:space="preserve"> </w:t>
      </w:r>
      <w:r>
        <w:t xml:space="preserve">to identify which covariates display significant relationships with the outcome variable and will be included in the subsequent primary analysis that tests the focal IV. Across these screening models, we consider three modeling approaches (i.e., linear models that screen each covariate separately in its own model, linear models that screen all covariates simultaneously in a single model, and LASSO</w:t>
      </w:r>
      <w:r>
        <w:t xml:space="preserve"> </w:t>
      </w:r>
      <w:r>
        <w:t xml:space="preserve">(Tibshirani 1996)</w:t>
      </w:r>
      <w:r>
        <w:t xml:space="preserve"> </w:t>
      </w:r>
      <w:r>
        <w:t xml:space="preserve">models that screen all covariates simultaneously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w:t>
      </w:r>
      <w:r>
        <w:t xml:space="preserve"> </w:t>
      </w:r>
      <w:r>
        <w:rPr>
          <w:i/>
          <w:iCs/>
        </w:rPr>
        <w:t xml:space="preserve">p</w:t>
      </w:r>
      <w:r>
        <w:t xml:space="preserve">-hacking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w:t>
      </w:r>
      <w:r>
        <w:rPr>
          <w:i/>
          <w:iCs/>
        </w:rPr>
        <w:t xml:space="preserve">p</w:t>
      </w:r>
      <w:r>
        <w:t xml:space="preserve">-hacking,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w:t>
      </w:r>
      <w:r>
        <w:t xml:space="preserve"> </w:t>
      </w:r>
      <w:r>
        <w:rPr>
          <w:i/>
          <w:iCs/>
        </w:rPr>
        <w:t xml:space="preserve">p</w:t>
      </w:r>
      <w:r>
        <w:t xml:space="preserve">-value for that covariate was less than 0.05 in the screening model that evaluated it. The</w:t>
      </w:r>
      <w:r>
        <w:t xml:space="preserve"> </w:t>
      </w:r>
      <w:r>
        <w:rPr>
          <w:i/>
          <w:iCs/>
        </w:rPr>
        <w:t xml:space="preserve">p</w:t>
      </w:r>
      <w:r>
        <w:t xml:space="preserve">-value for</w:t>
      </w:r>
      <w:r>
        <w:t xml:space="preserve"> </w:t>
      </w:r>
      <m:oMath>
        <m:r>
          <m:t>X</m:t>
        </m:r>
      </m:oMath>
      <w:r>
        <w:t xml:space="preserve"> </w:t>
      </w:r>
      <w:r>
        <w:t xml:space="preserve">was not used and</w:t>
      </w:r>
      <w:r>
        <w:t xml:space="preserve"> </w:t>
      </w:r>
      <m:oMath>
        <m:r>
          <m:t>X</m:t>
        </m:r>
      </m:oMath>
      <w:r>
        <w:t xml:space="preserve"> </w:t>
      </w:r>
      <w:r>
        <w:t xml:space="preserve">was only included to parse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(lambda)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w:t>
      </w:r>
      <w:r>
        <w:rPr>
          <w:i/>
          <w:iCs/>
        </w:rPr>
        <w:t xml:space="preserve">p</w:t>
      </w:r>
      <w:r>
        <w:t xml:space="preserve">-hacking) and two a priori selection approaches that did not use the data to screen and select covariates. The</w:t>
      </w:r>
      <w:r>
        <w:t xml:space="preserve"> </w:t>
      </w:r>
      <w:r>
        <w:rPr>
          <w:i/>
          <w:iCs/>
        </w:rPr>
        <w:t xml:space="preserve">p</w:t>
      </w:r>
      <w:r>
        <w:t xml:space="preserve">-hacking approach used separate screening models for each covariate and each of these models also included</w:t>
      </w:r>
      <w:r>
        <w:t xml:space="preserve"> </w:t>
      </w:r>
      <m:oMath>
        <m:r>
          <m:t>X</m:t>
        </m:r>
      </m:oMath>
      <w:r>
        <w:t xml:space="preserve">. Covariates were selected to be included in the primary analysis if the</w:t>
      </w:r>
      <w:r>
        <w:t xml:space="preserve"> </w:t>
      </w:r>
      <w:r>
        <w:rPr>
          <w:i/>
          <w:iCs/>
        </w:rPr>
        <w:t xml:space="preserve">p</w:t>
      </w:r>
      <w:r>
        <w:t xml:space="preserve">-value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We also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42"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5" w:name="fig-bar-1"/>
          <w:p>
            <w:pPr>
              <w:pStyle w:val="Compact"/>
              <w:jc w:val="center"/>
            </w:pPr>
            <w:r>
              <w:drawing>
                <wp:inline>
                  <wp:extent cx="5334000" cy="3048000"/>
                  <wp:effectExtent b="0" l="0" r="0" t="0"/>
                  <wp:docPr descr="" title="" id="33" name="Picture"/>
                  <a:graphic>
                    <a:graphicData uri="http://schemas.openxmlformats.org/drawingml/2006/picture">
                      <pic:pic>
                        <pic:nvPicPr>
                          <pic:cNvPr descr="index_files/figure-docx/notebooks-mak_figures-fig-bar-1-output-1.png" id="34" name="Picture"/>
                          <pic:cNvPicPr>
                            <a:picLocks noChangeArrowheads="1" noChangeAspect="1"/>
                          </pic:cNvPicPr>
                        </pic:nvPicPr>
                        <pic:blipFill>
                          <a:blip r:embed="rId3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0.462 in the worst case context (</w:t>
      </w:r>
      <m:oMath>
        <m:r>
          <m:t>N</m:t>
        </m:r>
      </m:oMath>
      <w:r>
        <w:t xml:space="preserve"> </w:t>
      </w:r>
      <w:r>
        <w:t xml:space="preserve">=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Shiny dashboard for other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a priori approaches and the data-driven approaches that did not include</w:t>
      </w:r>
      <w:r>
        <w:t xml:space="preserve"> </w:t>
      </w:r>
      <m:oMath>
        <m:r>
          <m:t>X</m:t>
        </m:r>
      </m:oMath>
      <w:r>
        <w:t xml:space="preserve">. Among the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0" w:name="fig-type1-panel"/>
          <w:p>
            <w:pPr>
              <w:pStyle w:val="Compact"/>
              <w:jc w:val="center"/>
            </w:pPr>
            <w:r>
              <w:drawing>
                <wp:inline>
                  <wp:extent cx="5334000" cy="4000499"/>
                  <wp:effectExtent b="0" l="0" r="0" t="0"/>
                  <wp:docPr descr="" title="" id="38" name="Picture"/>
                  <a:graphic>
                    <a:graphicData uri="http://schemas.openxmlformats.org/drawingml/2006/picture">
                      <pic:pic>
                        <pic:nvPicPr>
                          <pic:cNvPr descr="index_files/figure-docx/notebooks-mak_figures-fig-type1-panel-output-1.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correlation selection methods that control for X are depicted as dashed lines.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Figures for Main Manuscript</w:t>
        </w:r>
      </w:hyperlink>
    </w:p>
    <w:bookmarkEnd w:id="42"/>
    <w:bookmarkStart w:id="53"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mean Type II error rate across all research contexts for each approach. The a priori no covariates approach displayed the highest average Type II error (0.449), which reinforces the value of using covariates to increase statistical power to detect true effects. Among the approaches that used covariates, the candidate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6" w:name="fig-bar-2"/>
          <w:p>
            <w:pPr>
              <w:pStyle w:val="Compact"/>
              <w:jc w:val="center"/>
            </w:pPr>
            <w:r>
              <w:drawing>
                <wp:inline>
                  <wp:extent cx="5334000" cy="3048000"/>
                  <wp:effectExtent b="0" l="0" r="0" t="0"/>
                  <wp:docPr descr="" title="" id="44" name="Picture"/>
                  <a:graphic>
                    <a:graphicData uri="http://schemas.openxmlformats.org/drawingml/2006/picture">
                      <pic:pic>
                        <pic:nvPicPr>
                          <pic:cNvPr descr="index_files/figure-docx/notebooks-mak_figures-fig-bar-2-output-1.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4</w:t>
        </w:r>
      </w:hyperlink>
      <w:r>
        <w:t xml:space="preserve">). First, it is clear that the no covariates approach was always associated with the highest Type II error rates across all values of all dimensions of the research contexts. Second, the a priori all covariates approach tended to under-perform (i.e., higher Type II error rates) relative to the candidate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1" w:name="fig-panel-2"/>
          <w:p>
            <w:pPr>
              <w:pStyle w:val="Compact"/>
              <w:jc w:val="center"/>
            </w:pPr>
            <w:r>
              <w:drawing>
                <wp:inline>
                  <wp:extent cx="5334000" cy="6400800"/>
                  <wp:effectExtent b="0" l="0" r="0" t="0"/>
                  <wp:docPr descr="" title="" id="49" name="Picture"/>
                  <a:graphic>
                    <a:graphicData uri="http://schemas.openxmlformats.org/drawingml/2006/picture">
                      <pic:pic>
                        <pic:nvPicPr>
                          <pic:cNvPr descr="index_files/figure-docx/notebooks-mak_figures-fig-panel-2-output-1.png" id="50" name="Picture"/>
                          <pic:cNvPicPr>
                            <a:picLocks noChangeArrowheads="1" noChangeAspect="1"/>
                          </pic:cNvPicPr>
                        </pic:nvPicPr>
                        <pic:blipFill>
                          <a:blip r:embed="rId4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percentage of good covariates covariates (i.e., covariates with non-zero correlations with Y), and Y-covariate correlation strength), and Y-covariate correlation strength, and population parameter for X). Methods are displayed separately by color. Data-driven correlation selection methods that control for X are depicted as dashed lines.</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 for Main Manuscript</w:t>
        </w:r>
      </w:hyperlink>
    </w:p>
    <w:bookmarkEnd w:id="53"/>
    <w:bookmarkStart w:id="61"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screening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4"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left"/>
                    <w:jc w:val="center"/>
                  </w:pPr>
                  <w:r>
                    <w:t xml:space="preserve">0.262</w:t>
                  </w:r>
                </w:p>
              </w:tc>
              <w:tc>
                <w:tcPr/>
                <w:p>
                  <w:pPr>
                    <w:pStyle w:val="Compact"/>
                    <w:jc w:val="lef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bl>
          <w:bookmarkEnd w:id="54"/>
          <w:p/>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distribution-bx"/>
          <w:p>
            <w:pPr>
              <w:pStyle w:val="Compact"/>
              <w:jc w:val="center"/>
            </w:pPr>
            <w:r>
              <w:drawing>
                <wp:inline>
                  <wp:extent cx="5334000" cy="6096000"/>
                  <wp:effectExtent b="0" l="0" r="0" t="0"/>
                  <wp:docPr descr="" title="" id="57" name="Picture"/>
                  <a:graphic>
                    <a:graphicData uri="http://schemas.openxmlformats.org/drawingml/2006/picture">
                      <pic:pic>
                        <pic:nvPicPr>
                          <pic:cNvPr descr="index_files/figure-docx/notebooks-mak_figures-fig-distribution-bx-output-1.png" id="58" name="Picture"/>
                          <pic:cNvPicPr>
                            <a:picLocks noChangeArrowheads="1" noChangeAspect="1"/>
                          </pic:cNvPicPr>
                        </pic:nvPicPr>
                        <pic:blipFill>
                          <a:blip r:embed="rId56"/>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yielded unbiased estimates. However, the shape of the sampling distribution for the</w:t>
      </w:r>
      <w:r>
        <w:t xml:space="preserve"> </w:t>
      </w:r>
      <w:r>
        <w:rPr>
          <w:i/>
          <w:iCs/>
        </w:rPr>
        <w:t xml:space="preserve">p</w:t>
      </w:r>
      <w:r>
        <w:t xml:space="preserve">-hacking approach was clearly distorted (bi-modal). This distortion results from this approach selecting covariates that magnify the effect of</w:t>
      </w:r>
      <w:r>
        <w:t xml:space="preserve"> </w:t>
      </w:r>
      <m:oMath>
        <m:r>
          <m:t>X</m:t>
        </m:r>
      </m:oMath>
      <w:r>
        <w:t xml:space="preserve"> </w:t>
      </w:r>
      <w:r>
        <w:t xml:space="preserve">in any specific sample. When sampling error produces a negative</w:t>
      </w:r>
      <w:r>
        <w:t xml:space="preserve"> </w:t>
      </w:r>
      <m:oMath>
        <m:sSub>
          <m:e>
            <m:r>
              <m:t>b</m:t>
            </m:r>
          </m:e>
          <m:sub>
            <m:r>
              <m:t>X</m:t>
            </m:r>
          </m:sub>
        </m:sSub>
      </m:oMath>
      <w:r>
        <w:t xml:space="preserve"> </w:t>
      </w:r>
      <w:r>
        <w:t xml:space="preserve">in a sample, covariates that make that parameter estimate more negative will be selected, and when sampling error produces a positive</w:t>
      </w:r>
      <w:r>
        <w:t xml:space="preserve"> </w:t>
      </w:r>
      <m:oMath>
        <m:sSub>
          <m:e>
            <m:r>
              <m:t>b</m:t>
            </m:r>
          </m:e>
          <m:sub>
            <m:r>
              <m:t>X</m:t>
            </m:r>
          </m:sub>
        </m:sSub>
      </m:oMath>
      <w:r>
        <w:t xml:space="preserve"> </w:t>
      </w:r>
      <w:r>
        <w:t xml:space="preserve">in a sample, covariates that make that parameter estimate more positive will be selected. This is what produces the intolerably high Type I error rates associated with that approach.</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yielded substantial optimistic (over-estimation) bias in the parameter estimates as seen in both the mean</w:t>
      </w:r>
      <w:r>
        <w:t xml:space="preserve"> </w:t>
      </w:r>
      <m:oMath>
        <m:sSub>
          <m:e>
            <m:r>
              <m:t>b</m:t>
            </m:r>
          </m:e>
          <m:sub>
            <m:r>
              <m:t>X</m:t>
            </m:r>
          </m:sub>
        </m:sSub>
      </m:oMath>
      <w:r>
        <w:t xml:space="preserve"> </w:t>
      </w:r>
      <w:r>
        <w:t xml:space="preserve">and the rightward shift of the sampling distribution. In this instance, the sample</w:t>
      </w:r>
      <w:r>
        <w:t xml:space="preserve"> </w:t>
      </w:r>
      <m:oMath>
        <m:sSub>
          <m:e>
            <m:r>
              <m:t>b</m:t>
            </m:r>
          </m:e>
          <m:sub>
            <m:r>
              <m:t>X</m:t>
            </m:r>
          </m:sub>
        </m:sSub>
      </m:oMath>
      <w:r>
        <w:t xml:space="preserve"> </w:t>
      </w:r>
      <w:r>
        <w:t xml:space="preserve">was typically positive to start (given the positive population parameter) and covariates were selected only if they made that parameter estimate even more positive.</w:t>
      </w:r>
    </w:p>
    <w:p>
      <w:pPr>
        <w:pStyle w:val="BodyText"/>
      </w:pPr>
      <w:r>
        <w:t xml:space="preserve">Of course, the a priori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candidate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can severely inflate Type I error rate. Simmons et al. observed a mean Type I error rate of 0.117 for the test of an IV when selecting between two potential covariates (</w:t>
      </w:r>
      <m:oMath>
        <m:r>
          <m:t>N</m:t>
        </m:r>
      </m:oMath>
      <w:r>
        <w:t xml:space="preserve">=40) using a</w:t>
      </w:r>
      <w:r>
        <w:t xml:space="preserve"> </w:t>
      </w:r>
      <w:r>
        <w:rPr>
          <w:i/>
          <w:iCs/>
        </w:rPr>
        <w:t xml:space="preserve">p</w:t>
      </w:r>
      <w:r>
        <w:t xml:space="preserve">-hacking approach. Across our closest research contexts that included 4 covariates with N=50, we observed a comparable mean Type I error rate (0.103). However, our simulations clarify that this estimate may meaningfully underestimate the potential magnitude of the</w:t>
      </w:r>
      <w:r>
        <w:t xml:space="preserve"> </w:t>
      </w:r>
      <w:r>
        <w:rPr>
          <w:i/>
          <w:iCs/>
        </w:rPr>
        <w:t xml:space="preserve">p</w:t>
      </w:r>
      <w:r>
        <w:t xml:space="preserve">-hacking problem in common research contexts. For example, researchers often can choose from among many more available covariates. With just a modest increase in the pool of available covariates (i.e., 8-12 covariates), our simulations show that mean Type I error rate for the</w:t>
      </w:r>
      <w:r>
        <w:t xml:space="preserve"> </w:t>
      </w:r>
      <w:r>
        <w:rPr>
          <w:i/>
          <w:iCs/>
        </w:rPr>
        <w:t xml:space="preserve">p</w:t>
      </w:r>
      <w:r>
        <w:t xml:space="preserve">-hacking approach increased to 0.191. And if the size of the pool is increased further (i.e., 16-20 covariates), the mean Type I error rate is increased nearly 3-fold (0.295) from what was reported by Simmons et al., even when aggregated across contexts that include sample sizes up to</w:t>
      </w:r>
      <w:r>
        <w:t xml:space="preserve"> </w:t>
      </w:r>
      <m:oMath>
        <m:r>
          <m:t>N</m:t>
        </m:r>
      </m:oMath>
      <w:r>
        <w:t xml:space="preserve">=400.</w:t>
      </w:r>
    </w:p>
    <w:p>
      <w:pPr>
        <w:pStyle w:val="BodyText"/>
      </w:pPr>
      <w:r>
        <w:t xml:space="preserve">When no covariates were used (i.e., a priori no covariates approach),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candidate data-driven covariate selection approaches are not difficult to implement (see examples of R code for each method shared on OSF</w:t>
      </w:r>
      <w:r>
        <w:t xml:space="preserve"> </w:t>
      </w:r>
      <w:r>
        <w:t xml:space="preserve">) and it may never be wise to give up any improvements in power,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w:r>
        <w:t xml:space="preserve">$\%_cov}$</w:t>
      </w:r>
      <w:r>
        <w:t xml:space="preserve">=0.25 and</w:t>
      </w:r>
      <w:r>
        <w:t xml:space="preserve"> </w:t>
      </w:r>
      <m:oMath>
        <m:sSub>
          <m:e>
            <m:r>
              <m:t>β</m:t>
            </m:r>
          </m:e>
          <m:sub>
            <m:r>
              <m:t>X</m:t>
            </m:r>
          </m:sub>
        </m:sSub>
      </m:oMath>
      <w:r>
        <w:t xml:space="preserve">=0.5), the Type II error rate for the simultaneous LASSO with</w:t>
      </w:r>
      <w:r>
        <w:t xml:space="preserve"> </w:t>
      </w:r>
      <m:oMath>
        <m:r>
          <m:t>X</m:t>
        </m:r>
      </m:oMath>
      <w:r>
        <w:t xml:space="preserve"> </w:t>
      </w:r>
      <w:r>
        <w:t xml:space="preserve">approach was 0.204 lower than the all covariates approach!</w:t>
      </w:r>
    </w:p>
    <w:p>
      <w:pPr>
        <w:pStyle w:val="BodyText"/>
      </w:pPr>
      <w:r>
        <w:t xml:space="preserve">There are several issues to consider when comparing among the several top candidate data-driven approaches. The approach with the lowest mean Type II error rate (0.337) was the simultaneous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covariate linear models with</w:t>
      </w:r>
      <w:r>
        <w:t xml:space="preserve"> </w:t>
      </w:r>
      <m:oMath>
        <m:r>
          <m:t>X</m:t>
        </m:r>
      </m:oMath>
      <w:r>
        <w:t xml:space="preserve"> </w:t>
      </w:r>
      <w:r>
        <w:t xml:space="preserve">may feel easier, or more familiar to some researchers. This method yielded an unbiased estimate of</w:t>
      </w:r>
      <w:r>
        <w:t xml:space="preserve"> </w:t>
      </w:r>
      <m:oMath>
        <m:sSub>
          <m:e>
            <m:r>
              <m:t>β</m:t>
            </m:r>
          </m:e>
          <m:sub>
            <m:r>
              <m:t>X</m:t>
            </m:r>
          </m:sub>
        </m:sSub>
      </m:oMath>
      <w:r>
        <w:t xml:space="preserve"> </w:t>
      </w:r>
      <w:r>
        <w:t xml:space="preserve">with slightly worse Type II error rate (0.341) but better Type I error rate (0.052) than simultaneous LASSO with</w:t>
      </w:r>
      <w:r>
        <w:t xml:space="preserve"> </w:t>
      </w:r>
      <m:oMath>
        <m:r>
          <m:t>X</m:t>
        </m:r>
      </m:oMath>
      <w:r>
        <w:t xml:space="preserve">. Finally, if perfect control of Type I error rate at the nominal alpha is desired, screening with separate covariate linear models without</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previous two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r>
          <m:t>h</m:t>
        </m:r>
        <m:r>
          <m:t>a</m:t>
        </m:r>
        <m:r>
          <m:t>t</m:t>
        </m:r>
        <m:r>
          <m:t>Y</m:t>
        </m:r>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Finally, this simulation study evaluated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 Nonetheless, we believe our paper provides strong evidence to support the clear benefits of using baseline covariates. We hope that we have also clarified the relative costs and benefits of key approaches to selecting them in experimental research.</w:t>
      </w:r>
    </w:p>
    <w:bookmarkEnd w:id="63"/>
    <w:bookmarkStart w:id="104" w:name="references"/>
    <w:p>
      <w:pPr>
        <w:pStyle w:val="Heading1"/>
      </w:pPr>
      <w:r>
        <w:t xml:space="preserve">References</w:t>
      </w:r>
    </w:p>
    <w:bookmarkStart w:id="103" w:name="refs"/>
    <w:bookmarkStart w:id="65"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4">
        <w:r>
          <w:rPr>
            <w:rStyle w:val="Hyperlink"/>
          </w:rPr>
          <w:t xml:space="preserve">https://doi.org/10.1016/0197-2456(89)90055-x</w:t>
        </w:r>
      </w:hyperlink>
      <w:r>
        <w:t xml:space="preserve">.</w:t>
      </w:r>
    </w:p>
    <w:bookmarkEnd w:id="65"/>
    <w:bookmarkStart w:id="67"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6">
        <w:r>
          <w:rPr>
            <w:rStyle w:val="Hyperlink"/>
          </w:rPr>
          <w:t xml:space="preserve">https://doi.org/10.1177/0956797613499923</w:t>
        </w:r>
      </w:hyperlink>
      <w:r>
        <w:t xml:space="preserve">.</w:t>
      </w:r>
    </w:p>
    <w:bookmarkEnd w:id="67"/>
    <w:bookmarkStart w:id="6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8">
        <w:r>
          <w:rPr>
            <w:rStyle w:val="Hyperlink"/>
          </w:rPr>
          <w:t xml:space="preserve">https://doi.org/10.1038/nrn3475</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2">
        <w:r>
          <w:rPr>
            <w:rStyle w:val="Hyperlink"/>
          </w:rPr>
          <w:t xml:space="preserve">https://doi.org/10.1037/h0045186</w:t>
        </w:r>
      </w:hyperlink>
      <w:r>
        <w:t xml:space="preserve">.</w:t>
      </w:r>
    </w:p>
    <w:bookmarkEnd w:id="73"/>
    <w:bookmarkStart w:id="7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4"/>
    <w:bookmarkStart w:id="7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5"/>
    <w:bookmarkStart w:id="7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6">
        <w:r>
          <w:rPr>
            <w:rStyle w:val="Hyperlink"/>
          </w:rPr>
          <w:t xml:space="preserve">https://doi.org/10.1186/1471-2288-14-49</w:t>
        </w:r>
      </w:hyperlink>
      <w:r>
        <w:t xml:space="preserve">.</w:t>
      </w:r>
    </w:p>
    <w:bookmarkEnd w:id="77"/>
    <w:bookmarkStart w:id="79"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78">
        <w:r>
          <w:rPr>
            <w:rStyle w:val="Hyperlink"/>
          </w:rPr>
          <w:t xml:space="preserve">https://doi.org/10.1037/a0033407</w:t>
        </w:r>
      </w:hyperlink>
      <w:r>
        <w:t xml:space="preserve">.</w:t>
      </w:r>
    </w:p>
    <w:bookmarkEnd w:id="79"/>
    <w:bookmarkStart w:id="81"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80">
        <w:r>
          <w:rPr>
            <w:rStyle w:val="Hyperlink"/>
          </w:rPr>
          <w:t xml:space="preserve">https://doi.org/10.1016/j.annepidem.2005.09.007</w:t>
        </w:r>
      </w:hyperlink>
      <w:r>
        <w:t xml:space="preserve">.</w:t>
      </w:r>
    </w:p>
    <w:bookmarkEnd w:id="81"/>
    <w:bookmarkStart w:id="83"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2">
        <w:r>
          <w:rPr>
            <w:rStyle w:val="Hyperlink"/>
          </w:rPr>
          <w:t xml:space="preserve">https://doi.org/10.1016/j.jclinepi.2003.09.014</w:t>
        </w:r>
      </w:hyperlink>
      <w:r>
        <w:t xml:space="preserve">.</w:t>
      </w:r>
    </w:p>
    <w:bookmarkEnd w:id="83"/>
    <w:bookmarkStart w:id="85"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4">
        <w:r>
          <w:rPr>
            <w:rStyle w:val="Hyperlink"/>
          </w:rPr>
          <w:t xml:space="preserve">https://doi.org/10.1371/journal.pmed.0020124</w:t>
        </w:r>
      </w:hyperlink>
      <w:r>
        <w:t xml:space="preserve">.</w:t>
      </w:r>
    </w:p>
    <w:bookmarkEnd w:id="85"/>
    <w:bookmarkStart w:id="87"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6">
        <w:r>
          <w:rPr>
            <w:rStyle w:val="Hyperlink"/>
          </w:rPr>
          <w:t xml:space="preserve">https://doi.org/10.1186/1745-6215-15-139</w:t>
        </w:r>
      </w:hyperlink>
      <w:r>
        <w:t xml:space="preserve">.</w:t>
      </w:r>
    </w:p>
    <w:bookmarkEnd w:id="87"/>
    <w:bookmarkStart w:id="88"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8"/>
    <w:bookmarkStart w:id="90" w:name="Xacb972bec6951688223e59e5436f5358068fdee"/>
    <w:p>
      <w:pPr>
        <w:pStyle w:val="Bibliography"/>
      </w:pPr>
      <w:r>
        <w:t xml:space="preserve">Miller, G A, and J P Chapman. 2001.</w:t>
      </w:r>
      <w:r>
        <w:t xml:space="preserve"> </w:t>
      </w:r>
      <w:r>
        <w:t xml:space="preserve">“</w:t>
      </w:r>
      <w:hyperlink r:id="rId89">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90"/>
    <w:bookmarkStart w:id="91"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1"/>
    <w:bookmarkStart w:id="93"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92">
        <w:r>
          <w:rPr>
            <w:rStyle w:val="Hyperlink"/>
          </w:rPr>
          <w:t xml:space="preserve">https://doi.org/10.1080/03610928508828942</w:t>
        </w:r>
      </w:hyperlink>
      <w:r>
        <w:t xml:space="preserve">.</w:t>
      </w:r>
    </w:p>
    <w:bookmarkEnd w:id="93"/>
    <w:bookmarkStart w:id="95"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4">
        <w:r>
          <w:rPr>
            <w:rStyle w:val="Hyperlink"/>
          </w:rPr>
          <w:t xml:space="preserve">https://doi.org/10.1177/0956797611417632</w:t>
        </w:r>
      </w:hyperlink>
      <w:r>
        <w:t xml:space="preserve">.</w:t>
      </w:r>
    </w:p>
    <w:bookmarkEnd w:id="95"/>
    <w:bookmarkStart w:id="97"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6">
        <w:r>
          <w:rPr>
            <w:rStyle w:val="Hyperlink"/>
          </w:rPr>
          <w:t xml:space="preserve">https://doi.org/10.1037/a0033242</w:t>
        </w:r>
      </w:hyperlink>
      <w:r>
        <w:t xml:space="preserve">.</w:t>
      </w:r>
    </w:p>
    <w:bookmarkEnd w:id="97"/>
    <w:bookmarkStart w:id="99"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8">
        <w:r>
          <w:rPr>
            <w:rStyle w:val="Hyperlink"/>
          </w:rPr>
          <w:t xml:space="preserve">https://doi.org/10.1016/j.jclinepi.2014.11.001</w:t>
        </w:r>
      </w:hyperlink>
      <w:r>
        <w:t xml:space="preserve">.</w:t>
      </w:r>
    </w:p>
    <w:bookmarkEnd w:id="99"/>
    <w:bookmarkStart w:id="101"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100">
        <w:r>
          <w:rPr>
            <w:rStyle w:val="Hyperlink"/>
          </w:rPr>
          <w:t xml:space="preserve">https://doi.org/10.1111/j.2517-6161.1996.tb02080.x</w:t>
        </w:r>
      </w:hyperlink>
      <w:r>
        <w:t xml:space="preserve">.</w:t>
      </w:r>
    </w:p>
    <w:bookmarkEnd w:id="101"/>
    <w:bookmarkStart w:id="102"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hyperlink" Id="rId64" Target="https://doi.org/10.1016/0197-2456(89)90055-x" TargetMode="External" /><Relationship Type="http://schemas.openxmlformats.org/officeDocument/2006/relationships/hyperlink" Id="rId80" Target="https://doi.org/10.1016/j.annepidem.2005.09.007" TargetMode="External" /><Relationship Type="http://schemas.openxmlformats.org/officeDocument/2006/relationships/hyperlink" Id="rId82" Target="https://doi.org/10.1016/j.jclinepi.2003.09.014" TargetMode="External" /><Relationship Type="http://schemas.openxmlformats.org/officeDocument/2006/relationships/hyperlink" Id="rId98" Target="https://doi.org/10.1016/j.jclinepi.2014.11.001" TargetMode="External" /><Relationship Type="http://schemas.openxmlformats.org/officeDocument/2006/relationships/hyperlink" Id="rId96" Target="https://doi.org/10.1037/a0033242" TargetMode="External" /><Relationship Type="http://schemas.openxmlformats.org/officeDocument/2006/relationships/hyperlink" Id="rId78" Target="https://doi.org/10.1037/a0033407"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92" Target="https://doi.org/10.1080/03610928508828942" TargetMode="External" /><Relationship Type="http://schemas.openxmlformats.org/officeDocument/2006/relationships/hyperlink" Id="rId100" Target="https://doi.org/10.1111/j.2517-6161.1996.tb02080.x" TargetMode="External" /><Relationship Type="http://schemas.openxmlformats.org/officeDocument/2006/relationships/hyperlink" Id="rId94" Target="https://doi.org/10.1177/0956797611417632" TargetMode="External" /><Relationship Type="http://schemas.openxmlformats.org/officeDocument/2006/relationships/hyperlink" Id="rId66" Target="https://doi.org/10.1177/0956797613499923" TargetMode="External" /><Relationship Type="http://schemas.openxmlformats.org/officeDocument/2006/relationships/hyperlink" Id="rId76" Target="https://doi.org/10.1186/1471-2288-14-49" TargetMode="External" /><Relationship Type="http://schemas.openxmlformats.org/officeDocument/2006/relationships/hyperlink" Id="rId86" Target="https://doi.org/10.1186/1745-6215-15-139" TargetMode="External" /><Relationship Type="http://schemas.openxmlformats.org/officeDocument/2006/relationships/hyperlink" Id="rId84"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89"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16/0197-2456(89)90055-x" TargetMode="External" /><Relationship Type="http://schemas.openxmlformats.org/officeDocument/2006/relationships/hyperlink" Id="rId80" Target="https://doi.org/10.1016/j.annepidem.2005.09.007" TargetMode="External" /><Relationship Type="http://schemas.openxmlformats.org/officeDocument/2006/relationships/hyperlink" Id="rId82" Target="https://doi.org/10.1016/j.jclinepi.2003.09.014" TargetMode="External" /><Relationship Type="http://schemas.openxmlformats.org/officeDocument/2006/relationships/hyperlink" Id="rId98" Target="https://doi.org/10.1016/j.jclinepi.2014.11.001" TargetMode="External" /><Relationship Type="http://schemas.openxmlformats.org/officeDocument/2006/relationships/hyperlink" Id="rId96" Target="https://doi.org/10.1037/a0033242" TargetMode="External" /><Relationship Type="http://schemas.openxmlformats.org/officeDocument/2006/relationships/hyperlink" Id="rId78" Target="https://doi.org/10.1037/a0033407"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92" Target="https://doi.org/10.1080/03610928508828942" TargetMode="External" /><Relationship Type="http://schemas.openxmlformats.org/officeDocument/2006/relationships/hyperlink" Id="rId100" Target="https://doi.org/10.1111/j.2517-6161.1996.tb02080.x" TargetMode="External" /><Relationship Type="http://schemas.openxmlformats.org/officeDocument/2006/relationships/hyperlink" Id="rId94" Target="https://doi.org/10.1177/0956797611417632" TargetMode="External" /><Relationship Type="http://schemas.openxmlformats.org/officeDocument/2006/relationships/hyperlink" Id="rId66" Target="https://doi.org/10.1177/0956797613499923" TargetMode="External" /><Relationship Type="http://schemas.openxmlformats.org/officeDocument/2006/relationships/hyperlink" Id="rId76" Target="https://doi.org/10.1186/1471-2288-14-49" TargetMode="External" /><Relationship Type="http://schemas.openxmlformats.org/officeDocument/2006/relationships/hyperlink" Id="rId86" Target="https://doi.org/10.1186/1745-6215-15-139" TargetMode="External" /><Relationship Type="http://schemas.openxmlformats.org/officeDocument/2006/relationships/hyperlink" Id="rId84"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89"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2026-03-18T00:03:36Z</dcterms:created>
  <dcterms:modified xsi:type="dcterms:W3CDTF">2026-03-18T00:03:36Z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2026-03-17</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