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6.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2026-03-11</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as a means of establishing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 (i.e., low probability of a type II error)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be expected to correlate with laboratory stress response and therefore reduce variance in stress response that is unrelated to the manipulation to increase statistical power.</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strategies that both minimize type II errors and control type I errors.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nominally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bivariate regression models that screen each covariate in its own model, multiple regression models that screen all covariates in a single model, and LASSO [INSERT REF] models that screen all covariates in a single model). Across these modeling approaches, we also either include or exclude the focal IV in the screening models for a total of six data-driven approaches. We benchmark these data-driven approaches against the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29"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nine approaches to select covariates to use when testing the effect of a focal dichotomous IV.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a single covariate linear model, all covariates linear model, and all covariates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 X + C_1, Y ~ X + C_2, ..., Y ~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Single covariate linear model without X</w:t>
                  </w:r>
                </w:p>
              </w:tc>
              <w:tc>
                <w:tcPr/>
                <w:p>
                  <w:pPr>
                    <w:pStyle w:val="Compact"/>
                    <w:jc w:val="left"/>
                    <w:jc w:val="center"/>
                  </w:pPr>
                  <w:r>
                    <w:t xml:space="preserve">Y ~ C_1, Y ~ C_2, ..., Y ~ C_k</w:t>
                  </w:r>
                </w:p>
              </w:tc>
              <w:tc>
                <w:tcPr/>
                <w:p>
                  <w:pPr>
                    <w:pStyle w:val="Compact"/>
                    <w:jc w:val="left"/>
                    <w:jc w:val="center"/>
                  </w:pPr>
                  <w:r>
                    <w:t xml:space="preserve">Covariates that yield a significant effect (p &lt; .05) are retained in the final model</w:t>
                  </w:r>
                </w:p>
              </w:tc>
            </w:tr>
            <w:tr>
              <w:tc>
                <w:tcPr/>
                <w:p>
                  <w:pPr>
                    <w:pStyle w:val="Compact"/>
                    <w:jc w:val="left"/>
                    <w:jc w:val="center"/>
                  </w:pPr>
                  <w:r>
                    <w:t xml:space="preserve">Single covariate linear model with X</w:t>
                  </w:r>
                </w:p>
              </w:tc>
              <w:tc>
                <w:tcPr/>
                <w:p>
                  <w:pPr>
                    <w:pStyle w:val="Compact"/>
                    <w:jc w:val="left"/>
                    <w:jc w:val="center"/>
                  </w:pPr>
                  <w:r>
                    <w:t xml:space="preserve">Y ~ X + C_1, Y ~ X + C_2, ..., Y ~ X + C_k</w:t>
                  </w:r>
                </w:p>
              </w:tc>
              <w:tc>
                <w:tcPr/>
                <w:p>
                  <w:pPr>
                    <w:pStyle w:val="Compact"/>
                    <w:jc w:val="left"/>
                    <w:jc w:val="center"/>
                  </w:pPr>
                  <w:r>
                    <w:t xml:space="preserve">Covariates that yield a significant effect (p &lt; .05) when controlling for X are retained in the final model</w:t>
                  </w:r>
                </w:p>
              </w:tc>
            </w:tr>
            <w:tr>
              <w:tc>
                <w:tcPr/>
                <w:p>
                  <w:pPr>
                    <w:pStyle w:val="Compact"/>
                    <w:jc w:val="left"/>
                    <w:jc w:val="center"/>
                  </w:pPr>
                  <w:r>
                    <w:t xml:space="preserve">All covariates linear model without X</w:t>
                  </w:r>
                </w:p>
              </w:tc>
              <w:tc>
                <w:tcPr/>
                <w:p>
                  <w:pPr>
                    <w:pStyle w:val="Compact"/>
                    <w:jc w:val="left"/>
                    <w:jc w:val="center"/>
                  </w:pPr>
                  <w:r>
                    <w:t xml:space="preserve">Y ~ C_1 + C_2 + ... + C_k</w:t>
                  </w:r>
                </w:p>
              </w:tc>
              <w:tc>
                <w:tcPr/>
                <w:p>
                  <w:pPr>
                    <w:pStyle w:val="Compact"/>
                    <w:jc w:val="left"/>
                    <w:jc w:val="center"/>
                  </w:pPr>
                  <w:r>
                    <w:t xml:space="preserve">Covariates that yield a significant effect (P &lt; .05) when controlling for all other covariates are retained in the final model</w:t>
                  </w:r>
                </w:p>
              </w:tc>
            </w:tr>
            <w:tr>
              <w:tc>
                <w:tcPr/>
                <w:p>
                  <w:pPr>
                    <w:pStyle w:val="Compact"/>
                    <w:jc w:val="left"/>
                    <w:jc w:val="center"/>
                  </w:pPr>
                  <w:r>
                    <w:t xml:space="preserve">All covariates linear model with X</w:t>
                  </w:r>
                </w:p>
              </w:tc>
              <w:tc>
                <w:tcPr/>
                <w:p>
                  <w:pPr>
                    <w:pStyle w:val="Compact"/>
                    <w:jc w:val="left"/>
                    <w:jc w:val="center"/>
                  </w:pPr>
                  <w:r>
                    <w:t xml:space="preserve">Y ~ X + C_1 + C_2 ... + C_k</w:t>
                  </w:r>
                </w:p>
              </w:tc>
              <w:tc>
                <w:tcPr/>
                <w:p>
                  <w:pPr>
                    <w:pStyle w:val="Compact"/>
                    <w:jc w:val="left"/>
                    <w:jc w:val="center"/>
                  </w:pPr>
                  <w:r>
                    <w:t xml:space="preserve">Covariates that yield a significant effect (P &lt; .05) when controlling for X and all other covariates are retained in the final model</w:t>
                  </w:r>
                </w:p>
              </w:tc>
            </w:tr>
            <w:tr>
              <w:tc>
                <w:tcPr/>
                <w:p>
                  <w:pPr>
                    <w:pStyle w:val="Compact"/>
                    <w:jc w:val="left"/>
                    <w:jc w:val="center"/>
                  </w:pPr>
                  <w:r>
                    <w:t xml:space="preserve">All covariates LASSO without X</w:t>
                  </w:r>
                </w:p>
              </w:tc>
              <w:tc>
                <w:tcPr/>
                <w:p>
                  <w:pPr>
                    <w:pStyle w:val="Compact"/>
                    <w:jc w:val="left"/>
                    <w:jc w:val="center"/>
                  </w:pPr>
                  <w:r>
                    <w:t xml:space="preserve">Y ~ C_1 + C_2 + ...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All covariates LASSO with X</w:t>
                  </w:r>
                </w:p>
              </w:tc>
              <w:tc>
                <w:tcPr/>
                <w:p>
                  <w:pPr>
                    <w:pStyle w:val="Compact"/>
                    <w:jc w:val="left"/>
                    <w:jc w:val="center"/>
                  </w:pPr>
                  <w:r>
                    <w:t xml:space="preserve">Y ~ X + C_1 + C_2 ...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predictor,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varying research contexts that psychology researchers might encounter in their studies. We crossed all levels of each characteristic to create a total of 540 unique research contexts to allow results from our simulations to generalize across the diversity of contexts within which psychology studies are situated. A summary of these contexts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the focal IV. We selected values that represent null (</w:t>
      </w:r>
      <m:oMath>
        <m:sSub>
          <m:e>
            <m:r>
              <m:t>b</m:t>
            </m:r>
          </m:e>
          <m:sub>
            <m:r>
              <m:t>i</m:t>
            </m:r>
            <m:r>
              <m:t>v</m:t>
            </m:r>
          </m:sub>
        </m:sSub>
        <m:r>
          <m:rPr>
            <m:sty m:val="p"/>
          </m:rPr>
          <m:t>=</m:t>
        </m:r>
        <m:r>
          <m:t>0</m:t>
        </m:r>
      </m:oMath>
      <w:r>
        <w:t xml:space="preserve">), small (</w:t>
      </w:r>
      <m:oMath>
        <m:sSub>
          <m:e>
            <m:r>
              <m:t>b</m:t>
            </m:r>
          </m:e>
          <m:sub>
            <m:r>
              <m:t>i</m:t>
            </m:r>
            <m:r>
              <m:t>v</m:t>
            </m:r>
          </m:sub>
        </m:sSub>
        <m:r>
          <m:rPr>
            <m:sty m:val="p"/>
          </m:rPr>
          <m:t>=</m:t>
        </m:r>
        <m:r>
          <m:t>0.2</m:t>
        </m:r>
      </m:oMath>
      <w:r>
        <w:t xml:space="preserve">) and medium (</w:t>
      </w:r>
      <m:oMath>
        <m:sSub>
          <m:e>
            <m:r>
              <m:t>b</m:t>
            </m:r>
          </m:e>
          <m:sub>
            <m:r>
              <m:t>i</m:t>
            </m:r>
            <m:r>
              <m:t>v</m:t>
            </m:r>
          </m:sub>
        </m:sSub>
        <m:r>
          <m:rPr>
            <m:sty m:val="p"/>
          </m:rPr>
          <m:t>=</m:t>
        </m:r>
        <m:r>
          <m:t>0.5</m:t>
        </m:r>
      </m:oMath>
      <w:r>
        <w:t xml:space="preserve">) effects for the IV. Given that the variance of the outcome variable was set to 1 in all simulations, these parameter values correspond to null, small, and medium Cohen’s d effect sizes (INSERT COHEN 1991 ref).</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available covariates.</w:t>
      </w:r>
    </w:p>
    <w:p>
      <w:pPr>
        <w:numPr>
          <w:ilvl w:val="0"/>
          <w:numId w:val="1002"/>
        </w:numPr>
      </w:pPr>
      <w:r>
        <w:t xml:space="preserve">The percentage of covariates with non-zero relationships with the outcome. We simulated research contexts where 25%, 50% or 75% of the available covariates were related to the outcome to represent realities where a researcher has many available covariates, but only some may be useful given their relationship with the outcome.</w:t>
      </w:r>
    </w:p>
    <w:p>
      <w:pPr>
        <w:numPr>
          <w:ilvl w:val="0"/>
          <w:numId w:val="1002"/>
        </w:numPr>
      </w:pPr>
      <w:r>
        <w:t xml:space="preserve">The strength of the relationship between the covariates and Y. All non-zero covariates (see characteristic 4) were given a moderate or large relationship to the outcome Y (i.e., correlations of 0.3 and 0.5), respectively. Since these covariates are all correlated with the outcome, it is likely they are also correlated with each other. Therefore, we assigned a moderate 0.3 correlation for all relationships among these non-zero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0, 0.2, 0.5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0.2, 0.5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8" w:name="data-analytic-plan"/>
    <w:p>
      <w:pPr>
        <w:pStyle w:val="Heading2"/>
      </w:pPr>
      <w:r>
        <w:t xml:space="preserve">Data Analytic Plan</w:t>
      </w:r>
    </w:p>
    <w:p>
      <w:pPr>
        <w:pStyle w:val="FirstParagraph"/>
      </w:pPr>
      <w:r>
        <w:t xml:space="preserve">All data analyses were done in R.</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context. Within each simulation we generated a unique dataset that consisted of a dichotomous focal independent variable (</w:t>
      </w:r>
      <w:r>
        <w:rPr>
          <w:i/>
          <w:iCs/>
        </w:rPr>
        <w:t xml:space="preserve">X</w:t>
      </w:r>
      <w:r>
        <w:t xml:space="preserve">), varying numbers of quantitative covariates (</w:t>
      </w:r>
      <w:r>
        <w:rPr>
          <w:i/>
          <w:iCs/>
        </w:rPr>
        <w:t xml:space="preserve">C</w:t>
      </w:r>
      <w:r>
        <w:t xml:space="preserve">), where a subset are correlated with each other and with the outcome (see Research Contexts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approaches on each simulated dataset. From each model we saved the parameter estimate for</w:t>
      </w:r>
      <w:r>
        <w:t xml:space="preserve"> </w:t>
      </w:r>
      <w:r>
        <w:rPr>
          <w:i/>
          <w:iCs/>
        </w:rPr>
        <w:t xml:space="preserve">X</w:t>
      </w:r>
      <w:r>
        <w:t xml:space="preserve">, the p-value for its statistical test against 0, and the conclusion (reject or fail to reject) using alpha = 0.05.</w:t>
      </w:r>
    </w:p>
    <w:p>
      <w:pPr>
        <w:pStyle w:val="BodyText"/>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Compact"/>
        <w:numPr>
          <w:ilvl w:val="0"/>
          <w:numId w:val="1003"/>
        </w:numPr>
      </w:pPr>
      <w:r>
        <w:t xml:space="preserve">Set research context parameters.</w:t>
      </w:r>
    </w:p>
    <w:p>
      <w:pPr>
        <w:pStyle w:val="Compact"/>
        <w:numPr>
          <w:ilvl w:val="0"/>
          <w:numId w:val="1003"/>
        </w:numPr>
      </w:pPr>
      <w:r>
        <w:t xml:space="preserve">Create dichotomous focal predictor (X).</w:t>
      </w:r>
    </w:p>
    <w:p>
      <w:pPr>
        <w:pStyle w:val="Compact"/>
        <w:numPr>
          <w:ilvl w:val="0"/>
          <w:numId w:val="1003"/>
        </w:numPr>
      </w:pPr>
      <w:r>
        <w:t xml:space="preserve">Create variance/covariance matrix.Good predictors have 0.3 correlation with each other</w:t>
      </w:r>
    </w:p>
    <w:p>
      <w:pPr>
        <w:pStyle w:val="Compact"/>
        <w:numPr>
          <w:ilvl w:val="0"/>
          <w:numId w:val="1003"/>
        </w:numPr>
      </w:pPr>
      <w:r>
        <w:t xml:space="preserve">Generate Y and all covariates using a multivariate normal distribution.</w:t>
      </w:r>
    </w:p>
    <w:p>
      <w:pPr>
        <w:pStyle w:val="Compact"/>
        <w:numPr>
          <w:ilvl w:val="0"/>
          <w:numId w:val="1003"/>
        </w:numPr>
      </w:pPr>
      <w:r>
        <w:t xml:space="preserve">Add in X effect on Y.</w:t>
      </w:r>
    </w:p>
    <w:p>
      <w:pPr>
        <w:pStyle w:val="Compact"/>
        <w:numPr>
          <w:ilvl w:val="0"/>
          <w:numId w:val="1003"/>
        </w:numPr>
      </w:pPr>
      <w:r>
        <w:t xml:space="preserve">Combine into final data tibble.</w:t>
      </w:r>
    </w:p>
    <w:p>
      <w:pPr>
        <w:pStyle w:val="FirstParagraph"/>
      </w:pPr>
      <w:r>
        <w:t xml:space="preserve">For research contexts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contexts. For research contexts where the population parameter for</w:t>
      </w:r>
      <w:r>
        <w:t xml:space="preserve"> </w:t>
      </w:r>
      <w:r>
        <w:rPr>
          <w:i/>
          <w:iCs/>
        </w:rPr>
        <w:t xml:space="preserve">X</w:t>
      </w:r>
      <w:r>
        <w:t xml:space="preserve"> </w:t>
      </w:r>
      <w:r>
        <w:t xml:space="preserve">is 0.2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contexts. We also provide sampling distributions of the parameter estimate for</w:t>
      </w:r>
      <w:r>
        <w:t xml:space="preserve"> </w:t>
      </w:r>
      <w:r>
        <w:rPr>
          <w:i/>
          <w:iCs/>
        </w:rPr>
        <w:t xml:space="preserve">X</w:t>
      </w:r>
      <w:r>
        <w:t xml:space="preserve"> </w:t>
      </w:r>
      <w:r>
        <w:t xml:space="preserve">across research contexts for each method, separately by true effect size (0, 0.2, and 0.5). Detailed tables of range and average error rates for each research context and true and false positive rates for covariates are available in the supplement.</w:t>
      </w:r>
      <w:r>
        <w:t xml:space="preserve"> </w:t>
      </w:r>
    </w:p>
    <w:bookmarkEnd w:id="28"/>
    <w:bookmarkEnd w:id="29"/>
    <w:bookmarkStart w:id="55" w:name="results"/>
    <w:p>
      <w:pPr>
        <w:pStyle w:val="Heading1"/>
      </w:pPr>
      <w:r>
        <w:t xml:space="preserve">Results</w:t>
      </w:r>
    </w:p>
    <w:bookmarkStart w:id="40"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w:r>
        <w:rPr>
          <w:i/>
          <w:iCs/>
        </w:rPr>
        <w:t xml:space="preserve">X</w:t>
      </w:r>
      <w:r>
        <w:t xml:space="preserve"> </w:t>
      </w:r>
      <w:r>
        <w:t xml:space="preserve">in the screening model displayed average Type I error rates of exactly .05. The data-driven approaches that did include</w:t>
      </w:r>
      <w:r>
        <w:t xml:space="preserve"> </w:t>
      </w:r>
      <w:r>
        <w:rPr>
          <w:i/>
          <w:iCs/>
        </w:rPr>
        <w:t xml:space="preserve">X</w:t>
      </w:r>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3" w:name="fig-bar-1"/>
          <w:p>
            <w:pPr>
              <w:pStyle w:val="Compact"/>
              <w:jc w:val="center"/>
            </w:pPr>
            <w:r>
              <w:drawing>
                <wp:inline>
                  <wp:extent cx="5334000" cy="3048000"/>
                  <wp:effectExtent b="0" l="0" r="0" t="0"/>
                  <wp:docPr descr="" title="" id="31" name="Picture"/>
                  <a:graphic>
                    <a:graphicData uri="http://schemas.openxmlformats.org/drawingml/2006/picture">
                      <pic:pic>
                        <pic:nvPicPr>
                          <pic:cNvPr descr="index_files/figure-docx/notebooks-mak_figures-fig-bar-1-output-1.png" id="32" name="Picture"/>
                          <pic:cNvPicPr>
                            <a:picLocks noChangeArrowheads="1" noChangeAspect="1"/>
                          </pic:cNvPicPr>
                        </pic:nvPicPr>
                        <pic:blipFill>
                          <a:blip r:embed="rId3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3"/>
        </w:tc>
      </w:tr>
    </w:tbl>
    <w:p>
      <w:pPr>
        <w:pStyle w:val="BodyText"/>
      </w:pPr>
      <w:r>
        <w:rPr>
          <w:vertAlign w:val="subscript"/>
        </w:rPr>
        <w:t xml:space="preserve">Source:</w:t>
      </w:r>
      <w:r>
        <w:rPr>
          <w:vertAlign w:val="subscript"/>
        </w:rPr>
        <w:t xml:space="preserve"> </w:t>
      </w:r>
      <w:hyperlink r:id="rId34">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w:r>
        <w:rPr>
          <w:i/>
          <w:iCs/>
        </w:rPr>
        <w:t xml:space="preserve">Y</w:t>
      </w:r>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w:r>
        <w:rPr>
          <w:i/>
          <w:iCs/>
        </w:rPr>
        <w:t xml:space="preserve">Y</w:t>
      </w:r>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w:r>
        <w:rPr>
          <w:i/>
          <w:iCs/>
        </w:rPr>
        <w:t xml:space="preserve">X</w:t>
      </w:r>
      <w:r>
        <w:t xml:space="preserve">. Among the data driven approaches that did include</w:t>
      </w:r>
      <w:r>
        <w:t xml:space="preserve"> </w:t>
      </w:r>
      <w:r>
        <w:rPr>
          <w:i/>
          <w:iCs/>
        </w:rPr>
        <w:t xml:space="preserve">X</w:t>
      </w:r>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 Y appears to have any systematic impact on the Type I error rates for the data-driven approaches that included</w:t>
      </w:r>
      <w:r>
        <w:t xml:space="preserve"> </w:t>
      </w:r>
      <w:r>
        <w:rPr>
          <w:i/>
          <w:iCs/>
        </w:rPr>
        <w:t xml:space="preserve">X</w:t>
      </w:r>
      <w:r>
        <w:t xml:space="preserve">.</w:t>
      </w:r>
    </w:p>
    <w:tbl>
      <w:tblPr>
        <w:tblStyle w:val="Table"/>
        <w:tblW w:type="pct" w:w="5000"/>
        <w:tblLayout w:type="fixed"/>
        <w:tblLook w:firstRow="0" w:lastRow="0" w:firstColumn="0" w:lastColumn="0" w:noHBand="0" w:noVBand="0" w:val="0000"/>
      </w:tblPr>
      <w:tblGrid>
        <w:gridCol w:w="7920"/>
      </w:tblGrid>
      <w:tr>
        <w:tc>
          <w:tcPr/>
          <w:bookmarkStart w:id="38" w:name="fig-type1-panel"/>
          <w:p>
            <w:pPr>
              <w:pStyle w:val="Compact"/>
              <w:jc w:val="center"/>
            </w:pPr>
            <w:r>
              <w:drawing>
                <wp:inline>
                  <wp:extent cx="5334000" cy="4000499"/>
                  <wp:effectExtent b="0" l="0" r="0" t="0"/>
                  <wp:docPr descr="" title="" id="36" name="Picture"/>
                  <a:graphic>
                    <a:graphicData uri="http://schemas.openxmlformats.org/drawingml/2006/picture">
                      <pic:pic>
                        <pic:nvPicPr>
                          <pic:cNvPr descr="index_files/figure-docx/notebooks-mak_figures-fig-type1-panel-output-1.png" id="37" name="Picture"/>
                          <pic:cNvPicPr>
                            <a:picLocks noChangeArrowheads="1" noChangeAspect="1"/>
                          </pic:cNvPicPr>
                        </pic:nvPicPr>
                        <pic:blipFill>
                          <a:blip r:embed="rId3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8"/>
        </w:tc>
      </w:tr>
    </w:tbl>
    <w:p>
      <w:pPr>
        <w:pStyle w:val="BodyText"/>
      </w:pPr>
      <w:r>
        <w:rPr>
          <w:vertAlign w:val="subscript"/>
        </w:rPr>
        <w:t xml:space="preserve">Source:</w:t>
      </w:r>
      <w:r>
        <w:rPr>
          <w:vertAlign w:val="subscript"/>
        </w:rPr>
        <w:t xml:space="preserve"> </w:t>
      </w:r>
      <w:hyperlink r:id="rId39">
        <w:r>
          <w:rPr>
            <w:rStyle w:val="Hyperlink"/>
            <w:vertAlign w:val="subscript"/>
          </w:rPr>
          <w:t xml:space="preserve">Make Figures for Main Manuscript</w:t>
        </w:r>
      </w:hyperlink>
    </w:p>
    <w:bookmarkEnd w:id="40"/>
    <w:bookmarkStart w:id="51"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Given that we set the standard deviation of</w:t>
      </w:r>
      <w:r>
        <w:t xml:space="preserve"> </w:t>
      </w:r>
      <w:r>
        <w:rPr>
          <w:i/>
          <w:iCs/>
        </w:rPr>
        <w:t xml:space="preserve">Y</w:t>
      </w:r>
      <w:r>
        <w:t xml:space="preserve"> </w:t>
      </w:r>
      <w:r>
        <w:t xml:space="preserve">to equal 1, these represented contexts where</w:t>
      </w:r>
      <w:r>
        <w:t xml:space="preserve"> </w:t>
      </w:r>
      <w:r>
        <w:rPr>
          <w:i/>
          <w:iCs/>
        </w:rPr>
        <w:t xml:space="preserve">X</w:t>
      </w:r>
      <w:r>
        <w:t xml:space="preserve"> </w:t>
      </w:r>
      <w:r>
        <w:t xml:space="preserve">had a small (Cohen’s d = .2) or moderate (Cohen’s d = .5) effect on</w:t>
      </w:r>
      <w:r>
        <w:t xml:space="preserve"> </w:t>
      </w:r>
      <w:r>
        <w:rPr>
          <w:i/>
          <w:iCs/>
        </w:rPr>
        <w:t xml:space="preserve">Y</w:t>
      </w:r>
      <w:r>
        <w:t xml:space="preserve">. In these simulations, non-significant effects for</w:t>
      </w:r>
      <w:r>
        <w:t xml:space="preserve"> </w:t>
      </w:r>
      <w:r>
        <w:rPr>
          <w:i/>
          <w:iCs/>
        </w:rPr>
        <w:t xml:space="preserve">X</w:t>
      </w:r>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w:r>
        <w:rPr>
          <w:i/>
          <w:iCs/>
        </w:rPr>
        <w:t xml:space="preserve">X</w:t>
      </w:r>
      <w:r>
        <w:t xml:space="preserve"> </w:t>
      </w:r>
      <w:r>
        <w:t xml:space="preserve">displayed modestly lower average Type II error rates than the comparable approach that did not include</w:t>
      </w:r>
      <w:r>
        <w:t xml:space="preserve"> </w:t>
      </w:r>
      <w:r>
        <w:rPr>
          <w:i/>
          <w:iCs/>
        </w:rPr>
        <w:t xml:space="preserve">X</w:t>
      </w:r>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4" w:name="fig-bar-2"/>
          <w:p>
            <w:pPr>
              <w:pStyle w:val="Compact"/>
              <w:jc w:val="center"/>
            </w:pPr>
            <w:r>
              <w:drawing>
                <wp:inline>
                  <wp:extent cx="5334000" cy="3048000"/>
                  <wp:effectExtent b="0" l="0" r="0" t="0"/>
                  <wp:docPr descr="" title="" id="42" name="Picture"/>
                  <a:graphic>
                    <a:graphicData uri="http://schemas.openxmlformats.org/drawingml/2006/picture">
                      <pic:pic>
                        <pic:nvPicPr>
                          <pic:cNvPr descr="index_files/figure-docx/notebooks-mak_figures-fig-bar-2-output-1.png" id="43" name="Picture"/>
                          <pic:cNvPicPr>
                            <a:picLocks noChangeArrowheads="1" noChangeAspect="1"/>
                          </pic:cNvPicPr>
                        </pic:nvPicPr>
                        <pic:blipFill>
                          <a:blip r:embed="rId41"/>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4"/>
        </w:tc>
      </w:tr>
    </w:tbl>
    <w:p>
      <w:pPr>
        <w:pStyle w:val="BodyText"/>
      </w:pPr>
      <w:r>
        <w:rPr>
          <w:vertAlign w:val="subscript"/>
        </w:rPr>
        <w:t xml:space="preserve">Source:</w:t>
      </w:r>
      <w:r>
        <w:rPr>
          <w:vertAlign w:val="subscript"/>
        </w:rPr>
        <w:t xml:space="preserve"> </w:t>
      </w:r>
      <w:hyperlink r:id="rId45">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w:r>
        <w:rPr>
          <w:i/>
          <w:iCs/>
        </w:rPr>
        <w:t xml:space="preserve">X</w:t>
      </w:r>
      <w:r>
        <w:t xml:space="preserve">. As sample size increased, the methods performed comparably with respect to Type II error. Using all covariates or an all covariates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all covariates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9" w:name="fig-panel-2"/>
          <w:p>
            <w:pPr>
              <w:pStyle w:val="Compact"/>
              <w:jc w:val="center"/>
            </w:pPr>
            <w:r>
              <w:drawing>
                <wp:inline>
                  <wp:extent cx="5334000" cy="6400800"/>
                  <wp:effectExtent b="0" l="0" r="0" t="0"/>
                  <wp:docPr descr="" title="" id="47" name="Picture"/>
                  <a:graphic>
                    <a:graphicData uri="http://schemas.openxmlformats.org/drawingml/2006/picture">
                      <pic:pic>
                        <pic:nvPicPr>
                          <pic:cNvPr descr="index_files/figure-docx/notebooks-mak_figures-fig-panel-2-output-1.png" id="48" name="Picture"/>
                          <pic:cNvPicPr>
                            <a:picLocks noChangeArrowheads="1" noChangeAspect="1"/>
                          </pic:cNvPicPr>
                        </pic:nvPicPr>
                        <pic:blipFill>
                          <a:blip r:embed="rId46"/>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9"/>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Figures for Main Manuscript</w:t>
        </w:r>
      </w:hyperlink>
    </w:p>
    <w:bookmarkEnd w:id="51"/>
    <w:bookmarkStart w:id="54"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approaches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w:r>
        <w:rPr>
          <w:i/>
          <w:iCs/>
        </w:rPr>
        <w:t xml:space="preserve">X</w:t>
      </w:r>
      <w:r>
        <w:t xml:space="preserve"> </w:t>
      </w:r>
      <w:r>
        <w:t xml:space="preserve">yielded unbiased parameter estimates, whereas there was slight conservative (under-estimation) bias in the parameter estimates for the data-driven approaches that do not include</w:t>
      </w:r>
      <w:r>
        <w:t xml:space="preserve"> </w:t>
      </w:r>
      <w:r>
        <w:rPr>
          <w:i/>
          <w:iCs/>
        </w:rPr>
        <w:t xml:space="preserve">X</w:t>
      </w:r>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2"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 = 0)</w:t>
                  </w:r>
                </w:p>
              </w:tc>
              <w:tc>
                <w:tcPr/>
                <w:p>
                  <w:pPr>
                    <w:pStyle w:val="Compact"/>
                    <w:jc w:val="right"/>
                    <w:jc w:val="center"/>
                  </w:pPr>
                  <w:r>
                    <w:t xml:space="preserve">b = .2</w:t>
                  </w:r>
                </w:p>
              </w:tc>
              <w:tc>
                <w:tcPr/>
                <w:p>
                  <w:pPr>
                    <w:pStyle w:val="Compact"/>
                    <w:jc w:val="right"/>
                    <w:jc w:val="center"/>
                  </w:pPr>
                  <w:r>
                    <w:t xml:space="preserve">b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bl>
          <w:bookmarkEnd w:id="52"/>
          <w:p/>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Make Tables for Main Manuscript</w:t>
        </w:r>
      </w:hyperlink>
    </w:p>
    <w:bookmarkEnd w:id="54"/>
    <w:bookmarkEnd w:id="55"/>
    <w:bookmarkStart w:id="56"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 X effect. However, this approach had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 X. Additionally, on average Type II error rates were only about 1.5-2%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56"/>
    <w:bookmarkStart w:id="87" w:name="references"/>
    <w:p>
      <w:pPr>
        <w:pStyle w:val="Heading1"/>
      </w:pPr>
      <w:r>
        <w:t xml:space="preserve">References</w:t>
      </w:r>
    </w:p>
    <w:bookmarkStart w:id="86" w:name="refs"/>
    <w:bookmarkStart w:id="58"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57">
        <w:r>
          <w:rPr>
            <w:rStyle w:val="Hyperlink"/>
          </w:rPr>
          <w:t xml:space="preserve">https://doi.org/10.1016/0197-2456(89)90055-x</w:t>
        </w:r>
      </w:hyperlink>
      <w:r>
        <w:t xml:space="preserve">.</w:t>
      </w:r>
    </w:p>
    <w:bookmarkEnd w:id="58"/>
    <w:bookmarkStart w:id="60"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59">
        <w:r>
          <w:rPr>
            <w:rStyle w:val="Hyperlink"/>
          </w:rPr>
          <w:t xml:space="preserve">https://doi.org/10.1038/nrn3475</w:t>
        </w:r>
      </w:hyperlink>
      <w:r>
        <w:t xml:space="preserve">.</w:t>
      </w:r>
    </w:p>
    <w:bookmarkEnd w:id="60"/>
    <w:bookmarkStart w:id="62"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1">
        <w:r>
          <w:rPr>
            <w:rStyle w:val="Hyperlink"/>
          </w:rPr>
          <w:t xml:space="preserve">https://doi.org/10.21231/GNT1-HW21</w:t>
        </w:r>
      </w:hyperlink>
      <w:r>
        <w:t xml:space="preserve">.</w:t>
      </w:r>
    </w:p>
    <w:bookmarkEnd w:id="62"/>
    <w:bookmarkStart w:id="64"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3">
        <w:r>
          <w:rPr>
            <w:rStyle w:val="Hyperlink"/>
          </w:rPr>
          <w:t xml:space="preserve">https://doi.org/10.1037/h0045186</w:t>
        </w:r>
      </w:hyperlink>
      <w:r>
        <w:t xml:space="preserve">.</w:t>
      </w:r>
    </w:p>
    <w:bookmarkEnd w:id="64"/>
    <w:bookmarkStart w:id="65"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65"/>
    <w:bookmarkStart w:id="66"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66"/>
    <w:bookmarkStart w:id="68"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67">
        <w:r>
          <w:rPr>
            <w:rStyle w:val="Hyperlink"/>
          </w:rPr>
          <w:t xml:space="preserve">https://doi.org/10.1186/1471-2288-14-49</w:t>
        </w:r>
      </w:hyperlink>
      <w:r>
        <w:t xml:space="preserve">.</w:t>
      </w:r>
    </w:p>
    <w:bookmarkEnd w:id="68"/>
    <w:bookmarkStart w:id="70"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69">
        <w:r>
          <w:rPr>
            <w:rStyle w:val="Hyperlink"/>
          </w:rPr>
          <w:t xml:space="preserve">https://doi.org/10.1016/j.annepidem.2005.09.007</w:t>
        </w:r>
      </w:hyperlink>
      <w:r>
        <w:t xml:space="preserve">.</w:t>
      </w:r>
    </w:p>
    <w:bookmarkEnd w:id="70"/>
    <w:bookmarkStart w:id="72"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1">
        <w:r>
          <w:rPr>
            <w:rStyle w:val="Hyperlink"/>
          </w:rPr>
          <w:t xml:space="preserve">https://doi.org/10.1016/j.jclinepi.2003.09.014</w:t>
        </w:r>
      </w:hyperlink>
      <w:r>
        <w:t xml:space="preserve">.</w:t>
      </w:r>
    </w:p>
    <w:bookmarkEnd w:id="72"/>
    <w:bookmarkStart w:id="74"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3">
        <w:r>
          <w:rPr>
            <w:rStyle w:val="Hyperlink"/>
          </w:rPr>
          <w:t xml:space="preserve">https://doi.org/10.1371/journal.pmed.0020124</w:t>
        </w:r>
      </w:hyperlink>
      <w:r>
        <w:t xml:space="preserve">.</w:t>
      </w:r>
    </w:p>
    <w:bookmarkEnd w:id="74"/>
    <w:bookmarkStart w:id="76"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5">
        <w:r>
          <w:rPr>
            <w:rStyle w:val="Hyperlink"/>
          </w:rPr>
          <w:t xml:space="preserve">https://doi.org/10.1186/1745-6215-15-139</w:t>
        </w:r>
      </w:hyperlink>
      <w:r>
        <w:t xml:space="preserve">.</w:t>
      </w:r>
    </w:p>
    <w:bookmarkEnd w:id="76"/>
    <w:bookmarkStart w:id="78"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77">
        <w:r>
          <w:rPr>
            <w:rStyle w:val="Hyperlink"/>
          </w:rPr>
          <w:t xml:space="preserve">https://doi.org/10.1080/03610928508828942</w:t>
        </w:r>
      </w:hyperlink>
      <w:r>
        <w:t xml:space="preserve">.</w:t>
      </w:r>
    </w:p>
    <w:bookmarkEnd w:id="78"/>
    <w:bookmarkStart w:id="80"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79">
        <w:r>
          <w:rPr>
            <w:rStyle w:val="Hyperlink"/>
          </w:rPr>
          <w:t xml:space="preserve">https://doi.org/10.1177/0956797611417632</w:t>
        </w:r>
      </w:hyperlink>
      <w:r>
        <w:t xml:space="preserve">.</w:t>
      </w:r>
    </w:p>
    <w:bookmarkEnd w:id="80"/>
    <w:bookmarkStart w:id="82"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1">
        <w:r>
          <w:rPr>
            <w:rStyle w:val="Hyperlink"/>
          </w:rPr>
          <w:t xml:space="preserve">https://doi.org/10.1037/a0033242</w:t>
        </w:r>
      </w:hyperlink>
      <w:r>
        <w:t xml:space="preserve">.</w:t>
      </w:r>
    </w:p>
    <w:bookmarkEnd w:id="82"/>
    <w:bookmarkStart w:id="84"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3">
        <w:r>
          <w:rPr>
            <w:rStyle w:val="Hyperlink"/>
          </w:rPr>
          <w:t xml:space="preserve">https://doi.org/10.1016/j.jclinepi.2014.11.001</w:t>
        </w:r>
      </w:hyperlink>
      <w:r>
        <w:t xml:space="preserve">.</w:t>
      </w:r>
    </w:p>
    <w:bookmarkEnd w:id="84"/>
    <w:bookmarkStart w:id="85"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85"/>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35" Target="media/rId35.png" /><Relationship Type="http://schemas.openxmlformats.org/officeDocument/2006/relationships/hyperlink" Id="rId57" Target="https://doi.org/10.1016/0197-2456(89)90055-x" TargetMode="External" /><Relationship Type="http://schemas.openxmlformats.org/officeDocument/2006/relationships/hyperlink" Id="rId69" Target="https://doi.org/10.1016/j.annepidem.2005.09.007" TargetMode="External" /><Relationship Type="http://schemas.openxmlformats.org/officeDocument/2006/relationships/hyperlink" Id="rId71" Target="https://doi.org/10.1016/j.jclinepi.2003.09.014" TargetMode="External" /><Relationship Type="http://schemas.openxmlformats.org/officeDocument/2006/relationships/hyperlink" Id="rId83" Target="https://doi.org/10.1016/j.jclinepi.2014.11.001" TargetMode="External" /><Relationship Type="http://schemas.openxmlformats.org/officeDocument/2006/relationships/hyperlink" Id="rId81" Target="https://doi.org/10.1037/a0033242" TargetMode="External" /><Relationship Type="http://schemas.openxmlformats.org/officeDocument/2006/relationships/hyperlink" Id="rId63" Target="https://doi.org/10.1037/h0045186" TargetMode="External" /><Relationship Type="http://schemas.openxmlformats.org/officeDocument/2006/relationships/hyperlink" Id="rId59" Target="https://doi.org/10.1038/nrn3475" TargetMode="External" /><Relationship Type="http://schemas.openxmlformats.org/officeDocument/2006/relationships/hyperlink" Id="rId77" Target="https://doi.org/10.1080/03610928508828942" TargetMode="External" /><Relationship Type="http://schemas.openxmlformats.org/officeDocument/2006/relationships/hyperlink" Id="rId79" Target="https://doi.org/10.1177/0956797611417632" TargetMode="External" /><Relationship Type="http://schemas.openxmlformats.org/officeDocument/2006/relationships/hyperlink" Id="rId67" Target="https://doi.org/10.1186/1471-2288-14-49" TargetMode="External" /><Relationship Type="http://schemas.openxmlformats.org/officeDocument/2006/relationships/hyperlink" Id="rId75" Target="https://doi.org/10.1186/1745-6215-15-139" TargetMode="External" /><Relationship Type="http://schemas.openxmlformats.org/officeDocument/2006/relationships/hyperlink" Id="rId73" Target="https://doi.org/10.1371/journal.pmed.0020124" TargetMode="External" /><Relationship Type="http://schemas.openxmlformats.org/officeDocument/2006/relationships/hyperlink" Id="rId61"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4" Target="https://jjcurtin.github.io/study_cov/notebooks\mak_figures-preview.html#cell-fig-bar-1" TargetMode="External" /><Relationship Type="http://schemas.openxmlformats.org/officeDocument/2006/relationships/hyperlink" Id="rId45" Target="https://jjcurtin.github.io/study_cov/notebooks\mak_figures-preview.html#cell-fig-bar-2" TargetMode="External" /><Relationship Type="http://schemas.openxmlformats.org/officeDocument/2006/relationships/hyperlink" Id="rId50" Target="https://jjcurtin.github.io/study_cov/notebooks\mak_figures-preview.html#cell-fig-panel-2" TargetMode="External" /><Relationship Type="http://schemas.openxmlformats.org/officeDocument/2006/relationships/hyperlink" Id="rId3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1016/0197-2456(89)90055-x" TargetMode="External" /><Relationship Type="http://schemas.openxmlformats.org/officeDocument/2006/relationships/hyperlink" Id="rId69" Target="https://doi.org/10.1016/j.annepidem.2005.09.007" TargetMode="External" /><Relationship Type="http://schemas.openxmlformats.org/officeDocument/2006/relationships/hyperlink" Id="rId71" Target="https://doi.org/10.1016/j.jclinepi.2003.09.014" TargetMode="External" /><Relationship Type="http://schemas.openxmlformats.org/officeDocument/2006/relationships/hyperlink" Id="rId83" Target="https://doi.org/10.1016/j.jclinepi.2014.11.001" TargetMode="External" /><Relationship Type="http://schemas.openxmlformats.org/officeDocument/2006/relationships/hyperlink" Id="rId81" Target="https://doi.org/10.1037/a0033242" TargetMode="External" /><Relationship Type="http://schemas.openxmlformats.org/officeDocument/2006/relationships/hyperlink" Id="rId63" Target="https://doi.org/10.1037/h0045186" TargetMode="External" /><Relationship Type="http://schemas.openxmlformats.org/officeDocument/2006/relationships/hyperlink" Id="rId59" Target="https://doi.org/10.1038/nrn3475" TargetMode="External" /><Relationship Type="http://schemas.openxmlformats.org/officeDocument/2006/relationships/hyperlink" Id="rId77" Target="https://doi.org/10.1080/03610928508828942" TargetMode="External" /><Relationship Type="http://schemas.openxmlformats.org/officeDocument/2006/relationships/hyperlink" Id="rId79" Target="https://doi.org/10.1177/0956797611417632" TargetMode="External" /><Relationship Type="http://schemas.openxmlformats.org/officeDocument/2006/relationships/hyperlink" Id="rId67" Target="https://doi.org/10.1186/1471-2288-14-49" TargetMode="External" /><Relationship Type="http://schemas.openxmlformats.org/officeDocument/2006/relationships/hyperlink" Id="rId75" Target="https://doi.org/10.1186/1745-6215-15-139" TargetMode="External" /><Relationship Type="http://schemas.openxmlformats.org/officeDocument/2006/relationships/hyperlink" Id="rId73" Target="https://doi.org/10.1371/journal.pmed.0020124" TargetMode="External" /><Relationship Type="http://schemas.openxmlformats.org/officeDocument/2006/relationships/hyperlink" Id="rId61"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4" Target="https://jjcurtin.github.io/study_cov/notebooks\mak_figures-preview.html#cell-fig-bar-1" TargetMode="External" /><Relationship Type="http://schemas.openxmlformats.org/officeDocument/2006/relationships/hyperlink" Id="rId45" Target="https://jjcurtin.github.io/study_cov/notebooks\mak_figures-preview.html#cell-fig-bar-2" TargetMode="External" /><Relationship Type="http://schemas.openxmlformats.org/officeDocument/2006/relationships/hyperlink" Id="rId50" Target="https://jjcurtin.github.io/study_cov/notebooks\mak_figures-preview.html#cell-fig-panel-2" TargetMode="External" /><Relationship Type="http://schemas.openxmlformats.org/officeDocument/2006/relationships/hyperlink" Id="rId3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2026-03-11T14:58:09Z</dcterms:created>
  <dcterms:modified xsi:type="dcterms:W3CDTF">2026-03-11T14:58:09Z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2026-03-11</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