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23.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 Covariate Selection Approaches for Experimental Research: A Simulation Study</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2026-06-23</w:t>
      </w:r>
    </w:p>
    <w:p>
      <w:pPr>
        <w:pStyle w:val="AbstractTitle"/>
      </w:pPr>
      <w:r>
        <w:t xml:space="preserve">Abstract</w:t>
      </w:r>
    </w:p>
    <w:p>
      <w:pPr>
        <w:pStyle w:val="Abstract"/>
      </w:pPr>
      <w:r>
        <w:t xml:space="preserve">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w:t>
      </w:r>
    </w:p>
    <w:p>
      <w:pPr>
        <w:pStyle w:val="Abstract"/>
      </w:pPr>
      <w:r>
        <w:t xml:space="preser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Hernández et al. 2004)</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(Simmons et al. 2011; Ioannidis 2005; Schelchter and Forsythe 1985)</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20" w:name="methods"/>
    <w:p>
      <w:pPr>
        <w:pStyle w:val="Heading1"/>
      </w:pPr>
      <w:r>
        <w:t xml:space="preserve">Methods</w:t>
      </w:r>
    </w:p>
    <w:bookmarkStart w:id="12"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0"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0"/>
          <w:p/>
        </w:tc>
      </w:tr>
    </w:tbl>
    <w:p>
      <w:pPr>
        <w:pStyle w:val="BodyText"/>
      </w:pPr>
      <w:r>
        <w:rPr>
          <w:vertAlign w:val="subscript"/>
        </w:rPr>
        <w:t xml:space="preserve">Source:</w:t>
      </w:r>
      <w:r>
        <w:rPr>
          <w:vertAlign w:val="subscript"/>
        </w:rPr>
        <w:t xml:space="preserve"> </w:t>
      </w:r>
      <w:hyperlink r:id="rId11">
        <w:r>
          <w:rPr>
            <w:rStyle w:val="Hyperlink"/>
            <w:vertAlign w:val="subscript"/>
          </w:rPr>
          <w:t xml:space="preserve">Make Tables for Main Manuscript</w:t>
        </w:r>
      </w:hyperlink>
    </w:p>
    <w:bookmarkEnd w:id="12"/>
    <w:bookmarkStart w:id="15"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3"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3"/>
          <w:p/>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Make Tables for Main Manuscript</w:t>
        </w:r>
      </w:hyperlink>
    </w:p>
    <w:bookmarkEnd w:id="15"/>
    <w:bookmarkStart w:id="19"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7"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7"/>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8">
        <w:r>
          <w:rPr>
            <w:rStyle w:val="Hyperlink"/>
          </w:rPr>
          <w:t xml:space="preserve">https://osf.io/zh5gn/</w:t>
        </w:r>
      </w:hyperlink>
      <w:r>
        <w:t xml:space="preserve">).</w:t>
      </w:r>
    </w:p>
    <w:bookmarkEnd w:id="19"/>
    <w:bookmarkEnd w:id="20"/>
    <w:bookmarkStart w:id="51" w:name="results"/>
    <w:p>
      <w:pPr>
        <w:pStyle w:val="Heading1"/>
      </w:pPr>
      <w:r>
        <w:t xml:space="preserve">Results</w:t>
      </w:r>
    </w:p>
    <w:bookmarkStart w:id="28"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distribution-bx"/>
          <w:p>
            <w:pPr>
              <w:pStyle w:val="Compact"/>
              <w:jc w:val="center"/>
            </w:pPr>
            <w:r>
              <w:drawing>
                <wp:inline>
                  <wp:extent cx="5334000" cy="6096000"/>
                  <wp:effectExtent b="0" l="0" r="0" t="0"/>
                  <wp:docPr descr="" title="" id="24" name="Picture"/>
                  <a:graphic>
                    <a:graphicData uri="http://schemas.openxmlformats.org/drawingml/2006/picture">
                      <pic:pic>
                        <pic:nvPicPr>
                          <pic:cNvPr descr="index_files/figure-docx/notebooks-mak_figures-fig-distribution-bx-output-1.png" id="25" name="Picture"/>
                          <pic:cNvPicPr>
                            <a:picLocks noChangeArrowheads="1" noChangeAspect="1"/>
                          </pic:cNvPicPr>
                        </pic:nvPicPr>
                        <pic:blipFill>
                          <a:blip r:embed="rId2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8"/>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et al.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End w:id="51"/>
    <w:bookmarkStart w:id="52"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52"/>
    <w:bookmarkStart w:id="53"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53"/>
    <w:bookmarkStart w:id="90" w:name="references"/>
    <w:p>
      <w:pPr>
        <w:pStyle w:val="Heading1"/>
      </w:pPr>
      <w:r>
        <w:t xml:space="preserve">References</w:t>
      </w:r>
    </w:p>
    <w:bookmarkStart w:id="89" w:name="refs"/>
    <w:bookmarkStart w:id="55"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54">
        <w:r>
          <w:rPr>
            <w:rStyle w:val="Hyperlink"/>
          </w:rPr>
          <w:t xml:space="preserve">https://doi.org/10.1038/533452a</w:t>
        </w:r>
      </w:hyperlink>
      <w:r>
        <w:t xml:space="preserve">.</w:t>
      </w:r>
    </w:p>
    <w:bookmarkEnd w:id="55"/>
    <w:bookmarkStart w:id="5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56">
        <w:r>
          <w:rPr>
            <w:rStyle w:val="Hyperlink"/>
          </w:rPr>
          <w:t xml:space="preserve">https://doi.org/10.1177/0956797613499923</w:t>
        </w:r>
      </w:hyperlink>
      <w:r>
        <w:t xml:space="preserve">.</w:t>
      </w:r>
    </w:p>
    <w:bookmarkEnd w:id="57"/>
    <w:bookmarkStart w:id="59" w:name="ref-buttonPowerFailureWhy2013"/>
    <w:p>
      <w:pPr>
        <w:pStyle w:val="Bibliography"/>
      </w:pPr>
      <w:r>
        <w:t xml:space="preserve">Button, Katherine S., John P. A. Ioannidis, Claire Mokrysz, et al.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(US) 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Cohen, Jacob.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Routledge.</w:t>
      </w:r>
    </w:p>
    <w:bookmarkEnd w:id="64"/>
    <w:bookmarkStart w:id="66"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65">
        <w:r>
          <w:rPr>
            <w:rStyle w:val="Hyperlink"/>
          </w:rPr>
          <w:t xml:space="preserve">https://doi.org/10.1371/journal.pone.0010068</w:t>
        </w:r>
      </w:hyperlink>
      <w:r>
        <w:t xml:space="preserve">.</w:t>
      </w:r>
    </w:p>
    <w:bookmarkEnd w:id="66"/>
    <w:bookmarkStart w:id="68"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67">
        <w:r>
          <w:rPr>
            <w:rStyle w:val="Hyperlink"/>
          </w:rPr>
          <w:t xml:space="preserve">https://doi.org/10.1037/a0033407</w:t>
        </w:r>
      </w:hyperlink>
      <w:r>
        <w:t xml:space="preserve">.</w:t>
      </w:r>
    </w:p>
    <w:bookmarkEnd w:id="68"/>
    <w:bookmarkStart w:id="70"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69">
        <w:r>
          <w:rPr>
            <w:rStyle w:val="Hyperlink"/>
          </w:rPr>
          <w:t xml:space="preserve">https://doi.org/10.1016/j.jclinepi.2003.09.014</w:t>
        </w:r>
      </w:hyperlink>
      <w:r>
        <w:t xml:space="preserve">.</w:t>
      </w:r>
    </w:p>
    <w:bookmarkEnd w:id="70"/>
    <w:bookmarkStart w:id="72"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1">
        <w:r>
          <w:rPr>
            <w:rStyle w:val="Hyperlink"/>
          </w:rPr>
          <w:t xml:space="preserve">https://doi.org/10.1371/journal.pmed.0020124</w:t>
        </w:r>
      </w:hyperlink>
      <w:r>
        <w:t xml:space="preserve">.</w:t>
      </w:r>
    </w:p>
    <w:bookmarkEnd w:id="72"/>
    <w:bookmarkStart w:id="74"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3">
        <w:r>
          <w:rPr>
            <w:rStyle w:val="Hyperlink"/>
          </w:rPr>
          <w:t xml:space="preserve">https://doi.org/10.1186/1745-6215-15-139</w:t>
        </w:r>
      </w:hyperlink>
      <w:r>
        <w:t xml:space="preserve">.</w:t>
      </w:r>
    </w:p>
    <w:bookmarkEnd w:id="74"/>
    <w:bookmarkStart w:id="75" w:name="ref-kuhnTidymodelsCollectionPackages2020"/>
    <w:p>
      <w:pPr>
        <w:pStyle w:val="Bibliography"/>
      </w:pPr>
      <w:r>
        <w:t xml:space="preserve">Kuhn, Max, and Hadley Wickham. 2020.</w:t>
      </w:r>
      <w:r>
        <w:t xml:space="preserve"> </w:t>
      </w:r>
      <w:r>
        <w:rPr>
          <w:i/>
          <w:iCs/>
        </w:rPr>
        <w:t xml:space="preserve">Tidymodels: A Collection of Packages for Modeling and Machine Learning Using Tidyverse Principles</w:t>
      </w:r>
      <w:r>
        <w:t xml:space="preserve">.</w:t>
      </w:r>
    </w:p>
    <w:bookmarkEnd w:id="75"/>
    <w:bookmarkStart w:id="77" w:name="Xacb972bec6951688223e59e5436f5358068fdee"/>
    <w:p>
      <w:pPr>
        <w:pStyle w:val="Bibliography"/>
      </w:pPr>
      <w:r>
        <w:t xml:space="preserve">Miller, G A, and J P Chapman. 2001.</w:t>
      </w:r>
      <w:r>
        <w:t xml:space="preserve"> </w:t>
      </w:r>
      <w:r>
        <w:t xml:space="preserve">“</w:t>
      </w:r>
      <w:hyperlink r:id="rId76">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77"/>
    <w:bookmarkStart w:id="78"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78"/>
    <w:bookmarkStart w:id="80"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9">
        <w:r>
          <w:rPr>
            <w:rStyle w:val="Hyperlink"/>
          </w:rPr>
          <w:t xml:space="preserve">https://doi.org/10.1080/03610928508828942</w:t>
        </w:r>
      </w:hyperlink>
      <w:r>
        <w:t xml:space="preserve">.</w:t>
      </w:r>
    </w:p>
    <w:bookmarkEnd w:id="80"/>
    <w:bookmarkStart w:id="82"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1">
        <w:r>
          <w:rPr>
            <w:rStyle w:val="Hyperlink"/>
          </w:rPr>
          <w:t xml:space="preserve">https://doi.org/10.1177/0956797611417632</w:t>
        </w:r>
      </w:hyperlink>
      <w:r>
        <w:t xml:space="preserve">.</w:t>
      </w:r>
    </w:p>
    <w:bookmarkEnd w:id="82"/>
    <w:bookmarkStart w:id="84"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3">
        <w:r>
          <w:rPr>
            <w:rStyle w:val="Hyperlink"/>
          </w:rPr>
          <w:t xml:space="preserve">https://doi.org/10.1037/a0033242</w:t>
        </w:r>
      </w:hyperlink>
      <w:r>
        <w:t xml:space="preserve">.</w:t>
      </w:r>
    </w:p>
    <w:bookmarkEnd w:id="84"/>
    <w:bookmarkStart w:id="86"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5">
        <w:r>
          <w:rPr>
            <w:rStyle w:val="Hyperlink"/>
          </w:rPr>
          <w:t xml:space="preserve">https://doi.org/10.1016/j.jclinepi.2014.11.001</w:t>
        </w:r>
      </w:hyperlink>
      <w:r>
        <w:t xml:space="preserve">.</w:t>
      </w:r>
    </w:p>
    <w:bookmarkEnd w:id="86"/>
    <w:bookmarkStart w:id="88"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87">
        <w:r>
          <w:rPr>
            <w:rStyle w:val="Hyperlink"/>
          </w:rPr>
          <w:t xml:space="preserve">https://doi.org/10.1111/j.2517-6161.1996.tb02080.x</w:t>
        </w:r>
      </w:hyperlink>
      <w:r>
        <w:t xml:space="preserve">.</w:t>
      </w:r>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2026-06-23T16:24:41Z</dcterms:created>
  <dcterms:modified xsi:type="dcterms:W3CDTF">2026-06-23T16:24:41Z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2026-06-23</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