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2026-03-09</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bivariate regression models that screen each covariate in its own model, multiple regression models that screen all covariates in a single model, and LASSO [INSERT REF] models that screen all covariates in a single model). Across these modeling approaches, we also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28"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Single covariate linear model without X</w:t>
                  </w:r>
                </w:p>
              </w:tc>
              <w:tc>
                <w:tcPr/>
                <w:p>
                  <w:pPr>
                    <w:pStyle w:val="Compact"/>
                    <w:jc w:val="left"/>
                    <w:jc w:val="center"/>
                  </w:pPr>
                  <w:r>
                    <w:t xml:space="preserve">A linear model that regresses Y on a single covariate. Covariates are considered one at a time and included in the final model if they yield a significant effect on Y (p &lt; .05).</w:t>
                  </w:r>
                </w:p>
              </w:tc>
            </w:tr>
            <w:tr>
              <w:tc>
                <w:tcPr/>
                <w:p>
                  <w:pPr>
                    <w:pStyle w:val="Compact"/>
                    <w:jc w:val="left"/>
                    <w:jc w:val="center"/>
                  </w:pPr>
                  <w:r>
                    <w:t xml:space="preserve">Single covariate linear model with X</w:t>
                  </w:r>
                </w:p>
              </w:tc>
              <w:tc>
                <w:tcPr/>
                <w:p>
                  <w:pPr>
                    <w:pStyle w:val="Compact"/>
                    <w:jc w:val="left"/>
                    <w:jc w:val="center"/>
                  </w:pPr>
                  <w:r>
                    <w:t xml:space="preserve">A linear model that regresses Y on a single covariate and X. Covariates are considered one at a time and included in the final model if they yield a significant effect on Y (p &lt; .05).</w:t>
                  </w:r>
                </w:p>
              </w:tc>
            </w:tr>
            <w:tr>
              <w:tc>
                <w:tcPr/>
                <w:p>
                  <w:pPr>
                    <w:pStyle w:val="Compact"/>
                    <w:jc w:val="left"/>
                    <w:jc w:val="center"/>
                  </w:pPr>
                  <w:r>
                    <w:t xml:space="preserve">All covariates linear model without X</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All covariates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All covariates LASSO without X</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All covariates 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2"/>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2"/>
        </w:numPr>
      </w:pPr>
      <w:r>
        <w:t xml:space="preserve">The strength of the relationship between the covariates and Y. All non-zero covariates (see characteristic 4) were given a moderate or large relationship to the outcome Y (i.e., correlations of 0.3 and 0.5), respectively. Since these covariates are all correlated with the outcome, it is likely they are also correlated with each other. Therefore, we assigned a moderate 0.3 correlation for all relationships among these non-zero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0, 0.2, 0.5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0.2, 0.5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independent variable (</w:t>
      </w:r>
      <w:r>
        <w:rPr>
          <w:i/>
          <w:iCs/>
        </w:rPr>
        <w:t xml:space="preserve">X</w:t>
      </w:r>
      <w:r>
        <w:t xml:space="preserve">), varying numbers of quantitative covariates (</w:t>
      </w:r>
      <w:r>
        <w:rPr>
          <w:i/>
          <w:iCs/>
        </w:rPr>
        <w:t xml:space="preserve">C</w:t>
      </w:r>
      <w:r>
        <w:t xml:space="preserve">), where a subset are correlated with each other and with the outcome (see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approaches on each simulated dataset. From each model we saved the parameter estimate for</w:t>
      </w:r>
      <w:r>
        <w:t xml:space="preserve"> </w:t>
      </w:r>
      <w:r>
        <w:rPr>
          <w:i/>
          <w:iCs/>
        </w:rPr>
        <w:t xml:space="preserve">X</w:t>
      </w:r>
      <w:r>
        <w:t xml:space="preserve">, the p-value for its statistical test against 0, and the conclusion (reject or fail to reject) using alpha = 0.05.</w:t>
      </w:r>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0.2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0.2, and 0.5). Detailed tables of range and average error rates for each research context and true and false positive rates for covariates are available in the supplement.</w:t>
      </w:r>
      <w:r>
        <w:t xml:space="preserve"> </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w:r>
        <w:rPr>
          <w:i/>
          <w:iCs/>
        </w:rPr>
        <w:t xml:space="preserve">X</w:t>
      </w:r>
      <w:r>
        <w:t xml:space="preserve"> </w:t>
      </w:r>
      <w:r>
        <w:t xml:space="preserve">in the screening model displayed average Type I error rates of exactly .05. The data-driven approaches that did include</w:t>
      </w:r>
      <w:r>
        <w:t xml:space="preserve"> </w:t>
      </w:r>
      <w:r>
        <w:rPr>
          <w:i/>
          <w:iCs/>
        </w:rPr>
        <w:t xml:space="preserve">X</w:t>
      </w:r>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w:r>
        <w:rPr>
          <w:i/>
          <w:iCs/>
        </w:rPr>
        <w:t xml:space="preserve">Y</w:t>
      </w:r>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w:r>
        <w:rPr>
          <w:i/>
          <w:iCs/>
        </w:rPr>
        <w:t xml:space="preserve">Y</w:t>
      </w:r>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w:r>
        <w:rPr>
          <w:i/>
          <w:iCs/>
        </w:rPr>
        <w:t xml:space="preserve">X</w:t>
      </w:r>
      <w:r>
        <w:t xml:space="preserve">. Among the data driven approaches that did include</w:t>
      </w:r>
      <w:r>
        <w:t xml:space="preserve"> </w:t>
      </w:r>
      <w:r>
        <w:rPr>
          <w:i/>
          <w:iCs/>
        </w:rPr>
        <w:t xml:space="preserve">X</w:t>
      </w:r>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 Y appears to have any systematic impact on the Type I error rates for the data-driven approaches that included</w:t>
      </w:r>
      <w:r>
        <w:t xml:space="preserve"> </w:t>
      </w:r>
      <w:r>
        <w:rPr>
          <w:i/>
          <w:iCs/>
        </w:rPr>
        <w:t xml:space="preserve">X</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Given that we set the standard deviation of</w:t>
      </w:r>
      <w:r>
        <w:t xml:space="preserve"> </w:t>
      </w:r>
      <w:r>
        <w:rPr>
          <w:i/>
          <w:iCs/>
        </w:rPr>
        <w:t xml:space="preserve">Y</w:t>
      </w:r>
      <w:r>
        <w:t xml:space="preserve"> </w:t>
      </w:r>
      <w:r>
        <w:t xml:space="preserve">to equal 1, these represented contexts where</w:t>
      </w:r>
      <w:r>
        <w:t xml:space="preserve"> </w:t>
      </w:r>
      <w:r>
        <w:rPr>
          <w:i/>
          <w:iCs/>
        </w:rPr>
        <w:t xml:space="preserve">X</w:t>
      </w:r>
      <w:r>
        <w:t xml:space="preserve"> </w:t>
      </w:r>
      <w:r>
        <w:t xml:space="preserve">had a small (Cohen’s d = .2) or moderate (Cohen’s d = .5) effect on</w:t>
      </w:r>
      <w:r>
        <w:t xml:space="preserve"> </w:t>
      </w:r>
      <w:r>
        <w:rPr>
          <w:i/>
          <w:iCs/>
        </w:rPr>
        <w:t xml:space="preserve">Y</w:t>
      </w:r>
      <w:r>
        <w:t xml:space="preserve">. In these simulations, non-significant effects for</w:t>
      </w:r>
      <w:r>
        <w:t xml:space="preserve"> </w:t>
      </w:r>
      <w:r>
        <w:rPr>
          <w:i/>
          <w:iCs/>
        </w:rPr>
        <w:t xml:space="preserve">X</w:t>
      </w:r>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w:r>
        <w:rPr>
          <w:i/>
          <w:iCs/>
        </w:rPr>
        <w:t xml:space="preserve">X</w:t>
      </w:r>
      <w:r>
        <w:t xml:space="preserve"> </w:t>
      </w:r>
      <w:r>
        <w:t xml:space="preserve">displayed modestly lower average Type II error rates than the comparable approach that did not include</w:t>
      </w:r>
      <w:r>
        <w:t xml:space="preserve"> </w:t>
      </w:r>
      <w:r>
        <w:rPr>
          <w:i/>
          <w:iCs/>
        </w:rPr>
        <w:t xml:space="preserve">X</w:t>
      </w:r>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approaches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w:r>
        <w:rPr>
          <w:i/>
          <w:iCs/>
        </w:rPr>
        <w:t xml:space="preserve">X</w:t>
      </w:r>
      <w:r>
        <w:t xml:space="preserve"> </w:t>
      </w:r>
      <w:r>
        <w:t xml:space="preserve">yielded unbiased parameter estimates, whereas there was slight conservative (under-estimation) bias in the parameter estimates for the data-driven approaches that do not include</w:t>
      </w:r>
      <w:r>
        <w:t xml:space="preserve"> </w:t>
      </w:r>
      <w:r>
        <w:rPr>
          <w:i/>
          <w:iCs/>
        </w:rPr>
        <w:t xml:space="preserve">X</w:t>
      </w:r>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 = 0)</w:t>
                  </w:r>
                </w:p>
              </w:tc>
              <w:tc>
                <w:tcPr/>
                <w:p>
                  <w:pPr>
                    <w:pStyle w:val="Compact"/>
                    <w:jc w:val="right"/>
                    <w:jc w:val="center"/>
                  </w:pPr>
                  <w:r>
                    <w:t xml:space="preserve">b = .2</w:t>
                  </w:r>
                </w:p>
              </w:tc>
              <w:tc>
                <w:tcPr/>
                <w:p>
                  <w:pPr>
                    <w:pStyle w:val="Compact"/>
                    <w:jc w:val="right"/>
                    <w:jc w:val="center"/>
                  </w:pPr>
                  <w:r>
                    <w:t xml:space="preserve">b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 X effect. However, this approach had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 X. Additionally, on average Type II error rates were only about 1.5-2%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2026-03-11T00:53:46Z</dcterms:created>
  <dcterms:modified xsi:type="dcterms:W3CDTF">2026-03-11T00:53:46Z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2026-03-09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