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2025-12-03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 These concerns have led to a replication crisis and have prompted increased caution and consideration around researcher decisions in statistical tests.</w:t>
      </w:r>
      <w:r>
        <w:t xml:space="preserve"> </w:t>
      </w:r>
      <w:r>
        <w:t xml:space="preserve"> </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contexts. These contexts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context.</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variables designed to mimic varying research contexts that psychology researchers might be working in. We crossed all levels of each variable to create a total of 540 unique research contexts.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“good”</w:t>
      </w:r>
      <w:r>
        <w:t xml:space="preserve"> </w:t>
      </w:r>
      <w:r>
        <w:t xml:space="preserve">covariates. We used varying proportions of good covariates across research contexts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0.3,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2025-12-03T19:55:32Z</dcterms:created>
  <dcterms:modified xsi:type="dcterms:W3CDTF">2025-12-03T19:55:32Z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