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Kendra</w:t>
      </w:r>
      <w:r>
        <w:t xml:space="preserve"> </w:t>
      </w:r>
      <w:r>
        <w:t xml:space="preserve">Wyant</w:t>
      </w:r>
    </w:p>
    <w:p>
      <w:pPr>
        <w:pStyle w:val="Author"/>
      </w:pPr>
      <w:r>
        <w:t xml:space="preserve">Lauren</w:t>
      </w:r>
      <w:r>
        <w:t xml:space="preserve"> </w:t>
      </w:r>
      <w:r>
        <w:t xml:space="preserve">Khoury</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2025-11-19</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 fold increase from the 4 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 higher Type II error rate compared to the other methods. This is not surprising given that adding additional variables related to the outcome will account for some variance in that outcome thereby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is a reasonable option. Our simulated models showed consistent average Type I error rates of .05 and unbiased parameter estimates. Additionally, on average Type II error rates (mean=24.0%, range: .01%-77.3%) were only 1% higher than the 6 data-driven selection methods (mean=23%, range: .01%-72.0%)</w:t>
      </w:r>
      <w:r>
        <w:t xml:space="preserve">. This method is easiest because it eliminates the need for selection. However, in certain contexts, such as with small sample sizes or large numbers of covariates this difference is no longer trivial, with some data-driven selection methods yielding Type II error rates up to 9% lower. These findings are concerning in that it is not uncommon in psychological research to have 20+ covariates available. Moreover, with the cost of running an experimental study some researchers may be confined to small sample sizes or may not want to risk leaving any power to detect an effect on the table regardless. Hence the importance of identifying a rigorous data-driven covariate selection method.</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the other data-driven methods with regard to Type I and Type II error and bias.</w:t>
      </w:r>
    </w:p>
    <w:p>
      <w:pPr>
        <w:pStyle w:val="BodyText"/>
      </w:pPr>
      <w:r>
        <w:t xml:space="preserve">The absolute best method for Type II error is Lasso with</w:t>
      </w:r>
      <w:r>
        <w:t xml:space="preserve"> </w:t>
      </w:r>
      <w:r>
        <w:rPr>
          <w:i/>
          <w:iCs/>
        </w:rPr>
        <w:t xml:space="preserve">X</w:t>
      </w:r>
      <w:r>
        <w:t xml:space="preserve"> </w:t>
      </w:r>
      <w:r>
        <w:t xml:space="preserve">included in the model, but it is complicated.</w:t>
      </w:r>
    </w:p>
    <w:p>
      <w:pPr>
        <w:pStyle w:val="BodyText"/>
      </w:pPr>
      <w:r>
        <w:t xml:space="preserve">Alternatively, the simplest single covariate linear models that could be run as a table of correlation or partial correlations are easy to do and almost as good as Lasso with regard to Type I error, Type II error, and bias.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w:t>
      </w:r>
    </w:p>
    <w:p>
      <w:pPr>
        <w:pStyle w:val="BodyText"/>
      </w:pPr>
      <w:r>
        <w:t xml:space="preserve">In this study, we did not address the use of covariates for statistically controlling confounds. That is including variables related to both the focal variable and the outcome to control for its effect.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We plan to demonstrate this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2025-11-19T21:03:42Z</dcterms:created>
  <dcterms:modified xsi:type="dcterms:W3CDTF">2025-11-19T21:03:42Z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