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5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2026-03-14</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w:t>
      </w:r>
      <w:r>
        <w:t xml:space="preserve"> </w:t>
      </w:r>
      <w:r>
        <w:rPr>
          <w:i/>
          <w:iCs/>
        </w:rPr>
        <w:t xml:space="preserve">p</w:t>
      </w:r>
      <w:r>
        <w:t xml:space="preserve">-value for the test of their focal IV.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candidate data-driven approaches to select an optimal set of covariates when testing the effect of a focal manipulated IV. For each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 Across these screening models, we consider three modeling approaches (i.e., regression models that screen each covariate in its own model, regression models that screen all covariates in a single model, and LASSO</w:t>
      </w:r>
      <w:r>
        <w:t xml:space="preserve"> </w:t>
      </w:r>
      <w:r>
        <w:t xml:space="preserve">(Tibshirani 1996)</w:t>
      </w:r>
      <w:r>
        <w:t xml:space="preserve"> </w:t>
      </w:r>
      <w:r>
        <w:t xml:space="preserve">models that screen all covariates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w:t>
      </w:r>
      <w:r>
        <w:t xml:space="preserve"> </w:t>
      </w:r>
      <w:r>
        <w:rPr>
          <w:i/>
          <w:iCs/>
        </w:rPr>
        <w:t xml:space="preserve">p</w:t>
      </w:r>
      <w:r>
        <w:t xml:space="preserve">-hacking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w:t>
      </w:r>
      <w:r>
        <w:rPr>
          <w:i/>
          <w:iCs/>
        </w:rPr>
        <w:t xml:space="preserve">p</w:t>
      </w:r>
      <w:r>
        <w:t xml:space="preserve">-hacking,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general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w:t>
      </w:r>
      <w:r>
        <w:t xml:space="preserve"> </w:t>
      </w:r>
      <w:r>
        <w:rPr>
          <w:i/>
          <w:iCs/>
        </w:rPr>
        <w:t xml:space="preserve">p</w:t>
      </w:r>
      <w:r>
        <w:t xml:space="preserve">-value for that covariate was less than 0.05 in the screening model that evaluated it.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w:t>
      </w:r>
      <w:r>
        <w:rPr>
          <w:i/>
          <w:iCs/>
        </w:rPr>
        <w:t xml:space="preserve">p</w:t>
      </w:r>
      <w:r>
        <w:t xml:space="preserve">-hacking) and two a priori selection approaches that did not use the data to screen and select covariates. The</w:t>
      </w:r>
      <w:r>
        <w:t xml:space="preserve"> </w:t>
      </w:r>
      <w:r>
        <w:rPr>
          <w:i/>
          <w:iCs/>
        </w:rPr>
        <w:t xml:space="preserve">p</w:t>
      </w:r>
      <w:r>
        <w:t xml:space="preserve">-hacking approach used separate screening models for each covariate and each of these models also included</w:t>
      </w:r>
      <w:r>
        <w:t xml:space="preserve"> </w:t>
      </w:r>
      <m:oMath>
        <m:r>
          <m:t>X</m:t>
        </m:r>
      </m:oMath>
      <w:r>
        <w:t xml:space="preserve">. Covariates were selected to be included in the primary analysis if the</w:t>
      </w:r>
      <w:r>
        <w:t xml:space="preserve"> </w:t>
      </w:r>
      <w:r>
        <w:rPr>
          <w:i/>
          <w:iCs/>
        </w:rPr>
        <w:t xml:space="preserve">p</w:t>
      </w:r>
      <w:r>
        <w:t xml:space="preserve">-value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 (</w:t>
      </w:r>
      <m:oMath>
        <m:sSub>
          <m:e>
            <m:r>
              <m:t>β</m:t>
            </m:r>
          </m:e>
          <m:sub>
            <m:r>
              <m:t>x</m:t>
            </m:r>
          </m:sub>
        </m:sSub>
      </m:oMath>
      <w:r>
        <w:rPr>
          <w:b/>
          <w:bCs/>
        </w:rPr>
        <w:t xml:space="preserve">)</w:t>
      </w:r>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 (</w:t>
      </w:r>
      <m:oMath>
        <m:r>
          <m:t>N</m:t>
        </m:r>
      </m:oMath>
      <w:r>
        <w:rPr>
          <w:b/>
          <w:bCs/>
        </w:rPr>
        <w:t xml:space="preserve">)</w:t>
      </w:r>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 (</w:t>
      </w:r>
      <m:oMath>
        <m:sSub>
          <m:e>
            <m:r>
              <m:t>N</m:t>
            </m:r>
          </m:e>
          <m:sub>
            <m:r>
              <m:t>c</m:t>
            </m:r>
            <m:r>
              <m:t>o</m:t>
            </m:r>
            <m:r>
              <m:t>v</m:t>
            </m:r>
          </m:sub>
        </m:sSub>
      </m:oMath>
      <w:r>
        <w:rPr>
          <w:b/>
          <w:bCs/>
        </w:rPr>
        <w:t xml:space="preserve">)</w:t>
      </w:r>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 (</w:t>
      </w:r>
      <m:oMath>
        <m:sSub>
          <m:e>
            <m:r>
              <m:rPr>
                <m:sty m:val="p"/>
              </m:rPr>
              <m:t>%</m:t>
            </m:r>
          </m:e>
          <m:sub>
            <m:r>
              <m:t>c</m:t>
            </m:r>
            <m:r>
              <m:t>o</m:t>
            </m:r>
            <m:r>
              <m:t>v</m:t>
            </m:r>
          </m:sub>
        </m:sSub>
      </m:oMath>
      <w:r>
        <w:rPr>
          <w:b/>
          <w:bCs/>
        </w:rPr>
        <w:t xml:space="preserve">)</w:t>
      </w:r>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rPr>
          <w:b/>
          <w:bCs/>
        </w:rPr>
        <w:t xml:space="preserve"> </w:t>
      </w:r>
      <w:r>
        <w:rPr>
          <w:b/>
          <w:bCs/>
        </w:rPr>
        <w:t xml:space="preserve">(</w:t>
      </w:r>
      <m:oMath>
        <m:sSub>
          <m:e>
            <m:r>
              <m:t>r</m:t>
            </m:r>
          </m:e>
          <m:sub>
            <m:r>
              <m:t>c</m:t>
            </m:r>
            <m:r>
              <m:t>o</m:t>
            </m:r>
            <m:r>
              <m:t>v</m:t>
            </m:r>
          </m:sub>
        </m:sSub>
      </m:oMath>
      <w:r>
        <w:rPr>
          <w:b/>
          <w:bCs/>
        </w:rPr>
        <w:t xml:space="preserve">)</w:t>
      </w:r>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independent variable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independent variable (</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We also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detailed dashboard of average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42"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average Type I error rates of exactly .05. The data-driven approaches that did include</w:t>
      </w:r>
      <w:r>
        <w:t xml:space="preserve"> </w:t>
      </w:r>
      <m:oMath>
        <m:r>
          <m:t>X</m:t>
        </m:r>
      </m:oMath>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5" w:name="fig-bar-1"/>
          <w:p>
            <w:pPr>
              <w:pStyle w:val="Compact"/>
              <w:jc w:val="center"/>
            </w:pPr>
            <w:r>
              <w:drawing>
                <wp:inline>
                  <wp:extent cx="5334000" cy="3048000"/>
                  <wp:effectExtent b="0" l="0" r="0" t="0"/>
                  <wp:docPr descr="" title="" id="33" name="Picture"/>
                  <a:graphic>
                    <a:graphicData uri="http://schemas.openxmlformats.org/drawingml/2006/picture">
                      <pic:pic>
                        <pic:nvPicPr>
                          <pic:cNvPr descr="index_files/figure-docx/notebooks-mak_figures-fig-bar-1-output-1.png" id="34" name="Picture"/>
                          <pic:cNvPicPr>
                            <a:picLocks noChangeArrowheads="1" noChangeAspect="1"/>
                          </pic:cNvPicPr>
                        </pic:nvPicPr>
                        <pic:blipFill>
                          <a:blip r:embed="rId3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w:t>
      </w:r>
      <w:r>
        <w:t xml:space="preserve"> </w:t>
      </w:r>
      <w:r>
        <w:rPr>
          <w:i/>
          <w:iCs/>
        </w:rPr>
        <w:t xml:space="preserve">p</w:t>
      </w:r>
      <w:r>
        <w:t xml:space="preserve">-hacking approach was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w:t>
      </w:r>
      <w:r>
        <w:t xml:space="preserve"> </w:t>
      </w:r>
      <w:r>
        <w:rPr>
          <w:i/>
          <w:iCs/>
        </w:rPr>
        <w:t xml:space="preserve">p</w:t>
      </w:r>
      <w:r>
        <w:t xml:space="preserve">-hacking approach, the Type I error rates remained constant at .05 across all research context dimensions for the a prior approaches and the data-driven approaches that did not include</w:t>
      </w:r>
      <w:r>
        <w:t xml:space="preserve"> </w:t>
      </w:r>
      <m:oMath>
        <m:r>
          <m:t>X</m:t>
        </m:r>
      </m:oMath>
      <w:r>
        <w:t xml:space="preserve">. Among the data 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w:t>
      </w:r>
      <w:r>
        <w:t xml:space="preserve"> </w:t>
      </w:r>
      <m:oMath>
        <m:r>
          <m:t>Y</m:t>
        </m:r>
      </m:oMath>
      <w:r>
        <w:t xml:space="preserve"> </w:t>
      </w:r>
      <w:r>
        <w:t xml:space="preserve">appears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0" w:name="fig-type1-panel"/>
          <w:p>
            <w:pPr>
              <w:pStyle w:val="Compact"/>
              <w:jc w:val="center"/>
            </w:pPr>
            <w:r>
              <w:drawing>
                <wp:inline>
                  <wp:extent cx="5334000" cy="4000499"/>
                  <wp:effectExtent b="0" l="0" r="0" t="0"/>
                  <wp:docPr descr="" title="" id="38" name="Picture"/>
                  <a:graphic>
                    <a:graphicData uri="http://schemas.openxmlformats.org/drawingml/2006/picture">
                      <pic:pic>
                        <pic:nvPicPr>
                          <pic:cNvPr descr="index_files/figure-docx/notebooks-mak_figures-fig-type1-panel-output-1.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Figures for Main Manuscript</w:t>
        </w:r>
      </w:hyperlink>
    </w:p>
    <w:bookmarkEnd w:id="42"/>
    <w:bookmarkStart w:id="53" w:name="type-ii-error"/>
    <w:p>
      <w:pPr>
        <w:pStyle w:val="Heading2"/>
      </w:pPr>
      <w:r>
        <w:t xml:space="preserve">Type II Error</w:t>
      </w:r>
    </w:p>
    <w:p>
      <w:pPr>
        <w:pStyle w:val="FirstParagraph"/>
      </w:pPr>
      <w:r>
        <w:t xml:space="preserve">We simulated datasets with two possible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.2) or moderate (Cohen’s d = .5)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average Type II error rates than the comparable approach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6" w:name="fig-bar-2"/>
          <w:p>
            <w:pPr>
              <w:pStyle w:val="Compact"/>
              <w:jc w:val="center"/>
            </w:pPr>
            <w:r>
              <w:drawing>
                <wp:inline>
                  <wp:extent cx="5334000" cy="3048000"/>
                  <wp:effectExtent b="0" l="0" r="0" t="0"/>
                  <wp:docPr descr="" title="" id="44" name="Picture"/>
                  <a:graphic>
                    <a:graphicData uri="http://schemas.openxmlformats.org/drawingml/2006/picture">
                      <pic:pic>
                        <pic:nvPicPr>
                          <pic:cNvPr descr="index_files/figure-docx/notebooks-mak_figures-fig-bar-2-output-1.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m:oMath>
        <m:r>
          <m:t>X</m:t>
        </m:r>
      </m:oMath>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m:oMath>
        <m:r>
          <m:t>X</m:t>
        </m:r>
      </m:oMath>
      <w:r>
        <w:t xml:space="preserve">. As sample size increased, the methods performed comparably with respect to Type II error. Using all covariates or an all covariates linear model without</w:t>
      </w:r>
      <w:r>
        <w:t xml:space="preserve"> </w:t>
      </w:r>
      <m:oMath>
        <m:r>
          <m:t>X</m:t>
        </m:r>
      </m:oMath>
      <w:r>
        <w:t xml:space="preserve"> </w:t>
      </w:r>
      <w:r>
        <w:t xml:space="preserve">for selection produced higher Type II error rates compared to other methods when there was a larger number of covariates available. The all covariates linear model without</w:t>
      </w:r>
      <w:r>
        <w:t xml:space="preserve"> </w:t>
      </w:r>
      <m:oMath>
        <m:r>
          <m:t>X</m:t>
        </m:r>
      </m:oMath>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1" w:name="fig-panel-2"/>
          <w:p>
            <w:pPr>
              <w:pStyle w:val="Compact"/>
              <w:jc w:val="center"/>
            </w:pPr>
            <w:r>
              <w:drawing>
                <wp:inline>
                  <wp:extent cx="5334000" cy="6400800"/>
                  <wp:effectExtent b="0" l="0" r="0" t="0"/>
                  <wp:docPr descr="" title="" id="49" name="Picture"/>
                  <a:graphic>
                    <a:graphicData uri="http://schemas.openxmlformats.org/drawingml/2006/picture">
                      <pic:pic>
                        <pic:nvPicPr>
                          <pic:cNvPr descr="index_files/figure-docx/notebooks-mak_figures-fig-panel-2-output-1.png" id="50" name="Picture"/>
                          <pic:cNvPicPr>
                            <a:picLocks noChangeArrowheads="1" noChangeAspect="1"/>
                          </pic:cNvPicPr>
                        </pic:nvPicPr>
                        <pic:blipFill>
                          <a:blip r:embed="rId4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 for Main Manuscript</w:t>
        </w:r>
      </w:hyperlink>
    </w:p>
    <w:bookmarkEnd w:id="53"/>
    <w:bookmarkStart w:id="61"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m:oMath>
        <m:r>
          <m:t>X</m:t>
        </m:r>
      </m:oMath>
      <w:r>
        <w:t xml:space="preserve"> </w:t>
      </w:r>
      <w:r>
        <w:t xml:space="preserve">for all approaches separately by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w:t>
      </w:r>
      <w:r>
        <w:t xml:space="preserve"> </w:t>
      </w:r>
      <w:r>
        <w:rPr>
          <w:i/>
          <w:iCs/>
        </w:rPr>
        <w:t xml:space="preserve">p</w:t>
      </w:r>
      <w:r>
        <w:t xml:space="preserve">-hacking approach was distorted (bi-modal). When there is a true non-zero effect, the a priori approaches and the data-driven approaches that include</w:t>
      </w:r>
      <w:r>
        <w:t xml:space="preserve"> </w:t>
      </w:r>
      <m:oMath>
        <m:r>
          <m:t>X</m:t>
        </m:r>
      </m:oMath>
      <w:r>
        <w:t xml:space="preserve"> </w:t>
      </w:r>
      <w:r>
        <w:t xml:space="preserve">yielded unbiased parameter estimates, whereas there was slight conservative (under-estimation) bias in the parameter estimates for the data-driven approaches that do not include</w:t>
      </w:r>
      <w:r>
        <w:t xml:space="preserve"> </w:t>
      </w:r>
      <m:oMath>
        <m:r>
          <m:t>X</m:t>
        </m:r>
      </m:oMath>
      <w:r>
        <w:t xml:space="preserve">. In contrast,</w:t>
      </w:r>
      <w:r>
        <w:t xml:space="preserve"> </w:t>
      </w:r>
      <w:r>
        <w:rPr>
          <w:i/>
          <w:iCs/>
        </w:rPr>
        <w:t xml:space="preserve">p</w:t>
      </w:r>
      <w:r>
        <w:t xml:space="preserve">-hacking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4"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bl>
          <w:bookmarkEnd w:id="54"/>
          <w:p/>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59" w:name="fig-distribution-bx"/>
          <w:p>
            <w:pPr>
              <w:pStyle w:val="Compact"/>
              <w:jc w:val="center"/>
            </w:pPr>
            <w:r>
              <w:drawing>
                <wp:inline>
                  <wp:extent cx="5334000" cy="6096000"/>
                  <wp:effectExtent b="0" l="0" r="0" t="0"/>
                  <wp:docPr descr="" title="" id="57" name="Picture"/>
                  <a:graphic>
                    <a:graphicData uri="http://schemas.openxmlformats.org/drawingml/2006/picture">
                      <pic:pic>
                        <pic:nvPicPr>
                          <pic:cNvPr descr="index_files/figure-docx/notebooks-mak_figures-fig-distribution-bx-output-1.png" id="58" name="Picture"/>
                          <pic:cNvPicPr>
                            <a:picLocks noChangeArrowheads="1" noChangeAspect="1"/>
                          </pic:cNvPicPr>
                        </pic:nvPicPr>
                        <pic:blipFill>
                          <a:blip r:embed="rId5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w:t>
      </w:r>
      <w:r>
        <w:t xml:space="preserve"> </w:t>
      </w:r>
      <w:r>
        <w:rPr>
          <w:i/>
          <w:iCs/>
        </w:rPr>
        <w:t xml:space="preserve">p</w:t>
      </w:r>
      <w:r>
        <w:t xml:space="preserve">-hacking.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w:t>
      </w:r>
      <w:r>
        <w:t xml:space="preserve"> </w:t>
      </w:r>
      <m:oMath>
        <m:r>
          <m:t>X</m:t>
        </m:r>
      </m:oMath>
      <w:r>
        <w:t xml:space="preserve"> </w:t>
      </w:r>
      <w:r>
        <w:t xml:space="preserve">effect. However, this approach had a meaningfully higher Type II error rate compared to the other methods. This is not surprising. Adding covariates correlated with the outcome and uncorrelated with</w:t>
      </w:r>
      <w:r>
        <w:t xml:space="preserve"> </w:t>
      </w:r>
      <m:oMath>
        <m:r>
          <m:t>X</m:t>
        </m:r>
      </m:oMath>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w:t>
      </w:r>
      <w:r>
        <w:t xml:space="preserve"> </w:t>
      </w:r>
      <m:oMath>
        <m:r>
          <m:t>X</m:t>
        </m:r>
      </m:oMath>
      <w:r>
        <w:t xml:space="preserve">. Additionally, on average Type II error rates were only about 1.5-2% higher than some of the best performing data-driven selection methods (i.e., all covariates LASSO with</w:t>
      </w:r>
      <w:r>
        <w:t xml:space="preserve"> </w:t>
      </w:r>
      <m:oMath>
        <m:r>
          <m:t>X</m:t>
        </m:r>
      </m:oMath>
      <w:r>
        <w:t xml:space="preserve"> </w:t>
      </w:r>
      <w:r>
        <w:t xml:space="preserve">and single covariate linear model with</w:t>
      </w:r>
      <w:r>
        <w:t xml:space="preserve"> </w:t>
      </w:r>
      <m:oMath>
        <m:r>
          <m:t>X</m:t>
        </m:r>
      </m:oMath>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m:oMath>
        <m:r>
          <m:t>X</m:t>
        </m:r>
      </m:oMath>
      <w:r>
        <w:t xml:space="preserve">, in the model they produced biased parameter estimates. This bias results from the models favoring selecting covariates that are correlated with</w:t>
      </w:r>
      <w:r>
        <w:t xml:space="preserve"> </w:t>
      </w:r>
      <m:oMath>
        <m:r>
          <m:t>X</m:t>
        </m:r>
      </m:oMath>
      <w:r>
        <w:t xml:space="preserve"> </w:t>
      </w:r>
      <w:r>
        <w:t xml:space="preserve">in the sample despite being uncorrelated in the population. In other words, the models are accounting for variance in the outcome related to</w:t>
      </w:r>
      <w:r>
        <w:t xml:space="preserve"> </w:t>
      </w:r>
      <m:oMath>
        <m:r>
          <m:t>X</m:t>
        </m:r>
      </m:oMath>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m:oMath>
        <m:r>
          <m:t>X</m:t>
        </m:r>
      </m:oMath>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m:oMath>
        <m:r>
          <m:t>X</m:t>
        </m:r>
      </m:oMath>
      <w:r>
        <w:t xml:space="preserve"> </w:t>
      </w:r>
      <w:r>
        <w:t xml:space="preserve">yielded the highest Type II error compared to the other data-driven selection methods. When there was a true effect, the all covariates linear model with and without</w:t>
      </w:r>
      <w:r>
        <w:t xml:space="preserve"> </w:t>
      </w:r>
      <m:oMath>
        <m:r>
          <m:t>X</m:t>
        </m:r>
      </m:oMath>
      <w:r>
        <w:t xml:space="preserve"> </w:t>
      </w:r>
      <w:r>
        <w:t xml:space="preserve">showed higher Type II error rates compared to the respective single covariate linear and all covariates LASSO models, with and without</w:t>
      </w:r>
      <w:r>
        <w:t xml:space="preserve"> </w:t>
      </w:r>
      <m:oMath>
        <m:r>
          <m:t>X</m:t>
        </m:r>
      </m:oMath>
      <w:r>
        <w:t xml:space="preserve">. Finally, the all covariates model with</w:t>
      </w:r>
      <w:r>
        <w:t xml:space="preserve"> </w:t>
      </w:r>
      <m:oMath>
        <m:r>
          <m:t>X</m:t>
        </m:r>
      </m:oMath>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m:oMath>
        <m:r>
          <m:t>X</m:t>
        </m:r>
      </m:oMath>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m:oMath>
        <m:r>
          <m:t>X</m:t>
        </m:r>
      </m:oMath>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m:oMath>
        <m:r>
          <m:t>X</m:t>
        </m:r>
      </m:oMath>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3"/>
    <w:bookmarkStart w:id="98" w:name="references"/>
    <w:p>
      <w:pPr>
        <w:pStyle w:val="Heading1"/>
      </w:pPr>
      <w:r>
        <w:t xml:space="preserve">References</w:t>
      </w:r>
    </w:p>
    <w:bookmarkStart w:id="97" w:name="refs"/>
    <w:bookmarkStart w:id="65"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4">
        <w:r>
          <w:rPr>
            <w:rStyle w:val="Hyperlink"/>
          </w:rPr>
          <w:t xml:space="preserve">https://doi.org/10.1016/0197-2456(89)90055-x</w:t>
        </w:r>
      </w:hyperlink>
      <w:r>
        <w:t xml:space="preserve">.</w:t>
      </w:r>
    </w:p>
    <w:bookmarkEnd w:id="65"/>
    <w:bookmarkStart w:id="67"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6">
        <w:r>
          <w:rPr>
            <w:rStyle w:val="Hyperlink"/>
          </w:rPr>
          <w:t xml:space="preserve">https://doi.org/10.1038/nrn3475</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0">
        <w:r>
          <w:rPr>
            <w:rStyle w:val="Hyperlink"/>
          </w:rPr>
          <w:t xml:space="preserve">https://doi.org/10.1037/h0045186</w:t>
        </w:r>
      </w:hyperlink>
      <w:r>
        <w:t xml:space="preserve">.</w:t>
      </w:r>
    </w:p>
    <w:bookmarkEnd w:id="71"/>
    <w:bookmarkStart w:id="72"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2"/>
    <w:bookmarkStart w:id="73"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3"/>
    <w:bookmarkStart w:id="75"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4">
        <w:r>
          <w:rPr>
            <w:rStyle w:val="Hyperlink"/>
          </w:rPr>
          <w:t xml:space="preserve">https://doi.org/10.1186/1471-2288-14-49</w:t>
        </w:r>
      </w:hyperlink>
      <w:r>
        <w:t xml:space="preserve">.</w:t>
      </w:r>
    </w:p>
    <w:bookmarkEnd w:id="75"/>
    <w:bookmarkStart w:id="77"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6">
        <w:r>
          <w:rPr>
            <w:rStyle w:val="Hyperlink"/>
          </w:rPr>
          <w:t xml:space="preserve">https://doi.org/10.1016/j.annepidem.2005.09.007</w:t>
        </w:r>
      </w:hyperlink>
      <w:r>
        <w:t xml:space="preserve">.</w:t>
      </w:r>
    </w:p>
    <w:bookmarkEnd w:id="77"/>
    <w:bookmarkStart w:id="79"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8">
        <w:r>
          <w:rPr>
            <w:rStyle w:val="Hyperlink"/>
          </w:rPr>
          <w:t xml:space="preserve">https://doi.org/10.1016/j.jclinepi.2003.09.014</w:t>
        </w:r>
      </w:hyperlink>
      <w:r>
        <w:t xml:space="preserve">.</w:t>
      </w:r>
    </w:p>
    <w:bookmarkEnd w:id="79"/>
    <w:bookmarkStart w:id="81"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0">
        <w:r>
          <w:rPr>
            <w:rStyle w:val="Hyperlink"/>
          </w:rPr>
          <w:t xml:space="preserve">https://doi.org/10.1371/journal.pmed.0020124</w:t>
        </w:r>
      </w:hyperlink>
      <w:r>
        <w:t xml:space="preserve">.</w:t>
      </w:r>
    </w:p>
    <w:bookmarkEnd w:id="81"/>
    <w:bookmarkStart w:id="83"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2">
        <w:r>
          <w:rPr>
            <w:rStyle w:val="Hyperlink"/>
          </w:rPr>
          <w:t xml:space="preserve">https://doi.org/10.1186/1745-6215-15-139</w:t>
        </w:r>
      </w:hyperlink>
      <w:r>
        <w:t xml:space="preserve">.</w:t>
      </w:r>
    </w:p>
    <w:bookmarkEnd w:id="83"/>
    <w:bookmarkStart w:id="84"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4"/>
    <w:bookmarkStart w:id="85"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85"/>
    <w:bookmarkStart w:id="8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6">
        <w:r>
          <w:rPr>
            <w:rStyle w:val="Hyperlink"/>
          </w:rPr>
          <w:t xml:space="preserve">https://doi.org/10.1080/03610928508828942</w:t>
        </w:r>
      </w:hyperlink>
      <w:r>
        <w:t xml:space="preserve">.</w:t>
      </w:r>
    </w:p>
    <w:bookmarkEnd w:id="87"/>
    <w:bookmarkStart w:id="8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8">
        <w:r>
          <w:rPr>
            <w:rStyle w:val="Hyperlink"/>
          </w:rPr>
          <w:t xml:space="preserve">https://doi.org/10.1177/0956797611417632</w:t>
        </w:r>
      </w:hyperlink>
      <w:r>
        <w:t xml:space="preserve">.</w:t>
      </w:r>
    </w:p>
    <w:bookmarkEnd w:id="89"/>
    <w:bookmarkStart w:id="9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0">
        <w:r>
          <w:rPr>
            <w:rStyle w:val="Hyperlink"/>
          </w:rPr>
          <w:t xml:space="preserve">https://doi.org/10.1037/a0033242</w:t>
        </w:r>
      </w:hyperlink>
      <w:r>
        <w:t xml:space="preserve">.</w:t>
      </w:r>
    </w:p>
    <w:bookmarkEnd w:id="91"/>
    <w:bookmarkStart w:id="9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2">
        <w:r>
          <w:rPr>
            <w:rStyle w:val="Hyperlink"/>
          </w:rPr>
          <w:t xml:space="preserve">https://doi.org/10.1016/j.jclinepi.2014.11.001</w:t>
        </w:r>
      </w:hyperlink>
      <w:r>
        <w:t xml:space="preserve">.</w:t>
      </w:r>
    </w:p>
    <w:bookmarkEnd w:id="93"/>
    <w:bookmarkStart w:id="95"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94">
        <w:r>
          <w:rPr>
            <w:rStyle w:val="Hyperlink"/>
          </w:rPr>
          <w:t xml:space="preserve">https://doi.org/10.1111/j.2517-6161.1996.tb02080.x</w:t>
        </w:r>
      </w:hyperlink>
      <w:r>
        <w:t xml:space="preserve">.</w:t>
      </w:r>
    </w:p>
    <w:bookmarkEnd w:id="95"/>
    <w:bookmarkStart w:id="96"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2" Target="https://doi.org/10.1016/j.jclinepi.2014.11.001" TargetMode="External" /><Relationship Type="http://schemas.openxmlformats.org/officeDocument/2006/relationships/hyperlink" Id="rId90"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6" Target="https://doi.org/10.1080/03610928508828942" TargetMode="External" /><Relationship Type="http://schemas.openxmlformats.org/officeDocument/2006/relationships/hyperlink" Id="rId94" Target="https://doi.org/10.1111/j.2517-6161.1996.tb02080.x" TargetMode="External" /><Relationship Type="http://schemas.openxmlformats.org/officeDocument/2006/relationships/hyperlink" Id="rId88"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2" Target="https://doi.org/10.1016/j.jclinepi.2014.11.001" TargetMode="External" /><Relationship Type="http://schemas.openxmlformats.org/officeDocument/2006/relationships/hyperlink" Id="rId90"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6" Target="https://doi.org/10.1080/03610928508828942" TargetMode="External" /><Relationship Type="http://schemas.openxmlformats.org/officeDocument/2006/relationships/hyperlink" Id="rId94" Target="https://doi.org/10.1111/j.2517-6161.1996.tb02080.x" TargetMode="External" /><Relationship Type="http://schemas.openxmlformats.org/officeDocument/2006/relationships/hyperlink" Id="rId88"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2026-03-14T13:17:59Z</dcterms:created>
  <dcterms:modified xsi:type="dcterms:W3CDTF">2026-03-14T13:17:59Z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2026-03-14</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