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0.png" ContentType="image/png"/>
  <Override PartName="/word/media/rId4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2026-01-09</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is often uses experimental manipulations as a means of establishing causal relationships between a focal independent variable (IV) and a psychological outcome. For example, participants may be randomly assigned to receive a moderate dose of alcohol or placebo to evaluate the effect of alcohol consumption on response to a laboratory stressor (INSERT A COUPLE OF REFS TO OUR STUDIES). [Markus, can you provide a simple second example that focuses on an IV manipulation that is social psych relevant?)</w:t>
      </w:r>
    </w:p>
    <w:p>
      <w:pPr>
        <w:pStyle w:val="BodyText"/>
      </w:pPr>
      <w:r>
        <w:t xml:space="preserve">A valid test of the effect of an IV requires adequate statistical power (i.e., low probability of a type II error)</w:t>
      </w:r>
      <w:r>
        <w:t xml:space="preserve"> </w:t>
      </w:r>
      <w:r>
        <w:t xml:space="preserve">(Cohen 1988, 1992)</w:t>
      </w:r>
      <w:r>
        <w:t xml:space="preserve">. By definition, low statistical power is associated with a high probability of a type II error (i.e., failure to reject a false null hypothesis). Significant effects detected by studies with low power often do not replicate due to their low positive predictive value. Furthermore, estimates of the effect size for an IV may be positively biased when derived from studies with low power.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be expected to correlate with laboratory stress response and therefore reduce variance in stress response that is unrelated to the manipulation to increase statistical power.</w:t>
      </w:r>
    </w:p>
    <w:p>
      <w:pPr>
        <w:pStyle w:val="BodyText"/>
      </w:pPr>
      <w:r>
        <w:t xml:space="preserve">However, selection of the optimal covariates to include to increase statistical power is not straightforward. Historically, researchers often iterated over the set of possible covariates and included only those covariates that lowered the p-value for the test of their focal IV. Today, we recognize that this approach, known as p-hacking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 p-hacking compromises statistical validity, we are left with questions about appropriate covariate selection strategies that both minimize type II errors and control type I errors.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covariates that contribute to unique reductions in variance). Of course, spastically valid data-driven approaches must also not nominally inflate the Type I error rate, as occurs with</w:t>
      </w:r>
      <w:r>
        <w:t xml:space="preserve"> </w:t>
      </w:r>
      <w:r>
        <w:rPr>
          <w:i/>
          <w:iCs/>
        </w:rPr>
        <w:t xml:space="preserve">p</w:t>
      </w:r>
      <w:r>
        <w:t xml:space="preserve">-hacking.</w:t>
      </w:r>
    </w:p>
    <w:p>
      <w:pPr>
        <w:pStyle w:val="BodyText"/>
      </w:pPr>
      <w:r>
        <w:t xml:space="preserve">In this study, we use simulation methods to evaluate six data-driven approaches to select an optimal set of covariates when testing the effect of a focal manipulated IV. For each approach, we select covariates that manifest significant relationships with the outcome variable in covariate screening models that are used to identify which covariates to include in the subsequent analysis that tests the focal IV. Across these screening models, we consider three modeling approaches (i.e., bivariate regression models that screen each covariate in its own model, multiple regression models that screen all covariates in a single model, and LASSO models that screen all covariates in a single model). Across these modeling approaches, we either include or exclude the focal IV in the screening models for a total of six data-driven approaches. We benchmark these data-driven approaches against the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 p-hacking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w:t>
      </w:r>
    </w:p>
    <w:bookmarkEnd w:id="20"/>
    <w:bookmarkStart w:id="28" w:name="methods"/>
    <w:p>
      <w:pPr>
        <w:pStyle w:val="Heading1"/>
      </w:pPr>
      <w:r>
        <w:t xml:space="preserve">Methods</w:t>
      </w:r>
    </w:p>
    <w:bookmarkStart w:id="23" w:name="covariate-selection-methods"/>
    <w:p>
      <w:pPr>
        <w:pStyle w:val="Heading2"/>
      </w:pPr>
      <w:r>
        <w:t xml:space="preserve">Covariate Selection Methods</w:t>
      </w:r>
    </w:p>
    <w:p>
      <w:pPr>
        <w:pStyle w:val="FirstParagraph"/>
      </w:pPr>
      <w:r>
        <w:t xml:space="preserve">As described above, we evaluated nine approaches to select covariates to use when testing the effect of a focal dichotomous IV. linear regression models with varying levels and methods of covariate selection. Two models did not use any covariate selection: a linear regression model that used no covariates and a linear regression model that used all available covariates. One model used a statistically invalid method of selecting covariates based on whether they lower the regression p-value (i.e., p-hacking). The remaining six models used three systematic covariate selection methods, selection based on a single covariate linear model, all covariates linear model, and all covariates LASSO, controlling for the focal manipulation (i.e.,</w:t>
      </w:r>
      <w:r>
        <w:t xml:space="preserve"> </w:t>
      </w:r>
      <w:r>
        <w:rPr>
          <w:i/>
          <w:iCs/>
        </w:rPr>
        <w:t xml:space="preserve">X</w:t>
      </w:r>
      <w:r>
        <w:t xml:space="preserve">) and without controlling for</w:t>
      </w:r>
      <w:r>
        <w:t xml:space="preserve"> </w:t>
      </w:r>
      <w:r>
        <w:rPr>
          <w:i/>
          <w:iCs/>
        </w:rPr>
        <w:t xml:space="preserve">X</w:t>
      </w:r>
      <w:r>
        <w:t xml:space="preserve">. A summary of the nine models is presented in</w:t>
      </w:r>
      <w:r>
        <w:t xml:space="preserve"> </w:t>
      </w:r>
      <w:hyperlink w:anchor="tbl-methods">
        <w:r>
          <w:rPr>
            <w:rStyle w:val="Hyperlink"/>
          </w:rPr>
          <w:t xml:space="preserve">Table 1</w:t>
        </w:r>
      </w:hyperlink>
      <w:r>
        <w:t xml:space="preserve">.</w:t>
      </w:r>
      <w:r>
        <w:t xml:space="preserve"> </w:t>
      </w:r>
      <w:r>
        <w:t xml:space="preserve"> </w:t>
      </w:r>
      <w:r>
        <w:t xml:space="preserve"> </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start"/>
              <w:spacing w:before="200"/>
              <w:pStyle w:val="ImageCaption"/>
            </w:pPr>
            <w:r>
              <w:t xml:space="preserve">Table 1: The nine linear regression models and their definition for covariate selection.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Method</w:t>
                  </w:r>
                </w:p>
              </w:tc>
              <w:tc>
                <w:tcPr/>
                <w:p>
                  <w:pPr>
                    <w:pStyle w:val="Compact"/>
                    <w:jc w:val="left"/>
                    <w:jc w:val="center"/>
                  </w:pPr>
                  <w:r>
                    <w:t xml:space="preserve">Definition</w:t>
                  </w:r>
                </w:p>
              </w:tc>
            </w:tr>
            <w:tr>
              <w:tc>
                <w:tcPr/>
                <w:p>
                  <w:pPr>
                    <w:pStyle w:val="Compact"/>
                    <w:jc w:val="left"/>
                    <w:jc w:val="center"/>
                  </w:pPr>
                  <w:r>
                    <w:t xml:space="preserve">No covariates</w:t>
                  </w:r>
                </w:p>
              </w:tc>
              <w:tc>
                <w:tcPr/>
                <w:p>
                  <w:pPr>
                    <w:pStyle w:val="Compact"/>
                    <w:jc w:val="left"/>
                    <w:jc w:val="center"/>
                  </w:pPr>
                  <w:r>
                    <w:t xml:space="preserve">Y is regressed on X without any covariates.</w:t>
                  </w:r>
                </w:p>
              </w:tc>
            </w:tr>
            <w:tr>
              <w:tc>
                <w:tcPr/>
                <w:p>
                  <w:pPr>
                    <w:pStyle w:val="Compact"/>
                    <w:jc w:val="left"/>
                    <w:jc w:val="center"/>
                  </w:pPr>
                  <w:r>
                    <w:t xml:space="preserve">All covariates</w:t>
                  </w:r>
                </w:p>
              </w:tc>
              <w:tc>
                <w:tcPr/>
                <w:p>
                  <w:pPr>
                    <w:pStyle w:val="Compact"/>
                    <w:jc w:val="left"/>
                    <w:jc w:val="center"/>
                  </w:pPr>
                  <w:r>
                    <w:t xml:space="preserve">All available covariates are included in the regression model.</w:t>
                  </w:r>
                </w:p>
              </w:tc>
            </w:tr>
            <w:tr>
              <w:tc>
                <w:tcPr/>
                <w:p>
                  <w:pPr>
                    <w:pStyle w:val="Compact"/>
                    <w:jc w:val="left"/>
                    <w:jc w:val="center"/>
                  </w:pPr>
                  <w:r>
                    <w:t xml:space="preserve">p-hacking</w:t>
                  </w:r>
                </w:p>
              </w:tc>
              <w:tc>
                <w:tcPr/>
                <w:p>
                  <w:pPr>
                    <w:pStyle w:val="Compact"/>
                    <w:jc w:val="left"/>
                    <w:jc w:val="center"/>
                  </w:pPr>
                  <w:r>
                    <w:t xml:space="preserve">Unsystematically adding covariates based on whether they lower the p-value of the main effect of X on Y.</w:t>
                  </w:r>
                </w:p>
              </w:tc>
            </w:tr>
            <w:tr>
              <w:tc>
                <w:tcPr/>
                <w:p>
                  <w:pPr>
                    <w:pStyle w:val="Compact"/>
                    <w:jc w:val="left"/>
                    <w:jc w:val="center"/>
                  </w:pPr>
                  <w:r>
                    <w:t xml:space="preserve">Single covariate linear model without X</w:t>
                  </w:r>
                </w:p>
              </w:tc>
              <w:tc>
                <w:tcPr/>
                <w:p>
                  <w:pPr>
                    <w:pStyle w:val="Compact"/>
                    <w:jc w:val="left"/>
                    <w:jc w:val="center"/>
                  </w:pPr>
                  <w:r>
                    <w:t xml:space="preserve">A linear model that regresses Y on a single covariate. Covariates are considered one at a time and included in the final model if they yield a significant effect on Y (p &lt; .05).</w:t>
                  </w:r>
                </w:p>
              </w:tc>
            </w:tr>
            <w:tr>
              <w:tc>
                <w:tcPr/>
                <w:p>
                  <w:pPr>
                    <w:pStyle w:val="Compact"/>
                    <w:jc w:val="left"/>
                    <w:jc w:val="center"/>
                  </w:pPr>
                  <w:r>
                    <w:t xml:space="preserve">Single covariate linear model with X</w:t>
                  </w:r>
                </w:p>
              </w:tc>
              <w:tc>
                <w:tcPr/>
                <w:p>
                  <w:pPr>
                    <w:pStyle w:val="Compact"/>
                    <w:jc w:val="left"/>
                    <w:jc w:val="center"/>
                  </w:pPr>
                  <w:r>
                    <w:t xml:space="preserve">A linear model that regresses Y on a single covariate and X. Covariates are considered one at a time and included in the final model if they yield a significant effect on Y (p &lt; .05).</w:t>
                  </w:r>
                </w:p>
              </w:tc>
            </w:tr>
            <w:tr>
              <w:tc>
                <w:tcPr/>
                <w:p>
                  <w:pPr>
                    <w:pStyle w:val="Compact"/>
                    <w:jc w:val="left"/>
                    <w:jc w:val="center"/>
                  </w:pPr>
                  <w:r>
                    <w:t xml:space="preserve">All covariates linear model without X</w:t>
                  </w:r>
                </w:p>
              </w:tc>
              <w:tc>
                <w:tcPr/>
                <w:p>
                  <w:pPr>
                    <w:pStyle w:val="Compact"/>
                    <w:jc w:val="left"/>
                    <w:jc w:val="center"/>
                  </w:pPr>
                  <w:r>
                    <w:t xml:space="preserve">A full linear model that regresses Y on all available covariates. Covariates that have a statistically significant effect on Y (p &lt; .05) are retained.</w:t>
                  </w:r>
                </w:p>
              </w:tc>
            </w:tr>
            <w:tr>
              <w:tc>
                <w:tcPr/>
                <w:p>
                  <w:pPr>
                    <w:pStyle w:val="Compact"/>
                    <w:jc w:val="left"/>
                    <w:jc w:val="center"/>
                  </w:pPr>
                  <w:r>
                    <w:t xml:space="preserve">All covariates linear model with X</w:t>
                  </w:r>
                </w:p>
              </w:tc>
              <w:tc>
                <w:tcPr/>
                <w:p>
                  <w:pPr>
                    <w:pStyle w:val="Compact"/>
                    <w:jc w:val="left"/>
                    <w:jc w:val="center"/>
                  </w:pPr>
                  <w:r>
                    <w:t xml:space="preserve">A full linear model that regresses Y on all available covariates and X. Covariates that have a statistically significant effect on Y (p &lt; .05) when controlling for X are retained.</w:t>
                  </w:r>
                </w:p>
              </w:tc>
            </w:tr>
            <w:tr>
              <w:tc>
                <w:tcPr/>
                <w:p>
                  <w:pPr>
                    <w:pStyle w:val="Compact"/>
                    <w:jc w:val="left"/>
                    <w:jc w:val="center"/>
                  </w:pPr>
                  <w:r>
                    <w:t xml:space="preserve">All covariates LASSO without X</w:t>
                  </w:r>
                </w:p>
              </w:tc>
              <w:tc>
                <w:tcPr/>
                <w:p>
                  <w:pPr>
                    <w:pStyle w:val="Compact"/>
                    <w:jc w:val="left"/>
                    <w:jc w:val="center"/>
                  </w:pPr>
                  <w:r>
                    <w:t xml:space="preserve">A linear model that regresses Y on all available covariates and applies a penalty to shrink coefficients for less important covariates, potentially dropping them altogether (i.e., coefficient of 0). Covariates with non-zero coefficients were retained.</w:t>
                  </w:r>
                </w:p>
              </w:tc>
            </w:tr>
            <w:tr>
              <w:tc>
                <w:tcPr/>
                <w:p>
                  <w:pPr>
                    <w:pStyle w:val="Compact"/>
                    <w:jc w:val="left"/>
                    <w:jc w:val="center"/>
                  </w:pPr>
                  <w:r>
                    <w:t xml:space="preserve">All covariates LASSO with X</w:t>
                  </w:r>
                </w:p>
              </w:tc>
              <w:tc>
                <w:tcPr/>
                <w:p>
                  <w:pPr>
                    <w:pStyle w:val="Compact"/>
                    <w:jc w:val="left"/>
                    <w:jc w:val="center"/>
                  </w:pPr>
                  <w:r>
                    <w:t xml:space="preserve">A linear model that regresses Y on all available covariates and applies a penalty to shrink coefficients for less important covariates. We assigned a 0 penalty to X to retain it in the model. Covariates with non-zero coefficients when controlling for X were retained.</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varying research contexts that psychology researchers might encounter in their studies. We crossed all levels of each characteristic to create a total of 540 unique research contexts to allow results from our simulations to generalize across the diversity of contexts within which psychology studies are situated. A summary of these contexts is presented in</w:t>
      </w:r>
      <w:r>
        <w:t xml:space="preserve"> </w:t>
      </w:r>
      <w:hyperlink w:anchor="tbl-dictionary">
        <w:r>
          <w:rPr>
            <w:rStyle w:val="Hyperlink"/>
          </w:rPr>
          <w:t xml:space="preserve">Table 2</w:t>
        </w:r>
      </w:hyperlink>
      <w:r>
        <w:t xml:space="preserve">. The variables include:</w:t>
      </w:r>
    </w:p>
    <w:p>
      <w:pPr>
        <w:numPr>
          <w:ilvl w:val="0"/>
          <w:numId w:val="1001"/>
        </w:numPr>
      </w:pPr>
      <w:r>
        <w:t xml:space="preserve">The true population parameter for the focal IV. We selected values that represent null (</w:t>
      </w:r>
      <m:oMath>
        <m:sSub>
          <m:e>
            <m:r>
              <m:t>b</m:t>
            </m:r>
          </m:e>
          <m:sub>
            <m:r>
              <m:t>i</m:t>
            </m:r>
            <m:r>
              <m:t>v</m:t>
            </m:r>
          </m:sub>
        </m:sSub>
        <m:r>
          <m:rPr>
            <m:sty m:val="p"/>
          </m:rPr>
          <m:t>=</m:t>
        </m:r>
        <m:r>
          <m:t>0</m:t>
        </m:r>
      </m:oMath>
      <w:r>
        <w:t xml:space="preserve">), small (</w:t>
      </w:r>
      <m:oMath>
        <m:sSub>
          <m:e>
            <m:r>
              <m:t>b</m:t>
            </m:r>
          </m:e>
          <m:sub>
            <m:r>
              <m:t>i</m:t>
            </m:r>
            <m:r>
              <m:t>v</m:t>
            </m:r>
          </m:sub>
        </m:sSub>
        <m:r>
          <m:rPr>
            <m:sty m:val="p"/>
          </m:rPr>
          <m:t>=</m:t>
        </m:r>
        <m:r>
          <m:t>0.2</m:t>
        </m:r>
      </m:oMath>
      <w:r>
        <w:t xml:space="preserve">) and medium (</w:t>
      </w:r>
      <m:oMath>
        <m:sSub>
          <m:e>
            <m:r>
              <m:t>b</m:t>
            </m:r>
          </m:e>
          <m:sub>
            <m:r>
              <m:t>i</m:t>
            </m:r>
            <m:r>
              <m:t>v</m:t>
            </m:r>
          </m:sub>
        </m:sSub>
        <m:r>
          <m:rPr>
            <m:sty m:val="p"/>
          </m:rPr>
          <m:t>=</m:t>
        </m:r>
        <m:r>
          <m:t>0.5</m:t>
        </m:r>
      </m:oMath>
      <w:r>
        <w:t xml:space="preserve">) effects for the IV. Given that the variance of the outcome variable was set to 1 in all simulations, these parameter values correspond to null, small, and medium Cohen’s d effect sizes (INSERT COHEN 1991 ref).</w:t>
      </w:r>
    </w:p>
    <w:p>
      <w:pPr>
        <w:numPr>
          <w:ilvl w:val="0"/>
          <w:numId w:val="1001"/>
        </w:numPr>
      </w:pPr>
      <w:r>
        <w:t xml:space="preserve">The sample size. We chose values for the number of observations that pertain to common sample sizes in experimental research: 50, 100, 150, 200, 300, and 400 observations.</w:t>
      </w:r>
    </w:p>
    <w:p>
      <w:pPr>
        <w:numPr>
          <w:ilvl w:val="0"/>
          <w:numId w:val="1001"/>
        </w:numPr>
      </w:pPr>
      <w:r>
        <w:t xml:space="preserve">The number of covariates available. We selected a wide range of possible scenarios: 4, 8, 12, 16, or 20 available covariates.</w:t>
      </w:r>
    </w:p>
    <w:p>
      <w:pPr>
        <w:numPr>
          <w:ilvl w:val="0"/>
          <w:numId w:val="1001"/>
        </w:numPr>
      </w:pPr>
      <w:r>
        <w:t xml:space="preserve">The percentage of covariates with non-zero relationships with the outcome. We simulated research contexts where 25%, 50% or 75% of the available covariates were related to the outcome to represent realities where a researcher has many available covariates, but only some may be useful given their relationship with the outcome.</w:t>
      </w:r>
    </w:p>
    <w:p>
      <w:pPr>
        <w:numPr>
          <w:ilvl w:val="0"/>
          <w:numId w:val="1001"/>
        </w:numPr>
      </w:pPr>
      <w:r>
        <w:t xml:space="preserve">The strength of the relationship between the covariates and Y. All non-zero covariates (see characteristic 3) were given a moderate or large relationship to the outcome (i.e., correlations of 0.3 and 0.5), respectively. Since these covariates are all correlated with the outcome, it is likely they are also correlated with each other. Therefore, we assigned a moderate 0.3 correlation for all relationships among good covariates.</w:t>
      </w: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star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X</w:t>
                  </w:r>
                </w:p>
              </w:tc>
              <w:tc>
                <w:tcPr/>
                <w:p>
                  <w:pPr>
                    <w:pStyle w:val="Compact"/>
                    <w:jc w:val="left"/>
                    <w:jc w:val="center"/>
                  </w:pPr>
                  <w:r>
                    <w:t xml:space="preserve">0, 0.2, 0.5</w:t>
                  </w:r>
                </w:p>
              </w:tc>
            </w:tr>
            <w:tr>
              <w:tc>
                <w:tcPr/>
                <w:p>
                  <w:pPr>
                    <w:pStyle w:val="Compact"/>
                    <w:jc w:val="left"/>
                    <w:jc w:val="center"/>
                  </w:pPr>
                  <w:r>
                    <w:t xml:space="preserve">The number of observations in the sample</w:t>
                  </w:r>
                </w:p>
              </w:tc>
              <w:tc>
                <w:tcPr/>
                <w:p>
                  <w:pPr>
                    <w:pStyle w:val="Compact"/>
                    <w:jc w:val="left"/>
                    <w:jc w:val="center"/>
                  </w:pPr>
                  <w:r>
                    <w:t xml:space="preserve">50, 100, 150, 200, 300, 400</w:t>
                  </w:r>
                </w:p>
              </w:tc>
            </w:tr>
            <w:tr>
              <w:tc>
                <w:tcPr/>
                <w:p>
                  <w:pPr>
                    <w:pStyle w:val="Compact"/>
                    <w:jc w:val="left"/>
                    <w:jc w:val="center"/>
                  </w:pPr>
                  <w:r>
                    <w:t xml:space="preserve">The number of covariates</w:t>
                  </w:r>
                </w:p>
              </w:tc>
              <w:tc>
                <w:tcPr/>
                <w:p>
                  <w:pPr>
                    <w:pStyle w:val="Compact"/>
                    <w:jc w:val="left"/>
                    <w:jc w:val="center"/>
                  </w:pPr>
                  <w:r>
                    <w:t xml:space="preserve">4, 8, 12, 16, 20</w:t>
                  </w:r>
                </w:p>
              </w:tc>
            </w:tr>
            <w:tr>
              <w:tc>
                <w:tcPr/>
                <w:p>
                  <w:pPr>
                    <w:pStyle w:val="Compact"/>
                    <w:jc w:val="left"/>
                    <w:jc w:val="center"/>
                  </w:pPr>
                  <w:r>
                    <w:t xml:space="preserve">The proportion of "good" covariates</w:t>
                  </w:r>
                </w:p>
              </w:tc>
              <w:tc>
                <w:tcPr/>
                <w:p>
                  <w:pPr>
                    <w:pStyle w:val="Compact"/>
                    <w:jc w:val="left"/>
                    <w:jc w:val="center"/>
                  </w:pPr>
                  <w:r>
                    <w:t xml:space="preserve">0.25, 0.50, 0.75</w:t>
                  </w:r>
                </w:p>
              </w:tc>
            </w:tr>
            <w:tr>
              <w:tc>
                <w:tcPr/>
                <w:p>
                  <w:pPr>
                    <w:pStyle w:val="Compact"/>
                    <w:jc w:val="left"/>
                    <w:jc w:val="center"/>
                  </w:pPr>
                  <w:r>
                    <w:t xml:space="preserve">The correlation between Y and good covariates</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27" w:name="data-analytic-plan"/>
    <w:p>
      <w:pPr>
        <w:pStyle w:val="Heading2"/>
      </w:pPr>
      <w:r>
        <w:t xml:space="preserve">Data Analytic Plan</w:t>
      </w:r>
    </w:p>
    <w:p>
      <w:pPr>
        <w:pStyle w:val="FirstParagraph"/>
      </w:pPr>
      <w:r>
        <w:t xml:space="preserve">All data analyses were done in R (version 4.4.2).</w:t>
      </w:r>
      <w:r>
        <w:t xml:space="preserve"> </w:t>
      </w:r>
      <w:r>
        <w:t xml:space="preserve">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ran 40,000 simulations for each research context. Within each simulation we generated a unique dataset that consisted of a dichotomous focal variable (</w:t>
      </w:r>
      <w:r>
        <w:rPr>
          <w:i/>
          <w:iCs/>
        </w:rPr>
        <w:t xml:space="preserve">X</w:t>
      </w:r>
      <w:r>
        <w:t xml:space="preserve">), varying numbers of quantitative covariates, where a subset are correlated with each other and with</w:t>
      </w:r>
      <w:r>
        <w:t xml:space="preserve"> </w:t>
      </w:r>
      <w:r>
        <w:rPr>
          <w:i/>
          <w:iCs/>
        </w:rPr>
        <w:t xml:space="preserve">Y</w:t>
      </w:r>
      <w:r>
        <w:t xml:space="preserve"> </w:t>
      </w:r>
      <w:r>
        <w:t xml:space="preserve">(see Research Contexts section), and a quantitative outcome (</w:t>
      </w:r>
      <w:r>
        <w:rPr>
          <w:i/>
          <w:iCs/>
        </w:rPr>
        <w:t xml:space="preserve">Y</w:t>
      </w:r>
      <w:r>
        <w:t xml:space="preserve">) calculated by adding the</w:t>
      </w:r>
      <w:r>
        <w:t xml:space="preserve"> </w:t>
      </w:r>
      <w:r>
        <w:rPr>
          <w:i/>
          <w:iCs/>
        </w:rPr>
        <w:t xml:space="preserve">X</w:t>
      </w:r>
      <w:r>
        <w:t xml:space="preserve"> </w:t>
      </w:r>
      <w:r>
        <w:t xml:space="preserve">variable multiplied by the effect size (i.e., population parameter) to the</w:t>
      </w:r>
      <w:r>
        <w:t xml:space="preserve"> </w:t>
      </w:r>
      <w:r>
        <w:rPr>
          <w:i/>
          <w:iCs/>
        </w:rPr>
        <w:t xml:space="preserve">Y</w:t>
      </w:r>
      <w:r>
        <w:t xml:space="preserve"> </w:t>
      </w:r>
      <w:r>
        <w:t xml:space="preserve">generated from the correlation matrix with the covariates. We fit models from our nine methods on each simulated dataset. From each model we saved out the parameter estimate, standard error, and p-value for</w:t>
      </w:r>
      <w:r>
        <w:t xml:space="preserve"> </w:t>
      </w:r>
      <w:r>
        <w:rPr>
          <w:i/>
          <w:iCs/>
        </w:rPr>
        <w:t xml:space="preserve">X</w:t>
      </w:r>
      <w:r>
        <w:t xml:space="preserve">.</w:t>
      </w:r>
      <w:r>
        <w:t xml:space="preserve"> </w:t>
      </w:r>
      <w:r>
        <w:t xml:space="preserve"> </w:t>
      </w:r>
    </w:p>
    <w:p>
      <w:pPr>
        <w:pStyle w:val="BodyText"/>
      </w:pPr>
      <w:r>
        <w:t xml:space="preserve">For research contexts where the population parameter for</w:t>
      </w:r>
      <w:r>
        <w:t xml:space="preserve"> </w:t>
      </w:r>
      <w:r>
        <w:rPr>
          <w:i/>
          <w:iCs/>
        </w:rPr>
        <w:t xml:space="preserve">X</w:t>
      </w:r>
      <w:r>
        <w:t xml:space="preserve"> </w:t>
      </w:r>
      <w:r>
        <w:t xml:space="preserve">is 0 (i.e.,</w:t>
      </w:r>
      <w:r>
        <w:t xml:space="preserve"> </w:t>
      </w:r>
      <w:r>
        <w:rPr>
          <w:i/>
          <w:iCs/>
        </w:rPr>
        <w:t xml:space="preserve">X</w:t>
      </w:r>
      <w:r>
        <w:t xml:space="preserve"> </w:t>
      </w:r>
      <w:r>
        <w:t xml:space="preserve">has no effect on</w:t>
      </w:r>
      <w:r>
        <w:t xml:space="preserve"> </w:t>
      </w:r>
      <w:r>
        <w:rPr>
          <w:i/>
          <w:iCs/>
        </w:rPr>
        <w:t xml:space="preserve">Y</w:t>
      </w:r>
      <w:r>
        <w:t xml:space="preserve">), we report the Type I error rate for each method both across and within research contexts. For research contexts where the population parameter for</w:t>
      </w:r>
      <w:r>
        <w:t xml:space="preserve"> </w:t>
      </w:r>
      <w:r>
        <w:rPr>
          <w:i/>
          <w:iCs/>
        </w:rPr>
        <w:t xml:space="preserve">X</w:t>
      </w:r>
      <w:r>
        <w:t xml:space="preserve"> </w:t>
      </w:r>
      <w:r>
        <w:t xml:space="preserve">is 0.3 or 0.5 (i.e.,</w:t>
      </w:r>
      <w:r>
        <w:t xml:space="preserve"> </w:t>
      </w:r>
      <w:r>
        <w:rPr>
          <w:i/>
          <w:iCs/>
        </w:rPr>
        <w:t xml:space="preserve">X</w:t>
      </w:r>
      <w:r>
        <w:t xml:space="preserve"> </w:t>
      </w:r>
      <w:r>
        <w:t xml:space="preserve">has an effect on</w:t>
      </w:r>
      <w:r>
        <w:t xml:space="preserve"> </w:t>
      </w:r>
      <w:r>
        <w:rPr>
          <w:i/>
          <w:iCs/>
        </w:rPr>
        <w:t xml:space="preserve">Y</w:t>
      </w:r>
      <w:r>
        <w:t xml:space="preserve">), we report the Type II error rate for each method across and within research contexts. We also provide sampling distributions of the parameter estimate for</w:t>
      </w:r>
      <w:r>
        <w:t xml:space="preserve"> </w:t>
      </w:r>
      <w:r>
        <w:rPr>
          <w:i/>
          <w:iCs/>
        </w:rPr>
        <w:t xml:space="preserve">X</w:t>
      </w:r>
      <w:r>
        <w:t xml:space="preserve"> </w:t>
      </w:r>
      <w:r>
        <w:t xml:space="preserve">across research contexts for each method, separately by true effect size (0, 0.3, and 0.5). Detailed tables of range and average error rates for each research context and true and false positive rates for covariates are available in the supplement.</w:t>
      </w:r>
    </w:p>
    <w:bookmarkEnd w:id="27"/>
    <w:bookmarkEnd w:id="28"/>
    <w:bookmarkStart w:id="54" w:name="results"/>
    <w:p>
      <w:pPr>
        <w:pStyle w:val="Heading1"/>
      </w:pPr>
      <w:r>
        <w:t xml:space="preserve">Results</w:t>
      </w:r>
    </w:p>
    <w:bookmarkStart w:id="39" w:name="type-i-error"/>
    <w:p>
      <w:pPr>
        <w:pStyle w:val="Heading2"/>
      </w:pPr>
      <w:r>
        <w:t xml:space="preserve">Type I Error</w:t>
      </w:r>
    </w:p>
    <w:p>
      <w:pPr>
        <w:pStyle w:val="FirstParagraph"/>
      </w:pPr>
      <w:r>
        <w:t xml:space="preserve">Since this is simulation study, we were able to set the true population parameter for</w:t>
      </w:r>
      <w:r>
        <w:t xml:space="preserve"> </w:t>
      </w:r>
      <w:r>
        <w:rPr>
          <w:i/>
          <w:iCs/>
        </w:rPr>
        <w:t xml:space="preserve">X</w:t>
      </w:r>
      <w:r>
        <w:t xml:space="preserve"> </w:t>
      </w:r>
      <w:r>
        <w:t xml:space="preserve">to be zero (i.e.,</w:t>
      </w:r>
      <w:r>
        <w:t xml:space="preserve"> </w:t>
      </w:r>
      <m:oMath>
        <m:sSub>
          <m:e>
            <m:r>
              <m:t>b</m:t>
            </m:r>
          </m:e>
          <m:sub>
            <m:r>
              <m:t>x</m:t>
            </m:r>
          </m:sub>
        </m:sSub>
        <m:r>
          <m:rPr>
            <m:sty m:val="p"/>
          </m:rPr>
          <m:t>=</m:t>
        </m:r>
        <m:r>
          <m:t>0</m:t>
        </m:r>
      </m:oMath>
      <w:r>
        <w:t xml:space="preserve">). Therefore, any significant result found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method. The p-hacking method for selecting covariates, unsurprisingly led to a highly inflated Type I error rate, consistent with the extant research published in the last several years on the connection between researcher degrees of freedom and false positives. Most other methods remained around the expected .05 threshold. There was some elevation in Type I errors for methods that controlled for</w:t>
      </w:r>
      <w:r>
        <w:t xml:space="preserve"> </w:t>
      </w:r>
      <w:r>
        <w:rPr>
          <w:i/>
          <w:iCs/>
        </w:rPr>
        <w:t xml:space="preserve">X</w:t>
      </w:r>
      <w:r>
        <w:t xml:space="preserve"> </w:t>
      </w:r>
      <w:r>
        <w:t xml:space="preserve">compared to those, however, it is not clear that these differences are substantial.</w:t>
      </w:r>
    </w:p>
    <w:tbl>
      <w:tblPr>
        <w:tblStyle w:val="Table"/>
        <w:tblW w:type="pct" w:w="5000"/>
        <w:tblLayout w:type="fixed"/>
        <w:tblLook w:firstRow="0" w:lastRow="0" w:firstColumn="0" w:lastColumn="0" w:noHBand="0" w:noVBand="0" w:val="0000"/>
      </w:tblPr>
      <w:tblGrid>
        <w:gridCol w:w="7920"/>
      </w:tblGrid>
      <w:tr>
        <w:tc>
          <w:tcPr/>
          <w:bookmarkStart w:id="32" w:name="fig-bar-1"/>
          <w:p>
            <w:pPr>
              <w:pStyle w:val="Compact"/>
              <w:jc w:val="center"/>
            </w:pPr>
            <w:r>
              <w:drawing>
                <wp:inline>
                  <wp:extent cx="5334000" cy="3048000"/>
                  <wp:effectExtent b="0" l="0" r="0" t="0"/>
                  <wp:docPr descr="" title="" id="30" name="Picture"/>
                  <a:graphic>
                    <a:graphicData uri="http://schemas.openxmlformats.org/drawingml/2006/picture">
                      <pic:pic>
                        <pic:nvPicPr>
                          <pic:cNvPr descr="index_files/figure-docx/notebooks-mak_figures-fig-bar-1-output-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Figures for Main Manuscript</w:t>
        </w:r>
      </w:hyperlink>
    </w:p>
    <w:p>
      <w:pPr>
        <w:pStyle w:val="BodyText"/>
      </w:pPr>
      <w:r>
        <w:t xml:space="preserve">We assessed Type I error by individual research context and found several patterns (</w:t>
      </w:r>
      <w:hyperlink w:anchor="fig-type1-panel">
        <w:r>
          <w:rPr>
            <w:rStyle w:val="Hyperlink"/>
          </w:rPr>
          <w:t xml:space="preserve">Figure 2</w:t>
        </w:r>
      </w:hyperlink>
      <w:r>
        <w:t xml:space="preserve">). First, small sample sizes are more susceptible to inflated Type I error rates when using covariate selection methods that control for</w:t>
      </w:r>
      <w:r>
        <w:t xml:space="preserve"> </w:t>
      </w:r>
      <w:r>
        <w:rPr>
          <w:i/>
          <w:iCs/>
        </w:rPr>
        <w:t xml:space="preserve">X</w:t>
      </w:r>
      <w:r>
        <w:t xml:space="preserve">. As sample sizes get larger (i.e.,</w:t>
      </w:r>
      <w:r>
        <w:t xml:space="preserve"> </w:t>
      </w:r>
      <w:r>
        <w:rPr>
          <w:i/>
          <w:iCs/>
        </w:rPr>
        <w:t xml:space="preserve">n</w:t>
      </w:r>
      <w:r>
        <w:t xml:space="preserve"> </w:t>
      </w:r>
      <w:r>
        <w:t xml:space="preserve">= 300), the methods become comparable. Second, as the number of available covariates to select from increases, Type I error rate increases for covariate selection methods that control for</w:t>
      </w:r>
      <w:r>
        <w:t xml:space="preserve"> </w:t>
      </w:r>
      <w:r>
        <w:rPr>
          <w:i/>
          <w:iCs/>
        </w:rPr>
        <w:t xml:space="preserve">X</w:t>
      </w:r>
      <w:r>
        <w:t xml:space="preserve">, such as all covariates linear model with</w:t>
      </w:r>
      <w:r>
        <w:t xml:space="preserve"> </w:t>
      </w:r>
      <w:r>
        <w:rPr>
          <w:i/>
          <w:iCs/>
        </w:rPr>
        <w:t xml:space="preserve">X</w:t>
      </w:r>
      <w:r>
        <w:t xml:space="preserve"> </w:t>
      </w:r>
      <w:r>
        <w:t xml:space="preserve">and all covariates LASSO with</w:t>
      </w:r>
      <w:r>
        <w:t xml:space="preserve"> </w:t>
      </w:r>
      <w:r>
        <w:rPr>
          <w:i/>
          <w:iCs/>
        </w:rPr>
        <w:t xml:space="preserve">X</w:t>
      </w:r>
      <w:r>
        <w:t xml:space="preserve">, and to a lesser degree single covariate linear model. Third, there appeared to be no definitive pattern in Type I error rate as the proportion of good covariates increased</w:t>
      </w:r>
      <w:r>
        <w:t xml:space="preserve">. Similarly, we did not see changes in Type I error rate as function of the correlation strength between covariates and</w:t>
      </w:r>
      <w:r>
        <w:t xml:space="preserve"> </w:t>
      </w:r>
      <w:r>
        <w:rPr>
          <w:i/>
          <w:iCs/>
        </w:rPr>
        <w:t xml:space="preserve">Y</w:t>
      </w:r>
      <w:r>
        <w:t xml:space="preserve">.</w:t>
      </w:r>
    </w:p>
    <w:tbl>
      <w:tblPr>
        <w:tblStyle w:val="Table"/>
        <w:tblW w:type="pct" w:w="5000"/>
        <w:tblLayout w:type="fixed"/>
        <w:tblLook w:firstRow="0" w:lastRow="0" w:firstColumn="0" w:lastColumn="0" w:noHBand="0" w:noVBand="0" w:val="0000"/>
      </w:tblPr>
      <w:tblGrid>
        <w:gridCol w:w="7920"/>
      </w:tblGrid>
      <w:tr>
        <w:tc>
          <w:tcPr/>
          <w:bookmarkStart w:id="37" w:name="fig-type1-panel"/>
          <w:p>
            <w:pPr>
              <w:pStyle w:val="Compact"/>
              <w:jc w:val="center"/>
            </w:pPr>
            <w:r>
              <w:drawing>
                <wp:inline>
                  <wp:extent cx="5334000" cy="4000499"/>
                  <wp:effectExtent b="0" l="0" r="0" t="0"/>
                  <wp:docPr descr="" title="" id="35" name="Picture"/>
                  <a:graphic>
                    <a:graphicData uri="http://schemas.openxmlformats.org/drawingml/2006/picture">
                      <pic:pic>
                        <pic:nvPicPr>
                          <pic:cNvPr descr="index_files/figure-docx/notebooks-mak_figures-fig-type1-panel-output-1.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bookmarkEnd w:id="39"/>
    <w:bookmarkStart w:id="50" w:name="type-ii-error"/>
    <w:p>
      <w:pPr>
        <w:pStyle w:val="Heading2"/>
      </w:pPr>
      <w:r>
        <w:t xml:space="preserve">Type II Error</w:t>
      </w:r>
    </w:p>
    <w:p>
      <w:pPr>
        <w:pStyle w:val="FirstParagraph"/>
      </w:pPr>
      <w:r>
        <w:t xml:space="preserve">We simulated datasets with two possible population parameters for the effect of</w:t>
      </w:r>
      <w:r>
        <w:t xml:space="preserve"> </w:t>
      </w:r>
      <w:r>
        <w:rPr>
          <w:i/>
          <w:iCs/>
        </w:rPr>
        <w:t xml:space="preserve">X</w:t>
      </w:r>
      <w:r>
        <w:t xml:space="preserve"> </w:t>
      </w:r>
      <w:r>
        <w:t xml:space="preserve">on</w:t>
      </w:r>
      <w:r>
        <w:t xml:space="preserve"> </w:t>
      </w:r>
      <w:r>
        <w:rPr>
          <w:i/>
          <w:iCs/>
        </w:rPr>
        <w:t xml:space="preserve">Y</w:t>
      </w:r>
      <w:r>
        <w:t xml:space="preserve"> </w:t>
      </w:r>
      <w:r>
        <w:t xml:space="preserve">(</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Any non-significant result found indicated a Type II error. Stronger statistical methods will have lower Type II error (implying greater statistical power). Since we demonstrated that p-hacking substantially inflates Type I error, making it a statistically invalid method for covariate selection, we do not evaluate Type II Error for this method.</w:t>
      </w:r>
    </w:p>
    <w:p>
      <w:pPr>
        <w:pStyle w:val="BodyText"/>
      </w:pPr>
      <w:hyperlink w:anchor="fig-bar-2">
        <w:r>
          <w:rPr>
            <w:rStyle w:val="Hyperlink"/>
          </w:rPr>
          <w:t xml:space="preserve">Figure 3</w:t>
        </w:r>
      </w:hyperlink>
      <w:r>
        <w:t xml:space="preserve"> </w:t>
      </w:r>
      <w:r>
        <w:t xml:space="preserve">shows the average Type II error rate across all research contexts for each method. Using no covariates results in the highest Type II error highlighting the importance of covariates for detecting true effects. Type II error rates trended lower for covariate selection methods that controlled for</w:t>
      </w:r>
      <w:r>
        <w:t xml:space="preserve"> </w:t>
      </w:r>
      <w:r>
        <w:rPr>
          <w:i/>
          <w:iCs/>
        </w:rPr>
        <w:t xml:space="preserve">X</w:t>
      </w:r>
      <w:r>
        <w:t xml:space="preserve"> </w:t>
      </w:r>
      <w:r>
        <w:t xml:space="preserve">compared to those that did not control for</w:t>
      </w:r>
      <w:r>
        <w:t xml:space="preserve"> </w:t>
      </w:r>
      <w:r>
        <w:rPr>
          <w:i/>
          <w:iCs/>
        </w:rPr>
        <w:t xml:space="preserve">X</w:t>
      </w:r>
      <w:r>
        <w:t xml:space="preserve">.</w:t>
      </w:r>
      <w:r>
        <w:t xml:space="preserve"> </w:t>
      </w:r>
    </w:p>
    <w:tbl>
      <w:tblPr>
        <w:tblStyle w:val="Table"/>
        <w:tblW w:type="pct" w:w="5000"/>
        <w:tblLayout w:type="fixed"/>
        <w:tblLook w:firstRow="0" w:lastRow="0" w:firstColumn="0" w:lastColumn="0" w:noHBand="0" w:noVBand="0" w:val="0000"/>
      </w:tblPr>
      <w:tblGrid>
        <w:gridCol w:w="7920"/>
      </w:tblGrid>
      <w:tr>
        <w:tc>
          <w:tcPr/>
          <w:bookmarkStart w:id="43" w:name="fig-bar-2"/>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2-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w:r>
        <w:rPr>
          <w:i/>
          <w:iCs/>
        </w:rPr>
        <w:t xml:space="preserve">X</w:t>
      </w:r>
      <w:r>
        <w:t xml:space="preserve"> </w:t>
      </w:r>
      <w:r>
        <w:t xml:space="preserve">performed had higher Type II error rates compared to the other methods when sample sizes were low. This pattern was especially notable for using all covariates and an all covariates linear model without</w:t>
      </w:r>
      <w:r>
        <w:t xml:space="preserve"> </w:t>
      </w:r>
      <w:r>
        <w:rPr>
          <w:i/>
          <w:iCs/>
        </w:rPr>
        <w:t xml:space="preserve">X</w:t>
      </w:r>
      <w:r>
        <w:t xml:space="preserve">. As sample size increased, the methods performed comparably with respect to Type II error. Using all covariates or an all covariates linear model without</w:t>
      </w:r>
      <w:r>
        <w:t xml:space="preserve"> </w:t>
      </w:r>
      <w:r>
        <w:rPr>
          <w:i/>
          <w:iCs/>
        </w:rPr>
        <w:t xml:space="preserve">X</w:t>
      </w:r>
      <w:r>
        <w:t xml:space="preserve"> </w:t>
      </w:r>
      <w:r>
        <w:t xml:space="preserve">for selection produced higher Type II error rates compared to other methods when there was a larger number of covariates available. The all covariates linear model without</w:t>
      </w:r>
      <w:r>
        <w:t xml:space="preserve"> </w:t>
      </w:r>
      <w:r>
        <w:rPr>
          <w:i/>
          <w:iCs/>
        </w:rPr>
        <w:t xml:space="preserve">X</w:t>
      </w:r>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48" w:name="fig-panel-2"/>
          <w:p>
            <w:pPr>
              <w:pStyle w:val="Compact"/>
              <w:jc w:val="center"/>
            </w:pPr>
            <w:r>
              <w:drawing>
                <wp:inline>
                  <wp:extent cx="5334000" cy="6400800"/>
                  <wp:effectExtent b="0" l="0" r="0" t="0"/>
                  <wp:docPr descr="" title="" id="46" name="Picture"/>
                  <a:graphic>
                    <a:graphicData uri="http://schemas.openxmlformats.org/drawingml/2006/picture">
                      <pic:pic>
                        <pic:nvPicPr>
                          <pic:cNvPr descr="index_files/figure-docx/notebooks-mak_figures-fig-panel-2-output-2.png" id="47" name="Picture"/>
                          <pic:cNvPicPr>
                            <a:picLocks noChangeArrowheads="1" noChangeAspect="1"/>
                          </pic:cNvPicPr>
                        </pic:nvPicPr>
                        <pic:blipFill>
                          <a:blip r:embed="rId45"/>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Start w:id="53" w:name="parameter-estimates"/>
    <w:p>
      <w:pPr>
        <w:pStyle w:val="Heading2"/>
      </w:pPr>
      <w:r>
        <w:t xml:space="preserve">Parameter Estimates</w:t>
      </w:r>
    </w:p>
    <w:p>
      <w:pPr>
        <w:pStyle w:val="FirstParagraph"/>
      </w:pPr>
      <w:hyperlink w:anchor="tbl-est">
        <w:r>
          <w:rPr>
            <w:rStyle w:val="Hyperlink"/>
          </w:rPr>
          <w:t xml:space="preserve">Table 3</w:t>
        </w:r>
      </w:hyperlink>
      <w:r>
        <w:t xml:space="preserve"> </w:t>
      </w:r>
      <w:r>
        <w:t xml:space="preserve">shows the mean parameter estimate of</w:t>
      </w:r>
      <w:r>
        <w:t xml:space="preserve"> </w:t>
      </w:r>
      <w:r>
        <w:rPr>
          <w:i/>
          <w:iCs/>
        </w:rPr>
        <w:t xml:space="preserve">X</w:t>
      </w:r>
      <w:r>
        <w:t xml:space="preserve"> </w:t>
      </w:r>
      <w:r>
        <w:t xml:space="preserve">for all nine methods separately by effect size (</w:t>
      </w:r>
      <m:oMath>
        <m:sSub>
          <m:e>
            <m:r>
              <m:t>b</m:t>
            </m:r>
          </m:e>
          <m:sub>
            <m:r>
              <m:t>x</m:t>
            </m:r>
          </m:sub>
        </m:sSub>
        <m:r>
          <m:rPr>
            <m:sty m:val="p"/>
          </m:rPr>
          <m:t>=</m:t>
        </m:r>
        <m:r>
          <m:t>0</m:t>
        </m:r>
      </m:oMath>
      <w:r>
        <w:t xml:space="preserve">,</w:t>
      </w:r>
      <w:r>
        <w:t xml:space="preserve"> </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All methods yield unbiased estimates when the effect size is 0. When there is a non-zero effect, p-hacking methods notably inflate the effect size. Other data-driven methods that do not control for X yield slightly biased parameter estimates. Sampling distributions of parameter estimates are available in the supplement.</w:t>
      </w:r>
    </w:p>
    <w:tbl>
      <w:tblPr>
        <w:tblStyle w:val="Table"/>
        <w:tblW w:type="pct" w:w="5000"/>
        <w:tblLayout w:type="fixed"/>
        <w:tblLook w:firstRow="0" w:lastRow="0" w:firstColumn="0" w:lastColumn="0" w:noHBand="0" w:noVBand="0" w:val="0000"/>
      </w:tblPr>
      <w:tblGrid>
        <w:gridCol w:w="7920"/>
      </w:tblGrid>
      <w:tr>
        <w:tc>
          <w:tcPr/>
          <w:bookmarkStart w:id="51" w:name="tbl-est"/>
          <w:p>
            <w:pPr>
              <w:jc w:val="center"/>
            </w:pPr>
            <w:pPr>
              <w:jc w:val="star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w:t>
                  </w:r>
                </w:p>
              </w:tc>
              <w:tc>
                <w:tcPr/>
                <w:p>
                  <w:pPr>
                    <w:pStyle w:val="Compact"/>
                    <w:jc w:val="right"/>
                    <w:jc w:val="center"/>
                  </w:pPr>
                  <w:r>
                    <w:t xml:space="preserve">d = .2</w:t>
                  </w:r>
                </w:p>
              </w:tc>
              <w:tc>
                <w:tcPr/>
                <w:p>
                  <w:pPr>
                    <w:pStyle w:val="Compact"/>
                    <w:jc w:val="right"/>
                    <w:jc w:val="center"/>
                  </w:pPr>
                  <w:r>
                    <w:t xml:space="preserve">d = .5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right"/>
                    <w:jc w:val="center"/>
                  </w:pPr>
                  <w:r>
                    <w:t xml:space="preserve">0.262</w:t>
                  </w:r>
                </w:p>
              </w:tc>
              <w:tc>
                <w:tcPr/>
                <w:p>
                  <w:pPr>
                    <w:pStyle w:val="Compact"/>
                    <w:jc w:val="right"/>
                    <w:jc w:val="center"/>
                  </w:pPr>
                  <w:r>
                    <w:t xml:space="preserve">0.563</w:t>
                  </w:r>
                </w:p>
              </w:tc>
            </w:tr>
            <w:tr>
              <w:tc>
                <w:tcPr/>
                <w:p>
                  <w:pPr>
                    <w:pStyle w:val="Compact"/>
                    <w:jc w:val="left"/>
                    <w:jc w:val="center"/>
                  </w:pPr>
                  <w:r>
                    <w:t xml:space="preserve">Single covariate lm without X</w:t>
                  </w:r>
                </w:p>
              </w:tc>
              <w:tc>
                <w:tcPr/>
                <w:p>
                  <w:pPr>
                    <w:pStyle w:val="Compact"/>
                    <w:jc w:val="left"/>
                    <w:jc w:val="center"/>
                  </w:pPr>
                  <w:r>
                    <w:t xml:space="preserve">-0.000</w:t>
                  </w:r>
                </w:p>
              </w:tc>
              <w:tc>
                <w:tcPr/>
                <w:p>
                  <w:pPr>
                    <w:pStyle w:val="Compact"/>
                    <w:jc w:val="right"/>
                    <w:jc w:val="center"/>
                  </w:pPr>
                  <w:r>
                    <w:t xml:space="preserve">0.198</w:t>
                  </w:r>
                </w:p>
              </w:tc>
              <w:tc>
                <w:tcPr/>
                <w:p>
                  <w:pPr>
                    <w:pStyle w:val="Compact"/>
                    <w:jc w:val="right"/>
                    <w:jc w:val="center"/>
                  </w:pPr>
                  <w:r>
                    <w:t xml:space="preserve">0.495</w:t>
                  </w:r>
                </w:p>
              </w:tc>
            </w:tr>
            <w:tr>
              <w:tc>
                <w:tcPr/>
                <w:p>
                  <w:pPr>
                    <w:pStyle w:val="Compact"/>
                    <w:jc w:val="left"/>
                    <w:jc w:val="center"/>
                  </w:pPr>
                  <w:r>
                    <w:t xml:space="preserve">Single covariate lm with X</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All covariates lm without X</w:t>
                  </w:r>
                </w:p>
              </w:tc>
              <w:tc>
                <w:tcPr/>
                <w:p>
                  <w:pPr>
                    <w:pStyle w:val="Compact"/>
                    <w:jc w:val="left"/>
                    <w:jc w:val="center"/>
                  </w:pPr>
                  <w:r>
                    <w:t xml:space="preserve">-0.000</w:t>
                  </w:r>
                </w:p>
              </w:tc>
              <w:tc>
                <w:tcPr/>
                <w:p>
                  <w:pPr>
                    <w:pStyle w:val="Compact"/>
                    <w:jc w:val="right"/>
                    <w:jc w:val="center"/>
                  </w:pPr>
                  <w:r>
                    <w:t xml:space="preserve">0.192</w:t>
                  </w:r>
                </w:p>
              </w:tc>
              <w:tc>
                <w:tcPr/>
                <w:p>
                  <w:pPr>
                    <w:pStyle w:val="Compact"/>
                    <w:jc w:val="right"/>
                    <w:jc w:val="center"/>
                  </w:pPr>
                  <w:r>
                    <w:t xml:space="preserve">0.479</w:t>
                  </w:r>
                </w:p>
              </w:tc>
            </w:tr>
            <w:tr>
              <w:tc>
                <w:tcPr/>
                <w:p>
                  <w:pPr>
                    <w:pStyle w:val="Compact"/>
                    <w:jc w:val="left"/>
                    <w:jc w:val="center"/>
                  </w:pPr>
                  <w:r>
                    <w:t xml:space="preserve">All covariates lm with X</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All covariates LASSO without X</w:t>
                  </w:r>
                </w:p>
              </w:tc>
              <w:tc>
                <w:tcPr/>
                <w:p>
                  <w:pPr>
                    <w:pStyle w:val="Compact"/>
                    <w:jc w:val="left"/>
                    <w:jc w:val="center"/>
                  </w:pPr>
                  <w:r>
                    <w:t xml:space="preserve">-0.000</w:t>
                  </w:r>
                </w:p>
              </w:tc>
              <w:tc>
                <w:tcPr/>
                <w:p>
                  <w:pPr>
                    <w:pStyle w:val="Compact"/>
                    <w:jc w:val="right"/>
                    <w:jc w:val="center"/>
                  </w:pPr>
                  <w:r>
                    <w:t xml:space="preserve">0.195</w:t>
                  </w:r>
                </w:p>
              </w:tc>
              <w:tc>
                <w:tcPr/>
                <w:p>
                  <w:pPr>
                    <w:pStyle w:val="Compact"/>
                    <w:jc w:val="right"/>
                    <w:jc w:val="center"/>
                  </w:pPr>
                  <w:r>
                    <w:t xml:space="preserve">0.487</w:t>
                  </w:r>
                </w:p>
              </w:tc>
            </w:tr>
            <w:tr>
              <w:tc>
                <w:tcPr/>
                <w:p>
                  <w:pPr>
                    <w:pStyle w:val="Compact"/>
                    <w:jc w:val="left"/>
                    <w:jc w:val="center"/>
                  </w:pPr>
                  <w:r>
                    <w:t xml:space="preserve">All covariates LASSO with X</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bl>
          <w:bookmarkEnd w:id="51"/>
          <w:p/>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Tables for Main Manuscript</w:t>
        </w:r>
      </w:hyperlink>
    </w:p>
    <w:bookmarkEnd w:id="53"/>
    <w:bookmarkEnd w:id="54"/>
    <w:bookmarkStart w:id="55"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8.4%-13.5%). However, our simulations suggest this estimate may gravely underestimate the magnitude of the problem of p-hacking. It is more realistic that researchers must choose from several candidate covariates. Even when the number of available covariates is modest (i.e., 8-12), our results show that Type I error rates increase to 17.6% (range: 9.4%-32.9%) across contexts. When selecting among 16-20 covariates, Type I error rates, on average, reach a 2.5-fold increase from the 4-covariate context (26.9%, range: 13.9%-46.2%).</w:t>
      </w:r>
    </w:p>
    <w:p>
      <w:pPr>
        <w:pStyle w:val="BodyText"/>
      </w:pPr>
      <w:r>
        <w:t xml:space="preserve">When covariates were completely withheld (i.e., no covariates method), simulated models yielded an average Type I error rate of .05 and unbiased parameter estimates. However, this approach also showed a meaningfully higher Type II error rate compared to the other methods. This is not surprising. Adding covariates correlated with the outcome and uncorrelated with</w:t>
      </w:r>
      <w:r>
        <w:t xml:space="preserve"> </w:t>
      </w:r>
      <w:r>
        <w:rPr>
          <w:i/>
          <w:iCs/>
        </w:rPr>
        <w:t xml:space="preserve">X</w:t>
      </w:r>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w:t>
      </w:r>
    </w:p>
    <w:p>
      <w:pPr>
        <w:pStyle w:val="BodyText"/>
      </w:pPr>
      <w:r>
        <w:t xml:space="preserve">In many instances, using all available covariates selected a priori to data analysis is a reasonable option. Our simulated models showed consistent average Type I error rates of .05 and unbiased parameter estimates. Additionally, on average Type II error rates were only about 2% higher than some of the best performing data-driven selection methods (i.e., all covariates LASSO with</w:t>
      </w:r>
      <w:r>
        <w:t xml:space="preserve"> </w:t>
      </w:r>
      <w:r>
        <w:rPr>
          <w:i/>
          <w:iCs/>
        </w:rPr>
        <w:t xml:space="preserve">X</w:t>
      </w:r>
      <w:r>
        <w:t xml:space="preserve"> </w:t>
      </w:r>
      <w:r>
        <w:t xml:space="preserve">and single covariate linear model with</w:t>
      </w:r>
      <w:r>
        <w:t xml:space="preserve"> </w:t>
      </w:r>
      <w:r>
        <w:rPr>
          <w:i/>
          <w:iCs/>
        </w:rPr>
        <w:t xml:space="preserve">X</w:t>
      </w:r>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9% lower than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w:r>
        <w:rPr>
          <w:i/>
          <w:iCs/>
        </w:rPr>
        <w:t xml:space="preserve">X</w:t>
      </w:r>
      <w:r>
        <w:t xml:space="preserve">, in the model they produced biased parameter estimates. This bias results from the models favoring selecting covariates that are correlated with</w:t>
      </w:r>
      <w:r>
        <w:t xml:space="preserve"> </w:t>
      </w:r>
      <w:r>
        <w:rPr>
          <w:i/>
          <w:iCs/>
        </w:rPr>
        <w:t xml:space="preserve">X</w:t>
      </w:r>
      <w:r>
        <w:t xml:space="preserve"> </w:t>
      </w:r>
      <w:r>
        <w:t xml:space="preserve">in the sample despite being uncorrelated in the population. In other words, the models are accounting for variance in the outcome related to</w:t>
      </w:r>
      <w:r>
        <w:t xml:space="preserve"> </w:t>
      </w:r>
      <w:r>
        <w:rPr>
          <w:i/>
          <w:iCs/>
        </w:rPr>
        <w:t xml:space="preserve">X</w:t>
      </w:r>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w:r>
        <w:rPr>
          <w:i/>
          <w:iCs/>
        </w:rPr>
        <w:t xml:space="preserve">X</w:t>
      </w:r>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than the other data-driven methods. When no true effect existed the all covariates linear model with</w:t>
      </w:r>
      <w:r>
        <w:t xml:space="preserve"> </w:t>
      </w:r>
      <w:r>
        <w:rPr>
          <w:i/>
          <w:iCs/>
        </w:rPr>
        <w:t xml:space="preserve">X</w:t>
      </w:r>
      <w:r>
        <w:t xml:space="preserve"> </w:t>
      </w:r>
      <w:r>
        <w:t xml:space="preserve">yielded the highest Type II error compared to the other data-driven selection methods. When there was a true effect, the all covariates linear model with and without</w:t>
      </w:r>
      <w:r>
        <w:t xml:space="preserve"> </w:t>
      </w:r>
      <w:r>
        <w:rPr>
          <w:i/>
          <w:iCs/>
        </w:rPr>
        <w:t xml:space="preserve">X</w:t>
      </w:r>
      <w:r>
        <w:t xml:space="preserve"> </w:t>
      </w:r>
      <w:r>
        <w:t xml:space="preserve">showed higher Type II error rates compared to the respective single covariate linear and all covariates LASSO models, with and without</w:t>
      </w:r>
      <w:r>
        <w:t xml:space="preserve"> </w:t>
      </w:r>
      <w:r>
        <w:rPr>
          <w:i/>
          <w:iCs/>
        </w:rPr>
        <w:t xml:space="preserve">X</w:t>
      </w:r>
      <w:r>
        <w:t xml:space="preserve">. Finally, the all covariates model with</w:t>
      </w:r>
      <w:r>
        <w:t xml:space="preserve"> </w:t>
      </w:r>
      <w:r>
        <w:rPr>
          <w:i/>
          <w:iCs/>
        </w:rPr>
        <w:t xml:space="preserve">X</w:t>
      </w:r>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all covariates LASSO with</w:t>
      </w:r>
      <w:r>
        <w:t xml:space="preserve"> </w:t>
      </w:r>
      <w:r>
        <w:rPr>
          <w:i/>
          <w:iCs/>
        </w:rPr>
        <w:t xml:space="preserve">X</w:t>
      </w:r>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w:r>
        <w:rPr>
          <w:i/>
          <w:iCs/>
        </w:rPr>
        <w:t xml:space="preserve">X</w:t>
      </w:r>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introducing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w:r>
        <w:rPr>
          <w:i/>
          <w:iCs/>
        </w:rPr>
        <w:t xml:space="preserve">X</w:t>
      </w:r>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55"/>
    <w:bookmarkStart w:id="86" w:name="references"/>
    <w:p>
      <w:pPr>
        <w:pStyle w:val="Heading1"/>
      </w:pPr>
      <w:r>
        <w:t xml:space="preserve">References</w:t>
      </w:r>
    </w:p>
    <w:bookmarkStart w:id="85" w:name="refs"/>
    <w:bookmarkStart w:id="57"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56">
        <w:r>
          <w:rPr>
            <w:rStyle w:val="Hyperlink"/>
          </w:rPr>
          <w:t xml:space="preserve">https://doi.org/10.1016/0197-2456(89)90055-x</w:t>
        </w:r>
      </w:hyperlink>
      <w:r>
        <w:t xml:space="preserve">.</w:t>
      </w:r>
    </w:p>
    <w:bookmarkEnd w:id="57"/>
    <w:bookmarkStart w:id="59"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58">
        <w:r>
          <w:rPr>
            <w:rStyle w:val="Hyperlink"/>
          </w:rPr>
          <w:t xml:space="preserve">https://doi.org/10.1038/nrn3475</w:t>
        </w:r>
      </w:hyperlink>
      <w:r>
        <w:t xml:space="preserve">.</w:t>
      </w:r>
    </w:p>
    <w:bookmarkEnd w:id="59"/>
    <w:bookmarkStart w:id="6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0">
        <w:r>
          <w:rPr>
            <w:rStyle w:val="Hyperlink"/>
          </w:rPr>
          <w:t xml:space="preserve">https://doi.org/10.21231/GNT1-HW21</w:t>
        </w:r>
      </w:hyperlink>
      <w:r>
        <w:t xml:space="preserve">.</w:t>
      </w:r>
    </w:p>
    <w:bookmarkEnd w:id="61"/>
    <w:bookmarkStart w:id="63"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62">
        <w:r>
          <w:rPr>
            <w:rStyle w:val="Hyperlink"/>
          </w:rPr>
          <w:t xml:space="preserve">https://doi.org/10.1037/h0045186</w:t>
        </w:r>
      </w:hyperlink>
      <w:r>
        <w:t xml:space="preserve">.</w:t>
      </w:r>
    </w:p>
    <w:bookmarkEnd w:id="63"/>
    <w:bookmarkStart w:id="64"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64"/>
    <w:bookmarkStart w:id="65"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65"/>
    <w:bookmarkStart w:id="67"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66">
        <w:r>
          <w:rPr>
            <w:rStyle w:val="Hyperlink"/>
          </w:rPr>
          <w:t xml:space="preserve">https://doi.org/10.1186/1471-2288-14-49</w:t>
        </w:r>
      </w:hyperlink>
      <w:r>
        <w:t xml:space="preserve">.</w:t>
      </w:r>
    </w:p>
    <w:bookmarkEnd w:id="67"/>
    <w:bookmarkStart w:id="69"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68">
        <w:r>
          <w:rPr>
            <w:rStyle w:val="Hyperlink"/>
          </w:rPr>
          <w:t xml:space="preserve">https://doi.org/10.1016/j.annepidem.2005.09.007</w:t>
        </w:r>
      </w:hyperlink>
      <w:r>
        <w:t xml:space="preserve">.</w:t>
      </w:r>
    </w:p>
    <w:bookmarkEnd w:id="69"/>
    <w:bookmarkStart w:id="71"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0">
        <w:r>
          <w:rPr>
            <w:rStyle w:val="Hyperlink"/>
          </w:rPr>
          <w:t xml:space="preserve">https://doi.org/10.1016/j.jclinepi.2003.09.014</w:t>
        </w:r>
      </w:hyperlink>
      <w:r>
        <w:t xml:space="preserve">.</w:t>
      </w:r>
    </w:p>
    <w:bookmarkEnd w:id="71"/>
    <w:bookmarkStart w:id="73"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72">
        <w:r>
          <w:rPr>
            <w:rStyle w:val="Hyperlink"/>
          </w:rPr>
          <w:t xml:space="preserve">https://doi.org/10.1371/journal.pmed.0020124</w:t>
        </w:r>
      </w:hyperlink>
      <w:r>
        <w:t xml:space="preserve">.</w:t>
      </w:r>
    </w:p>
    <w:bookmarkEnd w:id="73"/>
    <w:bookmarkStart w:id="75"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74">
        <w:r>
          <w:rPr>
            <w:rStyle w:val="Hyperlink"/>
          </w:rPr>
          <w:t xml:space="preserve">https://doi.org/10.1186/1745-6215-15-139</w:t>
        </w:r>
      </w:hyperlink>
      <w:r>
        <w:t xml:space="preserve">.</w:t>
      </w:r>
    </w:p>
    <w:bookmarkEnd w:id="75"/>
    <w:bookmarkStart w:id="77"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76">
        <w:r>
          <w:rPr>
            <w:rStyle w:val="Hyperlink"/>
          </w:rPr>
          <w:t xml:space="preserve">https://doi.org/10.1080/03610928508828942</w:t>
        </w:r>
      </w:hyperlink>
      <w:r>
        <w:t xml:space="preserve">.</w:t>
      </w:r>
    </w:p>
    <w:bookmarkEnd w:id="77"/>
    <w:bookmarkStart w:id="79"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78">
        <w:r>
          <w:rPr>
            <w:rStyle w:val="Hyperlink"/>
          </w:rPr>
          <w:t xml:space="preserve">https://doi.org/10.1177/0956797611417632</w:t>
        </w:r>
      </w:hyperlink>
      <w:r>
        <w:t xml:space="preserve">.</w:t>
      </w:r>
    </w:p>
    <w:bookmarkEnd w:id="79"/>
    <w:bookmarkStart w:id="81"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80">
        <w:r>
          <w:rPr>
            <w:rStyle w:val="Hyperlink"/>
          </w:rPr>
          <w:t xml:space="preserve">https://doi.org/10.1037/a0033242</w:t>
        </w:r>
      </w:hyperlink>
      <w:r>
        <w:t xml:space="preserve">.</w:t>
      </w:r>
    </w:p>
    <w:bookmarkEnd w:id="81"/>
    <w:bookmarkStart w:id="83"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82">
        <w:r>
          <w:rPr>
            <w:rStyle w:val="Hyperlink"/>
          </w:rPr>
          <w:t xml:space="preserve">https://doi.org/10.1016/j.jclinepi.2014.11.001</w:t>
        </w:r>
      </w:hyperlink>
      <w:r>
        <w:t xml:space="preserve">.</w:t>
      </w:r>
    </w:p>
    <w:bookmarkEnd w:id="83"/>
    <w:bookmarkStart w:id="84"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84"/>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34" Target="media/rId34.png" /><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2026-01-10T05:49:38Z</dcterms:created>
  <dcterms:modified xsi:type="dcterms:W3CDTF">2026-01-10T05:49:38Z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2026-01-09</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