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Methods</w:t>
      </w:r>
      <w:r>
        <w:t xml:space="preserve"> </w:t>
      </w:r>
      <w:r>
        <w:t xml:space="preserve">for</w:t>
      </w:r>
      <w:r>
        <w:t xml:space="preserve"> </w:t>
      </w:r>
      <w:r>
        <w:t xml:space="preserve">Covariate</w:t>
      </w:r>
      <w:r>
        <w:t xml:space="preserve"> </w:t>
      </w:r>
      <w:r>
        <w:t xml:space="preserve">Selection</w:t>
      </w:r>
      <w:r>
        <w:t xml:space="preserve"> </w:t>
      </w:r>
      <w:r>
        <w:t xml:space="preserve">in</w:t>
      </w:r>
      <w:r>
        <w:t xml:space="preserve"> </w:t>
      </w:r>
      <w:r>
        <w:t xml:space="preserve">Experimental</w:t>
      </w:r>
      <w:r>
        <w:t xml:space="preserve"> </w:t>
      </w:r>
      <w:r>
        <w:t xml:space="preserve">Designs</w:t>
      </w:r>
    </w:p>
    <w:p>
      <w:pPr>
        <w:pStyle w:val="Author"/>
      </w:pPr>
      <w:r>
        <w:t xml:space="preserve">Kendra</w:t>
      </w:r>
      <w:r>
        <w:t xml:space="preserve"> </w:t>
      </w:r>
      <w:r>
        <w:t xml:space="preserve">Wyant</w:t>
      </w:r>
    </w:p>
    <w:p>
      <w:pPr>
        <w:pStyle w:val="Author"/>
      </w:pPr>
      <w:r>
        <w:t xml:space="preserve">Lauren</w:t>
      </w:r>
      <w:r>
        <w:t xml:space="preserve"> </w:t>
      </w:r>
      <w:r>
        <w:t xml:space="preserve">Khoury</w:t>
      </w:r>
    </w:p>
    <w:p>
      <w:pPr>
        <w:pStyle w:val="Author"/>
      </w:pPr>
      <w:r>
        <w:t xml:space="preserve">Markus</w:t>
      </w:r>
      <w:r>
        <w:t xml:space="preserve"> </w:t>
      </w:r>
      <w:r>
        <w:t xml:space="preserve">Brauer</w:t>
      </w:r>
    </w:p>
    <w:p>
      <w:pPr>
        <w:pStyle w:val="Author"/>
      </w:pPr>
      <w:r>
        <w:t xml:space="preserve">John</w:t>
      </w:r>
      <w:r>
        <w:t xml:space="preserve"> </w:t>
      </w:r>
      <w:r>
        <w:t xml:space="preserve">J.</w:t>
      </w:r>
      <w:r>
        <w:t xml:space="preserve"> </w:t>
      </w:r>
      <w:r>
        <w:t xml:space="preserve">Curtin</w:t>
      </w:r>
    </w:p>
    <w:p>
      <w:pPr>
        <w:pStyle w:val="Date"/>
      </w:pPr>
      <w:r>
        <w:t xml:space="preserve">2026-03-06</w:t>
      </w:r>
    </w:p>
    <w:p>
      <w:pPr>
        <w:pStyle w:val="AbstractTitle"/>
      </w:pPr>
      <w:r>
        <w:t xml:space="preserve">Abstract</w:t>
      </w:r>
    </w:p>
    <w:p>
      <w:pPr>
        <w:pStyle w:val="Abstract"/>
      </w:pPr>
      <w:r>
        <w:t xml:space="preserve">Abstract</w:t>
      </w:r>
      <w:r>
        <w:t xml:space="preserve"> </w:t>
      </w:r>
      <w:r>
        <w:t xml:space="preserve">of</w:t>
      </w:r>
      <w:r>
        <w:t xml:space="preserve"> </w:t>
      </w:r>
      <w:r>
        <w:t xml:space="preserve">paper</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span</w:t>
      </w:r>
      <w:r>
        <w:t xml:space="preserve"> </w:t>
      </w:r>
      <w:r>
        <w:t xml:space="preserve">several</w:t>
      </w:r>
      <w:r>
        <w:t xml:space="preserve"> </w:t>
      </w:r>
      <w:r>
        <w:t xml:space="preserve">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Cs/>
          <w:i/>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w:t>
      </w:r>
      <w:r>
        <w:t xml:space="preserve">all covariates</w:t>
      </w:r>
      <w:r>
        <w:t xml:space="preserve">”</w:t>
      </w:r>
      <w:r>
        <w:t xml:space="preserve"> </w:t>
      </w:r>
      <w:r>
        <w:t xml:space="preserve">and</w:t>
      </w:r>
      <w:r>
        <w:t xml:space="preserve"> </w:t>
      </w:r>
      <w:r>
        <w:t xml:space="preserve">“</w:t>
      </w:r>
      <w:r>
        <w:t xml:space="preserve">no covariates</w:t>
      </w:r>
      <w:r>
        <w:t xml:space="preserve">”</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Cs/>
          <w:i/>
        </w:rPr>
        <w:t xml:space="preserve">X</w:t>
      </w:r>
      <w:r>
        <w:t xml:space="preserve">) and without controlling for</w:t>
      </w:r>
      <w:r>
        <w:t xml:space="preserve"> </w:t>
      </w:r>
      <w:r>
        <w:rPr>
          <w:iCs/>
          <w:i/>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Cs/>
          <w:i/>
        </w:rPr>
        <w:t xml:space="preserve">X</w:t>
      </w:r>
      <w:r>
        <w:t xml:space="preserve">), varying numbers of quantitative covariates, where a subset are correlated with each other and with</w:t>
      </w:r>
      <w:r>
        <w:t xml:space="preserve"> </w:t>
      </w:r>
      <w:r>
        <w:rPr>
          <w:iCs/>
          <w:i/>
        </w:rPr>
        <w:t xml:space="preserve">Y</w:t>
      </w:r>
      <w:r>
        <w:t xml:space="preserve"> </w:t>
      </w:r>
      <w:r>
        <w:t xml:space="preserve">(see Research Contexts section), and a quantitative outcome (</w:t>
      </w:r>
      <w:r>
        <w:rPr>
          <w:iCs/>
          <w:i/>
        </w:rPr>
        <w:t xml:space="preserve">Y</w:t>
      </w:r>
      <w:r>
        <w:t xml:space="preserve">) calculated by adding the</w:t>
      </w:r>
      <w:r>
        <w:t xml:space="preserve"> </w:t>
      </w:r>
      <w:r>
        <w:rPr>
          <w:iCs/>
          <w:i/>
        </w:rPr>
        <w:t xml:space="preserve">X</w:t>
      </w:r>
      <w:r>
        <w:t xml:space="preserve"> </w:t>
      </w:r>
      <w:r>
        <w:t xml:space="preserve">variable multiplied by the effect size (i.e., population parameter) to the</w:t>
      </w:r>
      <w:r>
        <w:t xml:space="preserve"> </w:t>
      </w:r>
      <w:r>
        <w:rPr>
          <w:iCs/>
          <w:i/>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Cs/>
          <w:i/>
        </w:rPr>
        <w:t xml:space="preserve">X</w:t>
      </w:r>
      <w:r>
        <w:t xml:space="preserve">.</w:t>
      </w:r>
      <w:r>
        <w:t xml:space="preserve"> </w:t>
      </w:r>
      <w:r>
        <w:t xml:space="preserve"> </w:t>
      </w:r>
    </w:p>
    <w:p>
      <w:pPr>
        <w:pStyle w:val="BodyText"/>
      </w:pPr>
      <w:r>
        <w:t xml:space="preserve">For research contexts where the population parameter for</w:t>
      </w:r>
      <w:r>
        <w:t xml:space="preserve"> </w:t>
      </w:r>
      <w:r>
        <w:rPr>
          <w:iCs/>
          <w:i/>
        </w:rPr>
        <w:t xml:space="preserve">X</w:t>
      </w:r>
      <w:r>
        <w:t xml:space="preserve"> </w:t>
      </w:r>
      <w:r>
        <w:t xml:space="preserve">is 0 (i.e.,</w:t>
      </w:r>
      <w:r>
        <w:t xml:space="preserve"> </w:t>
      </w:r>
      <w:r>
        <w:rPr>
          <w:iCs/>
          <w:i/>
        </w:rPr>
        <w:t xml:space="preserve">X</w:t>
      </w:r>
      <w:r>
        <w:t xml:space="preserve"> </w:t>
      </w:r>
      <w:r>
        <w:t xml:space="preserve">has no effect on</w:t>
      </w:r>
      <w:r>
        <w:t xml:space="preserve"> </w:t>
      </w:r>
      <w:r>
        <w:rPr>
          <w:iCs/>
          <w:i/>
        </w:rPr>
        <w:t xml:space="preserve">Y</w:t>
      </w:r>
      <w:r>
        <w:t xml:space="preserve">), we report the Type I error rate for each method both across and within research contexts. For research contexts where the population parameter for</w:t>
      </w:r>
      <w:r>
        <w:t xml:space="preserve"> </w:t>
      </w:r>
      <w:r>
        <w:rPr>
          <w:iCs/>
          <w:i/>
        </w:rPr>
        <w:t xml:space="preserve">X</w:t>
      </w:r>
      <w:r>
        <w:t xml:space="preserve"> </w:t>
      </w:r>
      <w:r>
        <w:t xml:space="preserve">is 0.2 or 0.5 (i.e.,</w:t>
      </w:r>
      <w:r>
        <w:t xml:space="preserve"> </w:t>
      </w:r>
      <w:r>
        <w:rPr>
          <w:iCs/>
          <w:i/>
        </w:rPr>
        <w:t xml:space="preserve">X</w:t>
      </w:r>
      <w:r>
        <w:t xml:space="preserve"> </w:t>
      </w:r>
      <w:r>
        <w:t xml:space="preserve">has an effect on</w:t>
      </w:r>
      <w:r>
        <w:t xml:space="preserve"> </w:t>
      </w:r>
      <w:r>
        <w:rPr>
          <w:iCs/>
          <w:i/>
        </w:rPr>
        <w:t xml:space="preserve">Y</w:t>
      </w:r>
      <w:r>
        <w:t xml:space="preserve">), we report the Type II error rate for each method across and within research contexts. We also provide sampling distributions of the parameter estimate for</w:t>
      </w:r>
      <w:r>
        <w:t xml:space="preserve"> </w:t>
      </w:r>
      <w:r>
        <w:rPr>
          <w:iCs/>
          <w:i/>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Cs/>
          <w:i/>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Cs/>
          <w:i/>
        </w:rPr>
        <w:t xml:space="preserve">X</w:t>
      </w:r>
      <w:r>
        <w:t xml:space="preserve"> </w:t>
      </w:r>
      <w:r>
        <w:t xml:space="preserve">compared to those, however, it is not clear that these differences are substantial.</w:t>
      </w:r>
    </w:p>
    <w:tbl>
      <w:tblPr>
        <w:tblStyle w:val="Table"/>
        <w:tblW w:type="pct" w:w="5000"/>
        <w:tblLook w:firstRow="0" w:lastRow="0" w:firstColumn="0" w:lastColumn="0" w:noHBand="0" w:noVBand="0" w:val="0000"/>
        <w:jc w:val="start"/>
        <w:tblLayout w:type="fixed"/>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Cs/>
          <w:i/>
        </w:rPr>
        <w:t xml:space="preserve">X</w:t>
      </w:r>
      <w:r>
        <w:t xml:space="preserve">. As sample sizes get larger (i.e.,</w:t>
      </w:r>
      <w:r>
        <w:t xml:space="preserve"> </w:t>
      </w:r>
      <w:r>
        <w:rPr>
          <w:iCs/>
          <w:i/>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Cs/>
          <w:i/>
        </w:rPr>
        <w:t xml:space="preserve">X</w:t>
      </w:r>
      <w:r>
        <w:t xml:space="preserve">, such as all covariates linear model with</w:t>
      </w:r>
      <w:r>
        <w:t xml:space="preserve"> </w:t>
      </w:r>
      <w:r>
        <w:rPr>
          <w:iCs/>
          <w:i/>
        </w:rPr>
        <w:t xml:space="preserve">X</w:t>
      </w:r>
      <w:r>
        <w:t xml:space="preserve"> </w:t>
      </w:r>
      <w:r>
        <w:t xml:space="preserve">and all covariates LASSO with</w:t>
      </w:r>
      <w:r>
        <w:t xml:space="preserve"> </w:t>
      </w:r>
      <w:r>
        <w:rPr>
          <w:iCs/>
          <w:i/>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Cs/>
          <w:i/>
        </w:rPr>
        <w:t xml:space="preserve">Y</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Cs/>
          <w:i/>
        </w:rPr>
        <w:t xml:space="preserve">X</w:t>
      </w:r>
      <w:r>
        <w:t xml:space="preserve"> </w:t>
      </w:r>
      <w:r>
        <w:t xml:space="preserve">on</w:t>
      </w:r>
      <w:r>
        <w:t xml:space="preserve"> </w:t>
      </w:r>
      <w:r>
        <w:rPr>
          <w:iCs/>
          <w:i/>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Cs/>
          <w:i/>
        </w:rPr>
        <w:t xml:space="preserve">X</w:t>
      </w:r>
      <w:r>
        <w:t xml:space="preserve"> </w:t>
      </w:r>
      <w:r>
        <w:t xml:space="preserve">compared to those that did not control for</w:t>
      </w:r>
      <w:r>
        <w:t xml:space="preserve"> </w:t>
      </w:r>
      <w:r>
        <w:rPr>
          <w:iCs/>
          <w:i/>
        </w:rPr>
        <w:t xml:space="preserve">X</w:t>
      </w:r>
      <w:r>
        <w:t xml:space="preserve">.</w:t>
      </w: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Cs/>
          <w:i/>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Cs/>
          <w:i/>
        </w:rPr>
        <w:t xml:space="preserve">X</w:t>
      </w:r>
      <w:r>
        <w:t xml:space="preserve">. As sample size increased, the methods performed comparably with respect to Type II error. Using all covariates or an all covariates linear model without</w:t>
      </w:r>
      <w:r>
        <w:t xml:space="preserve"> </w:t>
      </w:r>
      <w:r>
        <w:rPr>
          <w:iCs/>
          <w:i/>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Cs/>
          <w:i/>
        </w:rPr>
        <w:t xml:space="preserve">X</w:t>
      </w:r>
      <w:r>
        <w:t xml:space="preserve"> </w:t>
      </w:r>
      <w:r>
        <w:t xml:space="preserve">also produced higher Type II error rates, compared to other methods when the proportion of good covariates was higher.</w:t>
      </w:r>
    </w:p>
    <w:tbl>
      <w:tblPr>
        <w:tblStyle w:val="Table"/>
        <w:tblW w:type="pct" w:w="5000"/>
        <w:tblLook w:firstRow="0" w:lastRow="0" w:firstColumn="0" w:lastColumn="0" w:noHBand="0" w:noVBand="0" w:val="0000"/>
        <w:jc w:val="start"/>
        <w:tblLayout w:type="fixed"/>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Cs/>
          <w:i/>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ook w:firstRow="0" w:lastRow="0" w:firstColumn="0" w:lastColumn="0" w:noHBand="0" w:noVBand="0" w:val="0000"/>
        <w:jc w:val="start"/>
        <w:tblLayout w:type="fixed"/>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Cs/>
          <w:i/>
        </w:rPr>
        <w:t xml:space="preserve">N</w:t>
      </w:r>
      <w:r>
        <w:t xml:space="preserve">=40). In our closest research context (</w:t>
      </w:r>
      <w:r>
        <w:rPr>
          <w:iCs/>
          <w:i/>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Cs/>
          <w:i/>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Cs/>
          <w:i/>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Cs/>
          <w:i/>
        </w:rPr>
        <w:t xml:space="preserve">X</w:t>
      </w:r>
      <w:r>
        <w:t xml:space="preserve"> </w:t>
      </w:r>
      <w:r>
        <w:t xml:space="preserve">and single covariate linear model with</w:t>
      </w:r>
      <w:r>
        <w:t xml:space="preserve"> </w:t>
      </w:r>
      <w:r>
        <w:rPr>
          <w:iCs/>
          <w:i/>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Cs/>
          <w:i/>
        </w:rPr>
        <w:t xml:space="preserve">X</w:t>
      </w:r>
      <w:r>
        <w:t xml:space="preserve">, in the model they produced biased parameter estimates. This bias results from the models favoring selecting covariates that are correlated with</w:t>
      </w:r>
      <w:r>
        <w:t xml:space="preserve"> </w:t>
      </w:r>
      <w:r>
        <w:rPr>
          <w:iCs/>
          <w:i/>
        </w:rPr>
        <w:t xml:space="preserve">X</w:t>
      </w:r>
      <w:r>
        <w:t xml:space="preserve"> </w:t>
      </w:r>
      <w:r>
        <w:t xml:space="preserve">in the sample despite being uncorrelated in the population. In other words, the models are accounting for variance in the outcome related to</w:t>
      </w:r>
      <w:r>
        <w:t xml:space="preserve"> </w:t>
      </w:r>
      <w:r>
        <w:rPr>
          <w:iCs/>
          <w:i/>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Cs/>
          <w:i/>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Cs/>
          <w:i/>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Cs/>
          <w:i/>
        </w:rPr>
        <w:t xml:space="preserve">X</w:t>
      </w:r>
      <w:r>
        <w:t xml:space="preserve"> </w:t>
      </w:r>
      <w:r>
        <w:t xml:space="preserve">showed higher Type II error rates compared to the respective single covariate linear and all covariates LASSO models, with and without</w:t>
      </w:r>
      <w:r>
        <w:t xml:space="preserve"> </w:t>
      </w:r>
      <w:r>
        <w:rPr>
          <w:iCs/>
          <w:i/>
        </w:rPr>
        <w:t xml:space="preserve">X</w:t>
      </w:r>
      <w:r>
        <w:t xml:space="preserve">. Finally, the all covariates model with</w:t>
      </w:r>
      <w:r>
        <w:t xml:space="preserve"> </w:t>
      </w:r>
      <w:r>
        <w:rPr>
          <w:iCs/>
          <w:i/>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Cs/>
          <w:i/>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Cs/>
          <w:i/>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Cs/>
          <w:i/>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Cs/>
          <w:i/>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Cs/>
          <w:i/>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Cs/>
          <w:i/>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Cs/>
          <w:i/>
        </w:rPr>
        <w:t xml:space="preserve">Statistical</w:t>
      </w:r>
      <w:r>
        <w:rPr>
          <w:iCs/>
          <w:i/>
        </w:rPr>
        <w:t xml:space="preserve"> </w:t>
      </w:r>
      <w:r>
        <w:rPr>
          <w:iCs/>
          <w:i/>
        </w:rPr>
        <w:t xml:space="preserve">Power Analysis</w:t>
      </w:r>
      <w:r>
        <w:rPr>
          <w:iCs/>
          <w:i/>
        </w:rPr>
        <w:t xml:space="preserve"> </w:t>
      </w:r>
      <w:r>
        <w:rPr>
          <w:iCs/>
          <w:i/>
        </w:rPr>
        <w:t xml:space="preserve">for the</w:t>
      </w:r>
      <w:r>
        <w:rPr>
          <w:iCs/>
          <w:i/>
        </w:rPr>
        <w:t xml:space="preserve"> </w:t>
      </w:r>
      <w:r>
        <w:rPr>
          <w:iCs/>
          <w:i/>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Cs/>
          <w:i/>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Cs/>
          <w:i/>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Cs/>
          <w:i/>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Cs/>
          <w:i/>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Cs/>
          <w:i/>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Cs/>
          <w:i/>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Cs/>
          <w:i/>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Cs/>
          <w:i/>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Cs/>
          <w:i/>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Cs/>
          <w:i/>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Cs/>
          <w:i/>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2026-03-06T19:49:43Z</dcterms:created>
  <dcterms:modified xsi:type="dcterms:W3CDTF">2026-03-06T19:49:43Z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