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1.png" ContentType="image/png"/>
  <Override PartName="/word/media/rId34.png" ContentType="image/png"/>
  <Override PartName="/word/media/rId5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2026-04-16</w:t>
      </w:r>
    </w:p>
    <w:p>
      <w:pPr>
        <w:pStyle w:val="AbstractTitle"/>
      </w:pPr>
      <w:r>
        <w:t xml:space="preserve">Abstract</w:t>
      </w:r>
    </w:p>
    <w:p>
      <w:pPr>
        <w:pStyle w:val="Abstract"/>
      </w:pPr>
      <w:r>
        <w:t xml:space="preserve">Including covariates when testing an experimentally manipulated independent variable (</w:t>
      </w:r>
      <m:oMath>
        <m:r>
          <m:t>X</m:t>
        </m:r>
      </m:oMath>
      <w:r>
        <w:t xml:space="preserve">) can reduce Type II error by accounting for additional variance in the outcome. Selecting optimal covariates, however, is challenging. Iterating over many covariates and retaining only those that increase the</w:t>
      </w:r>
      <w:r>
        <w:t xml:space="preserve"> </w:t>
      </w:r>
      <m:oMath>
        <m:r>
          <m:t>X</m:t>
        </m:r>
      </m:oMath>
      <w:r>
        <w:t xml:space="preserve"> </w:t>
      </w:r>
      <w:r>
        <w:t xml:space="preserve">effect (</w:t>
      </w:r>
      <w:r>
        <w:rPr>
          <w:i/>
          <w:iCs/>
        </w:rPr>
        <w:t xml:space="preserve">p</w:t>
      </w:r>
      <w:r>
        <w:t xml:space="preserve">-hacking) substantially inflates Type I error. Consequently, researchers often adopt two extremes: including no covariates or all covariates. Although these approaches do not nominally increase Type I error rates, both can reduce power. Data-driven approaches may offer a more effective alternative.</w:t>
      </w:r>
    </w:p>
    <w:p>
      <w:pPr>
        <w:pStyle w:val="Abstract"/>
      </w:pPr>
      <w:r>
        <w:t xml:space="preser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w:t>
      </w:r>
      <w:r>
        <w:rPr>
          <w:i/>
          <w:iCs/>
        </w:rPr>
        <w:t xml:space="preserve">p</w:t>
      </w:r>
      <w:r>
        <w:t xml:space="preserve">-hacking, linear models that screen each covariate separately with and without</w:t>
      </w:r>
      <w:r>
        <w:t xml:space="preserve"> </w:t>
      </w:r>
      <m:oMath>
        <m:r>
          <m:t>X</m:t>
        </m:r>
      </m:oMath>
      <w:r>
        <w:t xml:space="preserve">, linear models that screen all covariates simultaneously with and without</w:t>
      </w:r>
      <w:r>
        <w:t xml:space="preserve"> </w:t>
      </w:r>
      <m:oMath>
        <m:r>
          <m:t>X</m:t>
        </m:r>
      </m:oMath>
      <w:r>
        <w:t xml:space="preserve">, and LASSO models that screen all covariates simultaneously with and without</w:t>
      </w:r>
      <w:r>
        <w:t xml:space="preserve"> </w:t>
      </w:r>
      <m:oMath>
        <m:r>
          <m:t>X</m:t>
        </m:r>
      </m:oMath>
      <w:r>
        <w:t xml:space="preserve">).</w:t>
      </w:r>
    </w:p>
    <w:p>
      <w:pPr>
        <w:pStyle w:val="Abstract"/>
      </w:pPr>
      <w:r>
        <w:t xml:space="preserve">We calculated the probability of Type I and Type II errors across methods and research contexts. Our results provide strong evidence of the benefits of using covariates and provide practical guidance for selecting covariates in experimental research.</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w:t>
      </w:r>
      <w:r>
        <w:t xml:space="preserve"> </w:t>
      </w:r>
      <w:r>
        <w:t xml:space="preserve">(Bradford, Shapiro, and Curtin 2013; Hefner et al. 2013)</w:t>
      </w:r>
      <w:r>
        <w:t xml:space="preserve">.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reduce Type II errors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and lower the probability of a Type II error for the IV effect.</w:t>
      </w:r>
    </w:p>
    <w:p>
      <w:pPr>
        <w:pStyle w:val="BodyText"/>
      </w:pPr>
      <w:r>
        <w:t xml:space="preserve">However, selection of the optimal covariates to reduce Type II error is not straightforward. Historically, researchers often iterated over a large set of available covariates and included only those covariates that increased the effect size of the test of their focal IV (and their chances of obtaining a significant</w:t>
      </w:r>
      <w:r>
        <w:t xml:space="preserve"> </w:t>
      </w:r>
      <w:r>
        <w:rPr>
          <w:i/>
          <w:iCs/>
        </w:rPr>
        <w:t xml:space="preserve">p</w:t>
      </w:r>
      <w:r>
        <w:t xml:space="preserve">-value). Today, we recognize that this approach, known as</w:t>
      </w:r>
      <w:r>
        <w:t xml:space="preserve"> </w:t>
      </w:r>
      <w:r>
        <w:rPr>
          <w:i/>
          <w:iCs/>
        </w:rPr>
        <w:t xml:space="preserve">p</w:t>
      </w:r>
      <w:r>
        <w:t xml:space="preserve">-hacking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that both minimize Type II errors and control Type I errors at alpha. Traditionally, researchers have relied on two somewhat extreme strategies for selecting covariates. At one end, the researcher could decide to avoid the use of covariates altogether with no risk to Type I error control. But statistical power would likely be lost by this decision.</w:t>
      </w:r>
      <w:r>
        <w:t xml:space="preserve"> </w:t>
      </w:r>
      <w:r>
        <w:t xml:space="preserve">At the other extreme, the researcher could plan to include all available covariates that are reasonably believed to account for unexplained variance in the outcome in the statistical analysis. This decision, if made a priori</w:t>
      </w:r>
      <w:r>
        <w:t xml:space="preserve">,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traditional all or no covariate approaches. An optimal data-driven covariate selection method may be able to select the covariates that provide the greatest reduction in Type II error rate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To be clear, this paper paper discusses the benefits of using covariates in experimental research where covariates are measured at baseline, prior to manipulation of the IV, and therefore uncorrelated with the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w:t>
      </w:r>
    </w:p>
    <w:p>
      <w:pPr>
        <w:pStyle w:val="BodyText"/>
      </w:pPr>
      <w:r>
        <w:t xml:space="preserve">In this study, we use simulation methods to evaluate two traditional (</w:t>
      </w:r>
      <w:r>
        <w:t xml:space="preserve">“no covariates”</w:t>
      </w:r>
      <w:r>
        <w:t xml:space="preserve"> </w:t>
      </w:r>
      <w:r>
        <w:t xml:space="preserve">and</w:t>
      </w:r>
      <w:r>
        <w:t xml:space="preserve"> </w:t>
      </w:r>
      <w:r>
        <w:t xml:space="preserve">“all covariates”</w:t>
      </w:r>
      <w:r>
        <w:t xml:space="preserve">) and seven data-driven approaches to select an optimal set of covariates when testing the effect of a focal manipulated IV. For each data-driven approach, we use covariate</w:t>
      </w:r>
      <w:r>
        <w:t xml:space="preserve"> </w:t>
      </w:r>
      <w:r>
        <w:t xml:space="preserve">“screening models”</w:t>
      </w:r>
      <w:r>
        <w:t xml:space="preserve"> </w:t>
      </w:r>
      <w:r>
        <w:t xml:space="preserve">to identify which covariates display significant relationships with the outcome variable and will be included in the subsequent primary analysis that tests the focal IV</w:t>
      </w:r>
      <w:r>
        <w:t xml:space="preserve">. Across these screening models, we consider</w:t>
      </w:r>
      <w:r>
        <w:t xml:space="preserve"> </w:t>
      </w:r>
      <w:r>
        <w:rPr>
          <w:i/>
          <w:iCs/>
        </w:rPr>
        <w:t xml:space="preserve">p</w:t>
      </w:r>
      <w:r>
        <w:t xml:space="preserve">-hacking (a statistically invalid data-driven approach) and three additional modeling approaches: linear models that screen each covariate separately in its own model (separate cov lm), linear models that screen all covariates simultaneously in a single model (simultaneous cov lm), and LASSO</w:t>
      </w:r>
      <w:r>
        <w:t xml:space="preserve"> </w:t>
      </w:r>
      <w:r>
        <w:t xml:space="preserve">(Tibshirani 1996)</w:t>
      </w:r>
      <w:r>
        <w:t xml:space="preserve"> </w:t>
      </w:r>
      <w:r>
        <w:t xml:space="preserve">models that screen all covariates simultaneously in a single model (simultaneous cov LASSO). Across the three modeling approaches, we also either include or exclude the focal IV in the screening models.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w:t>
      </w:r>
      <w:r>
        <w:t xml:space="preserve"> </w:t>
      </w:r>
      <w:r>
        <w:t xml:space="preserve">when testing the effect of a manipulated IV in various research contexts.</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two traditional and seven data-driven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The two traditional selection approaches that did not use the data to screen and select covariates. Instead the no covariates and all covariates approach used none and all of the available covariates, respectively, in the specific research context in the primary analysis of</w:t>
      </w:r>
      <w:r>
        <w:t xml:space="preserve"> </w:t>
      </w:r>
      <m:oMath>
        <m:r>
          <m:t>X</m:t>
        </m:r>
      </m:oMath>
      <w:r>
        <w:t xml:space="preserve">.</w:t>
      </w:r>
    </w:p>
    <w:p>
      <w:pPr>
        <w:pStyle w:val="BodyText"/>
      </w:pPr>
      <w:r>
        <w:t xml:space="preserve">For the seven data-driven approaches, we selected covariates for the primary analysis of</w:t>
      </w:r>
      <w:r>
        <w:t xml:space="preserve"> </w:t>
      </w:r>
      <m:oMath>
        <m:r>
          <m:t>X</m:t>
        </m:r>
      </m:oMath>
      <w:r>
        <w:t xml:space="preserve"> </w:t>
      </w:r>
      <w:r>
        <w:t xml:space="preserve">by fitting preliminary covariate screening models. For the</w:t>
      </w:r>
      <w:r>
        <w:t xml:space="preserve"> </w:t>
      </w:r>
      <w:r>
        <w:rPr>
          <w:i/>
          <w:iCs/>
        </w:rPr>
        <w:t xml:space="preserve">p</w:t>
      </w:r>
      <w:r>
        <w:t xml:space="preserve">-hacking approach, covariates were selected to be included in the primary analysis if the effect of</w:t>
      </w:r>
      <w:r>
        <w:t xml:space="preserve"> </w:t>
      </w:r>
      <m:oMath>
        <m:r>
          <m:t>X</m:t>
        </m:r>
      </m:oMath>
      <w:r>
        <w:t xml:space="preserve"> </w:t>
      </w:r>
      <w:r>
        <w:t xml:space="preserve">became larger in the screening model that included that covariate. This replicates the real-world practice of</w:t>
      </w:r>
      <w:r>
        <w:t xml:space="preserve"> </w:t>
      </w:r>
      <w:r>
        <w:rPr>
          <w:i/>
          <w:iCs/>
        </w:rPr>
        <w:t xml:space="preserve">p</w:t>
      </w:r>
      <w:r>
        <w:t xml:space="preserve">-hacking where researchers aim to increase the effect size of a focal variable to match a pre-existing hypothesis.</w:t>
      </w:r>
    </w:p>
    <w:p>
      <w:pPr>
        <w:pStyle w:val="BodyText"/>
      </w:pPr>
      <w:r>
        <w:t xml:space="preserve">We considered three additional modeling approaches: linear models that screen each covariate separately in its own model (separate cov lm)</w:t>
      </w:r>
      <w:r>
        <w:t xml:space="preserve">, linear models that screen all covariates simultaneously in a single model (simultaneous cov lm), and LASSO</w:t>
      </w:r>
      <w:r>
        <w:t xml:space="preserve"> </w:t>
      </w:r>
      <w:r>
        <w:t xml:space="preserve">(Tibshirani 1996)</w:t>
      </w:r>
      <w:r>
        <w:t xml:space="preserve"> </w:t>
      </w:r>
      <w:r>
        <w:t xml:space="preserve">models that screen all covariates simultaneously in a single model (simultaneous cov LASSO). Across these approaches, we also either include or exclude</w:t>
      </w:r>
      <w:r>
        <w:t xml:space="preserve"> </w:t>
      </w:r>
      <m:oMath>
        <m:r>
          <m:t>X</m:t>
        </m:r>
      </m:oMath>
      <w:r>
        <w:t xml:space="preserve"> </w:t>
      </w:r>
      <w:r>
        <w:t xml:space="preserve">in the screening models (notated as with or w/o</w:t>
      </w:r>
      <w:r>
        <w:t xml:space="preserve"> </w:t>
      </w:r>
      <m:oMath>
        <m:r>
          <m:t>X</m:t>
        </m:r>
      </m:oMath>
      <w:r>
        <w:t xml:space="preserve">). For the simultaneous cov LASSO with</w:t>
      </w:r>
      <w:r>
        <w:t xml:space="preserve"> </w:t>
      </w:r>
      <m:oMath>
        <m:r>
          <m:t>X</m:t>
        </m:r>
      </m:oMath>
      <w:r>
        <w:t xml:space="preserve"> </w:t>
      </w:r>
      <w:r>
        <w:t xml:space="preserve">approach, we set the regularization penalty (lambda) for</w:t>
      </w:r>
      <w:r>
        <w:t xml:space="preserve"> </w:t>
      </w:r>
      <m:oMath>
        <m:r>
          <m:t>X</m:t>
        </m:r>
      </m:oMath>
      <w:r>
        <w:t xml:space="preserve"> </w:t>
      </w:r>
      <w:r>
        <w:t xml:space="preserve">was to 0 to ensure it was always retained in the screening model.</w:t>
      </w:r>
    </w:p>
    <w:p>
      <w:pPr>
        <w:pStyle w:val="BodyText"/>
      </w:pPr>
      <w:r>
        <w:t xml:space="preserve">For the linear models (separate cov lm with</w:t>
      </w:r>
      <w:r>
        <w:t xml:space="preserve"> </w:t>
      </w:r>
      <m:oMath>
        <m:r>
          <m:t>X</m:t>
        </m:r>
      </m:oMath>
      <w:r>
        <w:t xml:space="preserve">, separate cov lm w/o</w:t>
      </w:r>
      <w:r>
        <w:t xml:space="preserve"> </w:t>
      </w:r>
      <m:oMath>
        <m:r>
          <m:t>X</m:t>
        </m:r>
      </m:oMath>
      <w:r>
        <w:t xml:space="preserve">, simultaneous cov lm with</w:t>
      </w:r>
      <w:r>
        <w:t xml:space="preserve"> </w:t>
      </w:r>
      <m:oMath>
        <m:r>
          <m:t>X</m:t>
        </m:r>
      </m:oMath>
      <w:r>
        <w:t xml:space="preserve">, and simultaneous cov lm w/o</w:t>
      </w:r>
      <w:r>
        <w:t xml:space="preserve"> </w:t>
      </w:r>
      <m:oMath>
        <m:r>
          <m:t>X</m:t>
        </m:r>
      </m:oMath>
      <w:r>
        <w:t xml:space="preserve">), a covariate was selected to be included in the primary analysis if the</w:t>
      </w:r>
      <w:r>
        <w:t xml:space="preserve"> </w:t>
      </w:r>
      <w:r>
        <w:rPr>
          <w:i/>
          <w:iCs/>
        </w:rPr>
        <w:t xml:space="preserve">p</w:t>
      </w:r>
      <w:r>
        <w:t xml:space="preserve">-value for that covariate was less than 0.05 in the screening model that evaluated it. Importantly, the</w:t>
      </w:r>
      <w:r>
        <w:t xml:space="preserve"> </w:t>
      </w:r>
      <w:r>
        <w:rPr>
          <w:i/>
          <w:iCs/>
        </w:rPr>
        <w:t xml:space="preserve">p</w:t>
      </w:r>
      <w:r>
        <w:t xml:space="preserve">-value for</w:t>
      </w:r>
      <w:r>
        <w:t xml:space="preserve"> </w:t>
      </w:r>
      <m:oMath>
        <m:r>
          <m:t>X</m:t>
        </m:r>
      </m:oMath>
      <w:r>
        <w:t xml:space="preserve"> </w:t>
      </w:r>
      <w:r>
        <w:t xml:space="preserve">was not used and</w:t>
      </w:r>
      <w:r>
        <w:t xml:space="preserve"> </w:t>
      </w:r>
      <m:oMath>
        <m:r>
          <m:t>X</m:t>
        </m:r>
      </m:oMath>
      <w:r>
        <w:t xml:space="preserve"> </w:t>
      </w:r>
      <w:r>
        <w:t xml:space="preserve">was only included to parse its variance from</w:t>
      </w:r>
      <w:r>
        <w:t xml:space="preserve"> </w:t>
      </w:r>
      <m:oMath>
        <m:r>
          <m:t>Y</m:t>
        </m:r>
      </m:oMath>
      <w:r>
        <w:t xml:space="preserve"> </w:t>
      </w:r>
      <w:r>
        <w:t xml:space="preserve">when evaluating the covariates. For the LASSO models (simultaneous cov LASSO with</w:t>
      </w:r>
      <w:r>
        <w:t xml:space="preserve"> </w:t>
      </w:r>
      <m:oMath>
        <m:r>
          <m:t>X</m:t>
        </m:r>
      </m:oMath>
      <w:r>
        <w:t xml:space="preserve"> </w:t>
      </w:r>
      <w:r>
        <w:t xml:space="preserve">and simultaneous cov LASS w/o</w:t>
      </w:r>
      <w:r>
        <w:t xml:space="preserve"> </w:t>
      </w:r>
      <m:oMath>
        <m:r>
          <m:t>X</m:t>
        </m:r>
      </m:oMath>
      <w:r>
        <w:t xml:space="preserve">), covariates were selected to be included in the primary analysis if they were retained in the screening model (i.e., did not have their parameter estimate set to 0).</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covariate selection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increase the effect of \(X\) are included in the final model</w:t>
                  </w:r>
                </w:p>
              </w:tc>
            </w:tr>
            <w:tr>
              <w:tc>
                <w:tcPr/>
                <w:p>
                  <w:pPr>
                    <w:pStyle w:val="Compact"/>
                    <w:jc w:val="left"/>
                    <w:jc w:val="center"/>
                  </w:pPr>
                  <w:r>
                    <w:t xml:space="preserve">Separate cov lm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included in the final model</w:t>
                  </w:r>
                </w:p>
              </w:tc>
            </w:tr>
            <w:tr>
              <w:tc>
                <w:tcPr/>
                <w:p>
                  <w:pPr>
                    <w:pStyle w:val="Compact"/>
                    <w:jc w:val="left"/>
                    <w:jc w:val="center"/>
                  </w:pPr>
                  <w:r>
                    <w:t xml:space="preserve">Separate cov lm w/o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included in the final model</w:t>
                  </w:r>
                </w:p>
              </w:tc>
            </w:tr>
            <w:tr>
              <w:tc>
                <w:tcPr/>
                <w:p>
                  <w:pPr>
                    <w:pStyle w:val="Compact"/>
                    <w:jc w:val="left"/>
                    <w:jc w:val="center"/>
                  </w:pPr>
                  <w:r>
                    <w:t xml:space="preserve">Simultaneous cov lm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cov lm w/o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included in the final model</w:t>
                  </w:r>
                </w:p>
              </w:tc>
            </w:tr>
            <w:tr>
              <w:tc>
                <w:tcPr/>
                <w:p>
                  <w:pPr>
                    <w:pStyle w:val="Compact"/>
                    <w:jc w:val="left"/>
                    <w:jc w:val="center"/>
                  </w:pPr>
                  <w:r>
                    <w:t xml:space="preserve">Simultaneous cov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Simultaneous cov LASSO w/o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We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An interactive shiny dashboard of mean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39"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screening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2" w:name="tbl-est"/>
          <w:p>
            <w:pPr>
              <w:jc w:val="center"/>
            </w:pPr>
            <w:pPr>
              <w:jc w:val="left"/>
              <w:spacing w:before="200"/>
              <w:pStyle w:val="ImageCaption"/>
            </w:pPr>
            <w:r>
              <w:t xml:space="preserve">Table 3: Mean estimates of effect size by method and population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Traditional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left"/>
                    <w:jc w:val="center"/>
                  </w:pPr>
                  <w:r>
                    <w:t xml:space="preserve">0.262</w:t>
                  </w:r>
                </w:p>
              </w:tc>
              <w:tc>
                <w:tcPr/>
                <w:p>
                  <w:pPr>
                    <w:pStyle w:val="Compact"/>
                    <w:jc w:val="left"/>
                    <w:jc w:val="center"/>
                  </w:pPr>
                  <w:r>
                    <w:t xml:space="preserve">0.563</w:t>
                  </w:r>
                </w:p>
              </w:tc>
            </w:tr>
            <w:tr>
              <w:tc>
                <w:tcPr/>
                <w:p>
                  <w:pPr>
                    <w:pStyle w:val="Compact"/>
                    <w:jc w:val="left"/>
                    <w:jc w:val="center"/>
                  </w:pPr>
                  <w:r>
                    <w:t xml:space="preserve">Separate cov lm with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cov lm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lm with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cov lm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w/o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bl>
          <w:bookmarkEnd w:id="32"/>
          <w:p/>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distribution-bx"/>
          <w:p>
            <w:pPr>
              <w:pStyle w:val="Compact"/>
              <w:jc w:val="center"/>
            </w:pPr>
            <w:r>
              <w:drawing>
                <wp:inline>
                  <wp:extent cx="5334000" cy="6096000"/>
                  <wp:effectExtent b="0" l="0" r="0" t="0"/>
                  <wp:docPr descr="" title="" id="35" name="Picture"/>
                  <a:graphic>
                    <a:graphicData uri="http://schemas.openxmlformats.org/drawingml/2006/picture">
                      <pic:pic>
                        <pic:nvPicPr>
                          <pic:cNvPr descr="index_files/figure-docx/notebooks-mak_figures-fig-distribution-bx-output-1.png" id="36" name="Picture"/>
                          <pic:cNvPicPr>
                            <a:picLocks noChangeArrowheads="1" noChangeAspect="1"/>
                          </pic:cNvPicPr>
                        </pic:nvPicPr>
                        <pic:blipFill>
                          <a:blip r:embed="rId34"/>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distributions for population parameter estimates displayed separately by selection method and population parameter. Selection methods that do not control for X are displayed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yielded unbiased estimates. However, the shape of the sampling distribution for the</w:t>
      </w:r>
      <w:r>
        <w:t xml:space="preserve"> </w:t>
      </w:r>
      <w:r>
        <w:rPr>
          <w:i/>
          <w:iCs/>
        </w:rPr>
        <w:t xml:space="preserve">p</w:t>
      </w:r>
      <w:r>
        <w:t xml:space="preserve">-hacking approach was clearly distorted (bi-modal).</w:t>
      </w:r>
      <w:r>
        <w:t xml:space="preserve"> </w:t>
      </w:r>
      <w:r>
        <w:t xml:space="preserve">This distortion results from this approach selecting covariates that magnify the effect of</w:t>
      </w:r>
      <w:r>
        <w:t xml:space="preserve"> </w:t>
      </w:r>
      <m:oMath>
        <m:r>
          <m:t>X</m:t>
        </m:r>
      </m:oMath>
      <w:r>
        <w:t xml:space="preserve"> </w:t>
      </w:r>
      <w:r>
        <w:t xml:space="preserve">in any specific sample. When sampling error produces a negative</w:t>
      </w:r>
      <w:r>
        <w:t xml:space="preserve"> </w:t>
      </w:r>
      <m:oMath>
        <m:sSub>
          <m:e>
            <m:r>
              <m:t>b</m:t>
            </m:r>
          </m:e>
          <m:sub>
            <m:r>
              <m:t>X</m:t>
            </m:r>
          </m:sub>
        </m:sSub>
      </m:oMath>
      <w:r>
        <w:t xml:space="preserve"> </w:t>
      </w:r>
      <w:r>
        <w:t xml:space="preserve">in a sample, covariates that make that parameter estimate more negative will be selected, and when sampling error produces a positive</w:t>
      </w:r>
      <w:r>
        <w:t xml:space="preserve"> </w:t>
      </w:r>
      <m:oMath>
        <m:sSub>
          <m:e>
            <m:r>
              <m:t>b</m:t>
            </m:r>
          </m:e>
          <m:sub>
            <m:r>
              <m:t>X</m:t>
            </m:r>
          </m:sub>
        </m:sSub>
      </m:oMath>
      <w:r>
        <w:t xml:space="preserve"> </w:t>
      </w:r>
      <w:r>
        <w:t xml:space="preserve">in a sample, covariates that make that parameter estimate more positive will be selected. This is what produces the intolerably high Type I error rates associated with that approach.</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yielded substantial optimistic (over-estimation) bias in the parameter estimates as seen in both the mean</w:t>
      </w:r>
      <w:r>
        <w:t xml:space="preserve"> </w:t>
      </w:r>
      <m:oMath>
        <m:sSub>
          <m:e>
            <m:r>
              <m:t>b</m:t>
            </m:r>
          </m:e>
          <m:sub>
            <m:r>
              <m:t>X</m:t>
            </m:r>
          </m:sub>
        </m:sSub>
      </m:oMath>
      <w:r>
        <w:t xml:space="preserve"> </w:t>
      </w:r>
      <w:r>
        <w:t xml:space="preserve">and the rightward shift of the sampling distribution. In this instance, the sample</w:t>
      </w:r>
      <w:r>
        <w:t xml:space="preserve"> </w:t>
      </w:r>
      <m:oMath>
        <m:sSub>
          <m:e>
            <m:r>
              <m:t>b</m:t>
            </m:r>
          </m:e>
          <m:sub>
            <m:r>
              <m:t>X</m:t>
            </m:r>
          </m:sub>
        </m:sSub>
      </m:oMath>
      <w:r>
        <w:t xml:space="preserve"> </w:t>
      </w:r>
      <w:r>
        <w:t xml:space="preserve">was typically positive to start (given the positive population parameter) and covariates were selected only if they made that parameter estimate even more positive.</w:t>
      </w:r>
    </w:p>
    <w:p>
      <w:pPr>
        <w:pStyle w:val="BodyText"/>
      </w:pPr>
      <w:r>
        <w:t xml:space="preserve">Of course, the traditional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remaining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39"/>
    <w:bookmarkStart w:id="50"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2</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The other approaches were at or near the expected error rate of alpha = .05 across the relatively broad range of research context characteristics we considered. Specifically, the two traditional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(excluding</w:t>
      </w:r>
      <w:r>
        <w:t xml:space="preserve"> </w:t>
      </w:r>
      <w:r>
        <w:rPr>
          <w:i/>
          <w:iCs/>
        </w:rPr>
        <w:t xml:space="preserve">p</w:t>
      </w:r>
      <w:r>
        <w:t xml:space="preserve">-hacking)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43" w:name="fig-bar-1"/>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1-output-2.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Average type I error rate across all research contexts is displayed for each method separately by color. Traditional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3</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0.462 in the worst case context (</w:t>
      </w:r>
      <m:oMath>
        <m:r>
          <m:t>N</m:t>
        </m:r>
      </m:oMath>
      <w:r>
        <w:t xml:space="preserve"> </w:t>
      </w:r>
      <w:r>
        <w:t xml:space="preserve">=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Shiny dashboard for other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traditional approaches and the data-driven approaches that did not include</w:t>
      </w:r>
      <w:r>
        <w:t xml:space="preserve"> </w:t>
      </w:r>
      <m:oMath>
        <m:r>
          <m:t>X</m:t>
        </m:r>
      </m:oMath>
      <w:r>
        <w:t xml:space="preserve">. Among the other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type1-panel"/>
          <w:p>
            <w:pPr>
              <w:pStyle w:val="Compact"/>
              <w:jc w:val="center"/>
            </w:pPr>
            <w:r>
              <w:drawing>
                <wp:inline>
                  <wp:extent cx="5334000" cy="4000499"/>
                  <wp:effectExtent b="0" l="0" r="0" t="0"/>
                  <wp:docPr descr="" title="" id="46" name="Picture"/>
                  <a:graphic>
                    <a:graphicData uri="http://schemas.openxmlformats.org/drawingml/2006/picture">
                      <pic:pic>
                        <pic:nvPicPr>
                          <pic:cNvPr descr="index_files/figure-docx/notebooks-mak_figures-fig-type1-panel-output-1.png" id="47" name="Picture"/>
                          <pic:cNvPicPr>
                            <a:picLocks noChangeArrowheads="1" noChangeAspect="1"/>
                          </pic:cNvPicPr>
                        </pic:nvPicPr>
                        <pic:blipFill>
                          <a:blip r:embed="rId4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selection methods that do not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61"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4</w:t>
        </w:r>
      </w:hyperlink>
      <w:r>
        <w:t xml:space="preserve"> </w:t>
      </w:r>
      <w:r>
        <w:t xml:space="preserve">shows the mean Type II error rate across all research contexts for each approach. The traditional no covariates approach displayed the highest average Type II error (0.449), which reinforces the value of using covariates to increase statistical power to detect true effects. Among the approaches that used covariates, the data-driven approaches generally produced modestly lower average Type II error rates than the traditional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54" w:name="fig-bar-2"/>
          <w:p>
            <w:pPr>
              <w:pStyle w:val="Compact"/>
              <w:jc w:val="center"/>
            </w:pPr>
            <w:r>
              <w:drawing>
                <wp:inline>
                  <wp:extent cx="5334000" cy="3048000"/>
                  <wp:effectExtent b="0" l="0" r="0" t="0"/>
                  <wp:docPr descr="" title="" id="52" name="Picture"/>
                  <a:graphic>
                    <a:graphicData uri="http://schemas.openxmlformats.org/drawingml/2006/picture">
                      <pic:pic>
                        <pic:nvPicPr>
                          <pic:cNvPr descr="index_files/figure-docx/notebooks-mak_figures-fig-bar-2-output-1.png" id="53" name="Picture"/>
                          <pic:cNvPicPr>
                            <a:picLocks noChangeArrowheads="1" noChangeAspect="1"/>
                          </pic:cNvPicPr>
                        </pic:nvPicPr>
                        <pic:blipFill>
                          <a:blip r:embed="rId5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Average type II error rate across all research settings is displayed for each method separately by color. Traditional selection methods are on the left, data-driven selection methods are on the right. Striped shading indicates data-driven selection methods that do not control for X.</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5</w:t>
        </w:r>
      </w:hyperlink>
      <w:r>
        <w:t xml:space="preserve">). First, it is clear that the no covariates approach was always associated with the highest Type II error rates across all values of all dimensions of the research contexts. Second, the traditional all covariates approach tended to under-perform (i.e., higher Type II error rates) relative to the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9" w:name="fig-panel-2"/>
          <w:p>
            <w:pPr>
              <w:pStyle w:val="Compact"/>
              <w:jc w:val="center"/>
            </w:pPr>
            <w:r>
              <w:drawing>
                <wp:inline>
                  <wp:extent cx="5334000" cy="6400800"/>
                  <wp:effectExtent b="0" l="0" r="0" t="0"/>
                  <wp:docPr descr="" title="" id="57" name="Picture"/>
                  <a:graphic>
                    <a:graphicData uri="http://schemas.openxmlformats.org/drawingml/2006/picture">
                      <pic:pic>
                        <pic:nvPicPr>
                          <pic:cNvPr descr="index_files/figure-docx/notebooks-mak_figures-fig-panel-2-output-1.png" id="58" name="Picture"/>
                          <pic:cNvPicPr>
                            <a:picLocks noChangeArrowheads="1" noChangeAspect="1"/>
                          </pic:cNvPicPr>
                        </pic:nvPicPr>
                        <pic:blipFill>
                          <a:blip r:embed="rId56"/>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II error by method and research context. Plots are paneled by aspects of the research context: number of observations, number of covariates, percentage of good covariates covariates (i.e., covariates with non-zero correlations with Y), and Y-covariate correlation strength, and population parameter for X. Methods are displayed separately by color. Data-driven selection methods that do not control for X are depicted as dashed lines.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w:t>
      </w:r>
      <w:r>
        <w:t xml:space="preserve"> </w:t>
      </w:r>
      <w:r>
        <w:rPr>
          <w:i/>
          <w:iCs/>
        </w:rPr>
        <w:t xml:space="preserve">p</w:t>
      </w:r>
      <w:r>
        <w:t xml:space="preserve">-hacking can severely inflate Type I error rate. Simmons et al. observed a mean Type I error rate of 0.117 for the test of an IV when selecting between two potential covariates (</w:t>
      </w:r>
      <m:oMath>
        <m:r>
          <m:t>N</m:t>
        </m:r>
      </m:oMath>
      <w:r>
        <w:t xml:space="preserve">=40) using a</w:t>
      </w:r>
      <w:r>
        <w:t xml:space="preserve"> </w:t>
      </w:r>
      <w:r>
        <w:rPr>
          <w:i/>
          <w:iCs/>
        </w:rPr>
        <w:t xml:space="preserve">p</w:t>
      </w:r>
      <w:r>
        <w:t xml:space="preserve">-hacking approach. Across our closest research contexts that included 4 covariates with N=50, we observed a comparable mean Type I error rate (0.103). However, our simulations clarify that this estimate may meaningfully underestimate the potential magnitude of the</w:t>
      </w:r>
      <w:r>
        <w:t xml:space="preserve"> </w:t>
      </w:r>
      <w:r>
        <w:rPr>
          <w:i/>
          <w:iCs/>
        </w:rPr>
        <w:t xml:space="preserve">p</w:t>
      </w:r>
      <w:r>
        <w:t xml:space="preserve">-hacking problem in common research contexts. For example, researchers often can choose from among many more available covariates. With just a modest increase in the pool of available covariates (i.e., 8-12 covariates), our simulations show that mean Type I error rate for the</w:t>
      </w:r>
      <w:r>
        <w:t xml:space="preserve"> </w:t>
      </w:r>
      <w:r>
        <w:rPr>
          <w:i/>
          <w:iCs/>
        </w:rPr>
        <w:t xml:space="preserve">p</w:t>
      </w:r>
      <w:r>
        <w:t xml:space="preserve">-hacking approach increased to 0.191. And if the size of the pool is increased further (i.e., 16-20 covariates), the mean Type I error rate is increased nearly 3-fold (0.295) from what was reported by Simmons et al., even when aggregated across contexts that include sample sizes up to</w:t>
      </w:r>
      <w:r>
        <w:t xml:space="preserve"> </w:t>
      </w:r>
      <m:oMath>
        <m:r>
          <m:t>N</m:t>
        </m:r>
      </m:oMath>
      <w:r>
        <w:t xml:space="preserve">=400.</w:t>
      </w:r>
    </w:p>
    <w:p>
      <w:pPr>
        <w:pStyle w:val="BodyText"/>
      </w:pPr>
      <w:r>
        <w:t xml:space="preserve">When no covariates were used (i.e., traditional no covariates approach</w:t>
      </w:r>
      <w:r>
        <w:t xml:space="preserve">),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(vs. other approaches) is higher when there are more covariates available and a higher percentage of them (e.g., 75%) have stronger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it should be acknowledged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the range of values for all research dimensions (and almost all intersections that define specific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while also being the easiest approach to implement computationally because it eliminates the need for screening models and selection.</w:t>
      </w:r>
    </w:p>
    <w:p>
      <w:pPr>
        <w:pStyle w:val="BodyText"/>
      </w:pPr>
      <w:r>
        <w:t xml:space="preserve">Nonetheless, the data-driven covariate selection approaches are not difficult to implement (see examples of R code for each method shared on OSF</w:t>
      </w:r>
      <w:r>
        <w:t xml:space="preserve"> </w:t>
      </w:r>
      <w:r>
        <w:t xml:space="preserve">) and it may never be wise to give up any improvements in power,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w:t>
      </w:r>
      <m:oMath>
        <m:r>
          <m:t>N</m:t>
        </m:r>
      </m:oMath>
      <w:r>
        <w:t xml:space="preserve">=50,</w:t>
      </w:r>
      <w:r>
        <w:t xml:space="preserve"> </w:t>
      </w:r>
      <m:oMath>
        <m:sSub>
          <m:e>
            <m:r>
              <m:t>N</m:t>
            </m:r>
          </m:e>
          <m:sub>
            <m:r>
              <m:t>c</m:t>
            </m:r>
            <m:r>
              <m:t>o</m:t>
            </m:r>
            <m:r>
              <m:t>v</m:t>
            </m:r>
          </m:sub>
        </m:sSub>
      </m:oMath>
      <w:r>
        <w:t xml:space="preserve">=20,</w:t>
      </w:r>
      <w:r>
        <w:t xml:space="preserve"> </w:t>
      </w:r>
      <m:oMath>
        <m:sSub>
          <m:e>
            <m:r>
              <m:t>r</m:t>
            </m:r>
          </m:e>
          <m:sub>
            <m:r>
              <m:t>c</m:t>
            </m:r>
            <m:r>
              <m:t>o</m:t>
            </m:r>
            <m:r>
              <m:t>v</m:t>
            </m:r>
            <m:r>
              <m:rPr>
                <m:sty m:val="p"/>
              </m:rPr>
              <m:t>−</m:t>
            </m:r>
            <m:r>
              <m:t>Y</m:t>
            </m:r>
          </m:sub>
        </m:sSub>
      </m:oMath>
      <w:r>
        <w:t xml:space="preserve">=0.5,</w:t>
      </w:r>
      <w:r>
        <w:t xml:space="preserve"> </w:t>
      </w:r>
      <m:oMath>
        <m:sSub>
          <m:e>
            <m:r>
              <m:rPr>
                <m:sty m:val="p"/>
              </m:rPr>
              <m:t>%</m:t>
            </m:r>
          </m:e>
          <m:sub>
            <m:r>
              <m:t>c</m:t>
            </m:r>
            <m:r>
              <m:t>o</m:t>
            </m:r>
            <m:r>
              <m:t>v</m:t>
            </m:r>
          </m:sub>
        </m:sSub>
      </m:oMath>
      <w:r>
        <w:t xml:space="preserve">=0.25 and</w:t>
      </w:r>
      <w:r>
        <w:t xml:space="preserve"> </w:t>
      </w:r>
      <m:oMath>
        <m:sSub>
          <m:e>
            <m:r>
              <m:t>β</m:t>
            </m:r>
          </m:e>
          <m:sub>
            <m:r>
              <m:t>X</m:t>
            </m:r>
          </m:sub>
        </m:sSub>
      </m:oMath>
      <w:r>
        <w:t xml:space="preserve">=0.5), the Type II error rate for the simultaneous cov LASSO with</w:t>
      </w:r>
      <w:r>
        <w:t xml:space="preserve"> </w:t>
      </w:r>
      <m:oMath>
        <m:r>
          <m:t>X</m:t>
        </m:r>
      </m:oMath>
      <w:r>
        <w:t xml:space="preserve"> </w:t>
      </w:r>
      <w:r>
        <w:t xml:space="preserve">approach was 0.204 lower than the all covariates approach!</w:t>
      </w:r>
    </w:p>
    <w:p>
      <w:pPr>
        <w:pStyle w:val="BodyText"/>
      </w:pPr>
      <w:r>
        <w:t xml:space="preserve">There are several issues to consider when comparing among the several top data-driven approaches. The approach with the lowest mean Type II error rate (0.337) was the simultaneous cov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cov lm with</w:t>
      </w:r>
      <w:r>
        <w:t xml:space="preserve"> </w:t>
      </w:r>
      <m:oMath>
        <m:r>
          <m:t>X</m:t>
        </m:r>
      </m:oMath>
      <w:r>
        <w:t xml:space="preserve"> </w:t>
      </w:r>
      <w:r>
        <w:t xml:space="preserve">may feel easier, or more familiar to some researchers. This method yielded an unbiased estimate of</w:t>
      </w:r>
      <w:r>
        <w:t xml:space="preserve"> </w:t>
      </w:r>
      <m:oMath>
        <m:sSub>
          <m:e>
            <m:r>
              <m:t>β</m:t>
            </m:r>
          </m:e>
          <m:sub>
            <m:r>
              <m:t>X</m:t>
            </m:r>
          </m:sub>
        </m:sSub>
      </m:oMath>
      <w:r>
        <w:t xml:space="preserve"> </w:t>
      </w:r>
      <w:r>
        <w:t xml:space="preserve">with slightly worse Type II error rate (0.341) but better Type I error rate (0.052) than simultaneous cov LASSO with</w:t>
      </w:r>
      <w:r>
        <w:t xml:space="preserve"> </w:t>
      </w:r>
      <m:oMath>
        <m:r>
          <m:t>X</m:t>
        </m:r>
      </m:oMath>
      <w:r>
        <w:t xml:space="preserve">. Finally, if perfect control of Type I error rate at the nominal alpha is desired, screening with separate cov lm w/o</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 previous two approaches.</w:t>
      </w:r>
    </w:p>
    <w:p>
      <w:pPr>
        <w:pStyle w:val="BodyText"/>
      </w:pPr>
      <w:r>
        <w:t xml:space="preserve">There are several additional considerations worth noting when evaluating and implementing any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acc>
          <m:accPr>
            <m:chr m:val="̂"/>
          </m:accPr>
          <m:e>
            <m:r>
              <m:t>Y</m:t>
            </m:r>
          </m:e>
        </m:acc>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w:t>
      </w:r>
      <w:r>
        <w:t xml:space="preserve"> </w:t>
      </w:r>
      <m:oMath>
        <m:r>
          <m:t>X</m:t>
        </m:r>
      </m:oMath>
      <w:r>
        <w:t xml:space="preserve">s is routinely violated in many analyses.</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made and pre-registered prior to data collection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We believe our paper provides strong evidence to support the clear benefits of using covariates. We hope that we have also clarified the relative costs and benefits of key approaches to selecting them in experimental research. To help researchers determine which covariate selection is best suited for their research context, we provide a summary of our recommendations in</w:t>
      </w:r>
      <w:r>
        <w:t xml:space="preserve"> </w:t>
      </w:r>
      <w:hyperlink w:anchor="tbl-rec">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tbl-rec"/>
          <w:p>
            <w:pPr>
              <w:jc w:val="center"/>
            </w:pPr>
            <w:pPr>
              <w:jc w:val="left"/>
              <w:spacing w:before="200"/>
              <w:pStyle w:val="ImageCaption"/>
            </w:pPr>
            <w:r>
              <w:t xml:space="preserve">Table 4: Summary of selection methods, evaluation of bias and Type I and II error rates, and recommendations.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Method</w:t>
                  </w:r>
                </w:p>
              </w:tc>
              <w:tc>
                <w:tcPr/>
                <w:p>
                  <w:pPr>
                    <w:pStyle w:val="Compact"/>
                    <w:jc w:val="left"/>
                    <w:jc w:val="center"/>
                  </w:pPr>
                  <w:r>
                    <w:t xml:space="preserve">Bias</w:t>
                  </w:r>
                </w:p>
              </w:tc>
              <w:tc>
                <w:tcPr/>
                <w:p>
                  <w:pPr>
                    <w:pStyle w:val="Compact"/>
                    <w:jc w:val="left"/>
                    <w:jc w:val="center"/>
                  </w:pPr>
                  <w:r>
                    <w:t xml:space="preserve">Type I error</w:t>
                  </w:r>
                </w:p>
              </w:tc>
              <w:tc>
                <w:tcPr/>
                <w:p>
                  <w:pPr>
                    <w:pStyle w:val="Compact"/>
                    <w:jc w:val="left"/>
                    <w:jc w:val="center"/>
                  </w:pPr>
                  <w:r>
                    <w:t xml:space="preserve">Type II error</w:t>
                  </w:r>
                </w:p>
              </w:tc>
              <w:tc>
                <w:tcPr/>
                <w:p>
                  <w:pPr>
                    <w:pStyle w:val="Compact"/>
                    <w:jc w:val="left"/>
                    <w:jc w:val="center"/>
                  </w:pPr>
                  <w:r>
                    <w:t xml:space="preserve">Recommendation</w:t>
                  </w:r>
                </w:p>
              </w:tc>
              <w:tc>
                <w:tcPr/>
                <w:p>
                  <w:pPr>
                    <w:pStyle w:val="Compact"/>
                    <w:jc w:val="left"/>
                    <w:jc w:val="center"/>
                  </w:pPr>
                  <w:r>
                    <w:t xml:space="preserve">Notes</w:t>
                  </w:r>
                </w:p>
              </w:tc>
            </w:tr>
            <w:tr>
              <w:tc>
                <w:tcPr/>
                <w:p>
                  <w:pPr>
                    <w:pStyle w:val="Compact"/>
                    <w:jc w:val="left"/>
                    <w:jc w:val="center"/>
                  </w:pPr>
                  <w:r>
                    <w:t xml:space="preserve">No covariates</w:t>
                  </w:r>
                </w:p>
              </w:tc>
              <w:tc>
                <w:tcPr/>
                <w:p>
                  <w:pPr>
                    <w:pStyle w:val="Compact"/>
                    <w:jc w:val="left"/>
                    <w:jc w:val="center"/>
                  </w:pPr>
                  <w:r>
                    <w:t xml:space="preserve">none</w:t>
                  </w:r>
                </w:p>
              </w:tc>
              <w:tc>
                <w:tcPr/>
                <w:p>
                  <w:pPr>
                    <w:pStyle w:val="Compact"/>
                    <w:jc w:val="left"/>
                    <w:jc w:val="center"/>
                  </w:pPr>
                  <w:r>
                    <w:t xml:space="preserve">0.050</w:t>
                  </w:r>
                </w:p>
              </w:tc>
              <w:tc>
                <w:tcPr/>
                <w:p>
                  <w:pPr>
                    <w:pStyle w:val="Compact"/>
                    <w:jc w:val="left"/>
                    <w:jc w:val="center"/>
                  </w:pPr>
                  <w:r>
                    <w:t xml:space="preserve">0.449</w:t>
                  </w:r>
                </w:p>
              </w:tc>
              <w:tc>
                <w:tcPr/>
                <w:p>
                  <w:pPr>
                    <w:pStyle w:val="Compact"/>
                  </w:pPr>
                </w:p>
              </w:tc>
              <w:tc>
                <w:tcPr/>
                <w:p>
                  <w:pPr>
                    <w:pStyle w:val="Compact"/>
                  </w:pPr>
                </w:p>
              </w:tc>
            </w:tr>
            <w:tr>
              <w:tc>
                <w:tcPr/>
                <w:p>
                  <w:pPr>
                    <w:pStyle w:val="Compact"/>
                    <w:jc w:val="left"/>
                    <w:jc w:val="center"/>
                  </w:pPr>
                  <w:r>
                    <w:t xml:space="preserve">All covariates</w:t>
                  </w:r>
                </w:p>
              </w:tc>
              <w:tc>
                <w:tcPr/>
                <w:p>
                  <w:pPr>
                    <w:pStyle w:val="Compact"/>
                    <w:jc w:val="left"/>
                    <w:jc w:val="center"/>
                  </w:pPr>
                  <w:r>
                    <w:t xml:space="preserve">none</w:t>
                  </w:r>
                </w:p>
              </w:tc>
              <w:tc>
                <w:tcPr/>
                <w:p>
                  <w:pPr>
                    <w:pStyle w:val="Compact"/>
                    <w:jc w:val="left"/>
                    <w:jc w:val="center"/>
                  </w:pPr>
                  <w:r>
                    <w:t xml:space="preserve">0.050</w:t>
                  </w:r>
                </w:p>
              </w:tc>
              <w:tc>
                <w:tcPr/>
                <w:p>
                  <w:pPr>
                    <w:pStyle w:val="Compact"/>
                  </w:pPr>
                </w:p>
              </w:tc>
              <w:tc>
                <w:tcPr/>
                <w:p>
                  <w:pPr>
                    <w:pStyle w:val="Compact"/>
                  </w:pPr>
                </w:p>
              </w:tc>
              <w:tc>
                <w:tcPr/>
                <w:p>
                  <w:pPr>
                    <w:pStyle w:val="Compact"/>
                  </w:pPr>
                </w:p>
              </w:tc>
            </w:tr>
            <w:tr>
              <w:tc>
                <w:tcPr/>
                <w:p>
                  <w:pPr>
                    <w:pStyle w:val="Compact"/>
                    <w:jc w:val="left"/>
                    <w:jc w:val="center"/>
                  </w:pPr>
                  <w:r>
                    <w:t xml:space="preserve">p-hacking</w:t>
                  </w:r>
                </w:p>
              </w:tc>
              <w:tc>
                <w:tcPr/>
                <w:p>
                  <w:pPr>
                    <w:pStyle w:val="Compact"/>
                    <w:jc w:val="left"/>
                    <w:jc w:val="center"/>
                  </w:pPr>
                  <w:r>
                    <w:t xml:space="preserve">unacceptable</w:t>
                  </w:r>
                </w:p>
              </w:tc>
              <w:tc>
                <w:tcPr/>
                <w:p>
                  <w:pPr>
                    <w:pStyle w:val="Compact"/>
                    <w:jc w:val="left"/>
                    <w:jc w:val="center"/>
                  </w:pPr>
                  <w:r>
                    <w:t xml:space="preserve">0.198</w:t>
                  </w:r>
                </w:p>
              </w:tc>
              <w:tc>
                <w:tcPr/>
                <w:p>
                  <w:pPr>
                    <w:pStyle w:val="Compact"/>
                    <w:jc w:val="left"/>
                    <w:jc w:val="center"/>
                  </w:pPr>
                  <w:r>
                    <w:t xml:space="preserve">0.358</w:t>
                  </w:r>
                </w:p>
              </w:tc>
              <w:tc>
                <w:tcPr/>
                <w:p>
                  <w:pPr>
                    <w:pStyle w:val="Compact"/>
                  </w:pPr>
                </w:p>
              </w:tc>
              <w:tc>
                <w:tcPr/>
                <w:p>
                  <w:pPr>
                    <w:pStyle w:val="Compact"/>
                  </w:pPr>
                </w:p>
              </w:tc>
            </w:tr>
            <w:tr>
              <w:tc>
                <w:tcPr/>
                <w:p>
                  <w:pPr>
                    <w:pStyle w:val="Compact"/>
                    <w:jc w:val="left"/>
                    <w:jc w:val="center"/>
                  </w:pPr>
                  <w:r>
                    <w:t xml:space="preserve">Separate cov lm with X</w:t>
                  </w:r>
                </w:p>
              </w:tc>
              <w:tc>
                <w:tcPr/>
                <w:p>
                  <w:pPr>
                    <w:pStyle w:val="Compact"/>
                    <w:jc w:val="left"/>
                    <w:jc w:val="center"/>
                  </w:pPr>
                  <w:r>
                    <w:t xml:space="preserve">none</w:t>
                  </w:r>
                </w:p>
              </w:tc>
              <w:tc>
                <w:tcPr/>
                <w:p>
                  <w:pPr>
                    <w:pStyle w:val="Compact"/>
                    <w:jc w:val="left"/>
                    <w:jc w:val="center"/>
                  </w:pPr>
                  <w:r>
                    <w:t xml:space="preserve">0.052</w:t>
                  </w:r>
                </w:p>
              </w:tc>
              <w:tc>
                <w:tcPr/>
                <w:p>
                  <w:pPr>
                    <w:pStyle w:val="Compact"/>
                    <w:jc w:val="left"/>
                    <w:jc w:val="center"/>
                  </w:pPr>
                  <w:r>
                    <w:t xml:space="preserve">0.341</w:t>
                  </w:r>
                </w:p>
              </w:tc>
              <w:tc>
                <w:tcPr/>
                <w:p>
                  <w:pPr>
                    <w:pStyle w:val="Compact"/>
                  </w:pPr>
                </w:p>
              </w:tc>
              <w:tc>
                <w:tcPr/>
                <w:p>
                  <w:pPr>
                    <w:pStyle w:val="Compact"/>
                  </w:pPr>
                </w:p>
              </w:tc>
            </w:tr>
            <w:tr>
              <w:tc>
                <w:tcPr/>
                <w:p>
                  <w:pPr>
                    <w:pStyle w:val="Compact"/>
                    <w:jc w:val="left"/>
                    <w:jc w:val="center"/>
                  </w:pPr>
                  <w:r>
                    <w:t xml:space="preserve">Separate cov lm w/o X</w:t>
                  </w:r>
                </w:p>
              </w:tc>
              <w:tc>
                <w:tcPr/>
                <w:p>
                  <w:pPr>
                    <w:pStyle w:val="Compact"/>
                    <w:jc w:val="left"/>
                    <w:jc w:val="center"/>
                  </w:pPr>
                  <w:r>
                    <w:t xml:space="preserve">acceptable</w:t>
                  </w:r>
                </w:p>
              </w:tc>
              <w:tc>
                <w:tcPr/>
                <w:p>
                  <w:pPr>
                    <w:pStyle w:val="Compact"/>
                    <w:jc w:val="left"/>
                    <w:jc w:val="center"/>
                  </w:pPr>
                  <w:r>
                    <w:t xml:space="preserve">0.050</w:t>
                  </w:r>
                </w:p>
              </w:tc>
              <w:tc>
                <w:tcPr/>
                <w:p>
                  <w:pPr>
                    <w:pStyle w:val="Compact"/>
                    <w:jc w:val="left"/>
                    <w:jc w:val="center"/>
                  </w:pPr>
                  <w:r>
                    <w:t xml:space="preserve">0.347</w:t>
                  </w:r>
                </w:p>
              </w:tc>
              <w:tc>
                <w:tcPr/>
                <w:p>
                  <w:pPr>
                    <w:pStyle w:val="Compact"/>
                  </w:pPr>
                </w:p>
              </w:tc>
              <w:tc>
                <w:tcPr/>
                <w:p>
                  <w:pPr>
                    <w:pStyle w:val="Compact"/>
                  </w:pPr>
                </w:p>
              </w:tc>
            </w:tr>
            <w:tr>
              <w:tc>
                <w:tcPr/>
                <w:p>
                  <w:pPr>
                    <w:pStyle w:val="Compact"/>
                    <w:jc w:val="left"/>
                    <w:jc w:val="center"/>
                  </w:pPr>
                  <w:r>
                    <w:t xml:space="preserve">Simultaneous cov lm with X</w:t>
                  </w:r>
                </w:p>
              </w:tc>
              <w:tc>
                <w:tcPr/>
                <w:p>
                  <w:pPr>
                    <w:pStyle w:val="Compact"/>
                    <w:jc w:val="left"/>
                    <w:jc w:val="center"/>
                  </w:pPr>
                  <w:r>
                    <w:t xml:space="preserve">none</w:t>
                  </w:r>
                </w:p>
              </w:tc>
              <w:tc>
                <w:tcPr/>
                <w:p>
                  <w:pPr>
                    <w:pStyle w:val="Compact"/>
                    <w:jc w:val="left"/>
                    <w:jc w:val="center"/>
                  </w:pPr>
                  <w:r>
                    <w:t xml:space="preserve">0.060</w:t>
                  </w:r>
                </w:p>
              </w:tc>
              <w:tc>
                <w:tcPr/>
                <w:p>
                  <w:pPr>
                    <w:pStyle w:val="Compact"/>
                    <w:jc w:val="left"/>
                    <w:jc w:val="center"/>
                  </w:pPr>
                  <w:r>
                    <w:t xml:space="preserve">0.345</w:t>
                  </w:r>
                </w:p>
              </w:tc>
              <w:tc>
                <w:tcPr/>
                <w:p>
                  <w:pPr>
                    <w:pStyle w:val="Compact"/>
                  </w:pPr>
                </w:p>
              </w:tc>
              <w:tc>
                <w:tcPr/>
                <w:p>
                  <w:pPr>
                    <w:pStyle w:val="Compact"/>
                  </w:pPr>
                </w:p>
              </w:tc>
            </w:tr>
            <w:tr>
              <w:tc>
                <w:tcPr/>
                <w:p>
                  <w:pPr>
                    <w:pStyle w:val="Compact"/>
                    <w:jc w:val="left"/>
                    <w:jc w:val="center"/>
                  </w:pPr>
                  <w:r>
                    <w:t xml:space="preserve">Simultaneous cov lm w/o X</w:t>
                  </w:r>
                </w:p>
              </w:tc>
              <w:tc>
                <w:tcPr/>
                <w:p>
                  <w:pPr>
                    <w:pStyle w:val="Compact"/>
                    <w:jc w:val="left"/>
                    <w:jc w:val="center"/>
                  </w:pPr>
                  <w:r>
                    <w:t xml:space="preserve">acceptable</w:t>
                  </w:r>
                </w:p>
              </w:tc>
              <w:tc>
                <w:tcPr/>
                <w:p>
                  <w:pPr>
                    <w:pStyle w:val="Compact"/>
                    <w:jc w:val="left"/>
                    <w:jc w:val="center"/>
                  </w:pPr>
                  <w:r>
                    <w:t xml:space="preserve">0.050</w:t>
                  </w:r>
                </w:p>
              </w:tc>
              <w:tc>
                <w:tcPr/>
                <w:p>
                  <w:pPr>
                    <w:pStyle w:val="Compact"/>
                    <w:jc w:val="left"/>
                    <w:jc w:val="center"/>
                  </w:pPr>
                  <w:r>
                    <w:t xml:space="preserve">0.368</w:t>
                  </w:r>
                </w:p>
              </w:tc>
              <w:tc>
                <w:tcPr/>
                <w:p>
                  <w:pPr>
                    <w:pStyle w:val="Compact"/>
                  </w:pPr>
                </w:p>
              </w:tc>
              <w:tc>
                <w:tcPr/>
                <w:p>
                  <w:pPr>
                    <w:pStyle w:val="Compact"/>
                  </w:pPr>
                </w:p>
              </w:tc>
            </w:tr>
            <w:tr>
              <w:tc>
                <w:tcPr/>
                <w:p>
                  <w:pPr>
                    <w:pStyle w:val="Compact"/>
                    <w:jc w:val="left"/>
                    <w:jc w:val="center"/>
                  </w:pPr>
                  <w:r>
                    <w:t xml:space="preserve">Simultaneous cov LASSO with X</w:t>
                  </w:r>
                </w:p>
              </w:tc>
              <w:tc>
                <w:tcPr/>
                <w:p>
                  <w:pPr>
                    <w:pStyle w:val="Compact"/>
                    <w:jc w:val="left"/>
                    <w:jc w:val="center"/>
                  </w:pPr>
                  <w:r>
                    <w:t xml:space="preserve">none</w:t>
                  </w:r>
                </w:p>
              </w:tc>
              <w:tc>
                <w:tcPr/>
                <w:p>
                  <w:pPr>
                    <w:pStyle w:val="Compact"/>
                    <w:jc w:val="left"/>
                    <w:jc w:val="center"/>
                  </w:pPr>
                  <w:r>
                    <w:t xml:space="preserve">0.057</w:t>
                  </w:r>
                </w:p>
              </w:tc>
              <w:tc>
                <w:tcPr/>
                <w:p>
                  <w:pPr>
                    <w:pStyle w:val="Compact"/>
                    <w:jc w:val="left"/>
                    <w:jc w:val="center"/>
                  </w:pPr>
                  <w:r>
                    <w:t xml:space="preserve">0.337</w:t>
                  </w:r>
                </w:p>
              </w:tc>
              <w:tc>
                <w:tcPr/>
                <w:p>
                  <w:pPr>
                    <w:pStyle w:val="Compact"/>
                  </w:pPr>
                </w:p>
              </w:tc>
              <w:tc>
                <w:tcPr/>
                <w:p>
                  <w:pPr>
                    <w:pStyle w:val="Compact"/>
                  </w:pPr>
                </w:p>
              </w:tc>
            </w:tr>
            <w:tr>
              <w:tc>
                <w:tcPr/>
                <w:p>
                  <w:pPr>
                    <w:pStyle w:val="Compact"/>
                    <w:jc w:val="left"/>
                    <w:jc w:val="center"/>
                  </w:pPr>
                  <w:r>
                    <w:t xml:space="preserve">Simultaneous cov LASSO w/o X</w:t>
                  </w:r>
                </w:p>
              </w:tc>
              <w:tc>
                <w:tcPr/>
                <w:p>
                  <w:pPr>
                    <w:pStyle w:val="Compact"/>
                    <w:jc w:val="left"/>
                    <w:jc w:val="center"/>
                  </w:pPr>
                  <w:r>
                    <w:t xml:space="preserve">acceptable</w:t>
                  </w:r>
                </w:p>
              </w:tc>
              <w:tc>
                <w:tcPr/>
                <w:p>
                  <w:pPr>
                    <w:pStyle w:val="Compact"/>
                    <w:jc w:val="left"/>
                    <w:jc w:val="center"/>
                  </w:pPr>
                  <w:r>
                    <w:t xml:space="preserve">0.050</w:t>
                  </w:r>
                </w:p>
              </w:tc>
              <w:tc>
                <w:tcPr/>
                <w:p>
                  <w:pPr>
                    <w:pStyle w:val="Compact"/>
                    <w:jc w:val="left"/>
                    <w:jc w:val="center"/>
                  </w:pPr>
                  <w:r>
                    <w:t xml:space="preserve">0.352</w:t>
                  </w:r>
                </w:p>
              </w:tc>
              <w:tc>
                <w:tcPr/>
                <w:p>
                  <w:pPr>
                    <w:pStyle w:val="Compact"/>
                  </w:pPr>
                </w:p>
              </w:tc>
              <w:tc>
                <w:tcPr/>
                <w:p>
                  <w:pPr>
                    <w:pStyle w:val="Compact"/>
                  </w:pPr>
                </w:p>
              </w:tc>
            </w:tr>
          </w:tbl>
          <w:bookmarkEnd w:id="63"/>
          <w:p/>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Tables for Main Manuscript</w:t>
        </w:r>
      </w:hyperlink>
    </w:p>
    <w:bookmarkEnd w:id="65"/>
    <w:bookmarkStart w:id="106" w:name="references"/>
    <w:p>
      <w:pPr>
        <w:pStyle w:val="Heading1"/>
      </w:pPr>
      <w:r>
        <w:t xml:space="preserve">References</w:t>
      </w:r>
    </w:p>
    <w:bookmarkStart w:id="105" w:name="refs"/>
    <w:bookmarkStart w:id="6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6">
        <w:r>
          <w:rPr>
            <w:rStyle w:val="Hyperlink"/>
          </w:rPr>
          <w:t xml:space="preserve">https://doi.org/10.1016/0197-2456(89)90055-x</w:t>
        </w:r>
      </w:hyperlink>
      <w:r>
        <w:t xml:space="preserve">.</w:t>
      </w:r>
    </w:p>
    <w:bookmarkEnd w:id="67"/>
    <w:bookmarkStart w:id="69"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68">
        <w:r>
          <w:rPr>
            <w:rStyle w:val="Hyperlink"/>
          </w:rPr>
          <w:t xml:space="preserve">https://doi.org/10.1177/0956797613499923</w:t>
        </w:r>
      </w:hyperlink>
      <w:r>
        <w:t xml:space="preserve">.</w:t>
      </w:r>
    </w:p>
    <w:bookmarkEnd w:id="69"/>
    <w:bookmarkStart w:id="71"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70">
        <w:r>
          <w:rPr>
            <w:rStyle w:val="Hyperlink"/>
          </w:rPr>
          <w:t xml:space="preserve">https://doi.org/10.1038/nrn3475</w:t>
        </w:r>
      </w:hyperlink>
      <w:r>
        <w:t xml:space="preserve">.</w:t>
      </w:r>
    </w:p>
    <w:bookmarkEnd w:id="71"/>
    <w:bookmarkStart w:id="73"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2">
        <w:r>
          <w:rPr>
            <w:rStyle w:val="Hyperlink"/>
          </w:rPr>
          <w:t xml:space="preserve">https://doi.org/10.21231/GNT1-HW21</w:t>
        </w:r>
      </w:hyperlink>
      <w:r>
        <w:t xml:space="preserve">.</w:t>
      </w:r>
    </w:p>
    <w:bookmarkEnd w:id="73"/>
    <w:bookmarkStart w:id="75"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4">
        <w:r>
          <w:rPr>
            <w:rStyle w:val="Hyperlink"/>
          </w:rPr>
          <w:t xml:space="preserve">https://doi.org/10.1037/h0045186</w:t>
        </w:r>
      </w:hyperlink>
      <w:r>
        <w:t xml:space="preserve">.</w:t>
      </w:r>
    </w:p>
    <w:bookmarkEnd w:id="75"/>
    <w:bookmarkStart w:id="76"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6"/>
    <w:bookmarkStart w:id="77"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7"/>
    <w:bookmarkStart w:id="79"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8">
        <w:r>
          <w:rPr>
            <w:rStyle w:val="Hyperlink"/>
          </w:rPr>
          <w:t xml:space="preserve">https://doi.org/10.1186/1471-2288-14-49</w:t>
        </w:r>
      </w:hyperlink>
      <w:r>
        <w:t xml:space="preserve">.</w:t>
      </w:r>
    </w:p>
    <w:bookmarkEnd w:id="79"/>
    <w:bookmarkStart w:id="81"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80">
        <w:r>
          <w:rPr>
            <w:rStyle w:val="Hyperlink"/>
          </w:rPr>
          <w:t xml:space="preserve">https://doi.org/10.1037/a0033407</w:t>
        </w:r>
      </w:hyperlink>
      <w:r>
        <w:t xml:space="preserve">.</w:t>
      </w:r>
    </w:p>
    <w:bookmarkEnd w:id="81"/>
    <w:bookmarkStart w:id="83"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82">
        <w:r>
          <w:rPr>
            <w:rStyle w:val="Hyperlink"/>
          </w:rPr>
          <w:t xml:space="preserve">https://doi.org/10.1016/j.annepidem.2005.09.007</w:t>
        </w:r>
      </w:hyperlink>
      <w:r>
        <w:t xml:space="preserve">.</w:t>
      </w:r>
    </w:p>
    <w:bookmarkEnd w:id="83"/>
    <w:bookmarkStart w:id="85"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4">
        <w:r>
          <w:rPr>
            <w:rStyle w:val="Hyperlink"/>
          </w:rPr>
          <w:t xml:space="preserve">https://doi.org/10.1016/j.jclinepi.2003.09.014</w:t>
        </w:r>
      </w:hyperlink>
      <w:r>
        <w:t xml:space="preserve">.</w:t>
      </w:r>
    </w:p>
    <w:bookmarkEnd w:id="85"/>
    <w:bookmarkStart w:id="87"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6">
        <w:r>
          <w:rPr>
            <w:rStyle w:val="Hyperlink"/>
          </w:rPr>
          <w:t xml:space="preserve">https://doi.org/10.1371/journal.pmed.0020124</w:t>
        </w:r>
      </w:hyperlink>
      <w:r>
        <w:t xml:space="preserve">.</w:t>
      </w:r>
    </w:p>
    <w:bookmarkEnd w:id="87"/>
    <w:bookmarkStart w:id="89"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8">
        <w:r>
          <w:rPr>
            <w:rStyle w:val="Hyperlink"/>
          </w:rPr>
          <w:t xml:space="preserve">https://doi.org/10.1186/1745-6215-15-139</w:t>
        </w:r>
      </w:hyperlink>
      <w:r>
        <w:t xml:space="preserve">.</w:t>
      </w:r>
    </w:p>
    <w:bookmarkEnd w:id="89"/>
    <w:bookmarkStart w:id="90"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0"/>
    <w:bookmarkStart w:id="92" w:name="Xacb972bec6951688223e59e5436f5358068fdee"/>
    <w:p>
      <w:pPr>
        <w:pStyle w:val="Bibliography"/>
      </w:pPr>
      <w:r>
        <w:t xml:space="preserve">Miller, G A, and J P Chapman. 2001.</w:t>
      </w:r>
      <w:r>
        <w:t xml:space="preserve"> </w:t>
      </w:r>
      <w:r>
        <w:t xml:space="preserve">“</w:t>
      </w:r>
      <w:hyperlink r:id="rId91">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92"/>
    <w:bookmarkStart w:id="93"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3"/>
    <w:bookmarkStart w:id="95"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94">
        <w:r>
          <w:rPr>
            <w:rStyle w:val="Hyperlink"/>
          </w:rPr>
          <w:t xml:space="preserve">https://doi.org/10.1080/03610928508828942</w:t>
        </w:r>
      </w:hyperlink>
      <w:r>
        <w:t xml:space="preserve">.</w:t>
      </w:r>
    </w:p>
    <w:bookmarkEnd w:id="95"/>
    <w:bookmarkStart w:id="97"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6">
        <w:r>
          <w:rPr>
            <w:rStyle w:val="Hyperlink"/>
          </w:rPr>
          <w:t xml:space="preserve">https://doi.org/10.1177/0956797611417632</w:t>
        </w:r>
      </w:hyperlink>
      <w:r>
        <w:t xml:space="preserve">.</w:t>
      </w:r>
    </w:p>
    <w:bookmarkEnd w:id="97"/>
    <w:bookmarkStart w:id="99"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8">
        <w:r>
          <w:rPr>
            <w:rStyle w:val="Hyperlink"/>
          </w:rPr>
          <w:t xml:space="preserve">https://doi.org/10.1037/a0033242</w:t>
        </w:r>
      </w:hyperlink>
      <w:r>
        <w:t xml:space="preserve">.</w:t>
      </w:r>
    </w:p>
    <w:bookmarkEnd w:id="99"/>
    <w:bookmarkStart w:id="101"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100">
        <w:r>
          <w:rPr>
            <w:rStyle w:val="Hyperlink"/>
          </w:rPr>
          <w:t xml:space="preserve">https://doi.org/10.1016/j.jclinepi.2014.11.001</w:t>
        </w:r>
      </w:hyperlink>
      <w:r>
        <w:t xml:space="preserve">.</w:t>
      </w:r>
    </w:p>
    <w:bookmarkEnd w:id="101"/>
    <w:bookmarkStart w:id="103"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102">
        <w:r>
          <w:rPr>
            <w:rStyle w:val="Hyperlink"/>
          </w:rPr>
          <w:t xml:space="preserve">https://doi.org/10.1111/j.2517-6161.1996.tb02080.x</w:t>
        </w:r>
      </w:hyperlink>
      <w:r>
        <w:t xml:space="preserve">.</w:t>
      </w:r>
    </w:p>
    <w:bookmarkEnd w:id="103"/>
    <w:bookmarkStart w:id="10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104"/>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34" Target="media/rId34.png" /><Relationship Type="http://schemas.openxmlformats.org/officeDocument/2006/relationships/image" Id="rId56" Target="media/rId56.png" /><Relationship Type="http://schemas.openxmlformats.org/officeDocument/2006/relationships/image" Id="rId45" Target="media/rId45.png" /><Relationship Type="http://schemas.openxmlformats.org/officeDocument/2006/relationships/hyperlink" Id="rId66" Target="https://doi.org/10.1016/0197-2456(89)90055-x" TargetMode="External" /><Relationship Type="http://schemas.openxmlformats.org/officeDocument/2006/relationships/hyperlink" Id="rId82" Target="https://doi.org/10.1016/j.annepidem.2005.09.007" TargetMode="External" /><Relationship Type="http://schemas.openxmlformats.org/officeDocument/2006/relationships/hyperlink" Id="rId84" Target="https://doi.org/10.1016/j.jclinepi.2003.09.014" TargetMode="External" /><Relationship Type="http://schemas.openxmlformats.org/officeDocument/2006/relationships/hyperlink" Id="rId100" Target="https://doi.org/10.1016/j.jclinepi.2014.11.001" TargetMode="External" /><Relationship Type="http://schemas.openxmlformats.org/officeDocument/2006/relationships/hyperlink" Id="rId98" Target="https://doi.org/10.1037/a0033242" TargetMode="External" /><Relationship Type="http://schemas.openxmlformats.org/officeDocument/2006/relationships/hyperlink" Id="rId80" Target="https://doi.org/10.1037/a0033407" TargetMode="External" /><Relationship Type="http://schemas.openxmlformats.org/officeDocument/2006/relationships/hyperlink" Id="rId74" Target="https://doi.org/10.1037/h0045186" TargetMode="External" /><Relationship Type="http://schemas.openxmlformats.org/officeDocument/2006/relationships/hyperlink" Id="rId70" Target="https://doi.org/10.1038/nrn3475" TargetMode="External" /><Relationship Type="http://schemas.openxmlformats.org/officeDocument/2006/relationships/hyperlink" Id="rId94" Target="https://doi.org/10.1080/03610928508828942" TargetMode="External" /><Relationship Type="http://schemas.openxmlformats.org/officeDocument/2006/relationships/hyperlink" Id="rId102" Target="https://doi.org/10.1111/j.2517-6161.1996.tb02080.x" TargetMode="External" /><Relationship Type="http://schemas.openxmlformats.org/officeDocument/2006/relationships/hyperlink" Id="rId96" Target="https://doi.org/10.1177/0956797611417632" TargetMode="External" /><Relationship Type="http://schemas.openxmlformats.org/officeDocument/2006/relationships/hyperlink" Id="rId68" Target="https://doi.org/10.1177/0956797613499923" TargetMode="External" /><Relationship Type="http://schemas.openxmlformats.org/officeDocument/2006/relationships/hyperlink" Id="rId78" Target="https://doi.org/10.1186/1471-2288-14-49" TargetMode="External" /><Relationship Type="http://schemas.openxmlformats.org/officeDocument/2006/relationships/hyperlink" Id="rId88" Target="https://doi.org/10.1186/1745-6215-15-139" TargetMode="External" /><Relationship Type="http://schemas.openxmlformats.org/officeDocument/2006/relationships/hyperlink" Id="rId86" Target="https://doi.org/10.1371/journal.pmed.0020124" TargetMode="External" /><Relationship Type="http://schemas.openxmlformats.org/officeDocument/2006/relationships/hyperlink" Id="rId72"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64" Target="https://jjcurtin.github.io/study_cov/notebooks\mak_tables-preview.html#cell-tbl-rec" TargetMode="External" /><Relationship Type="http://schemas.openxmlformats.org/officeDocument/2006/relationships/hyperlink" Id="rId29" Target="https://osf.io/zh5gn/" TargetMode="External" /><Relationship Type="http://schemas.openxmlformats.org/officeDocument/2006/relationships/hyperlink" Id="rId91"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16/0197-2456(89)90055-x" TargetMode="External" /><Relationship Type="http://schemas.openxmlformats.org/officeDocument/2006/relationships/hyperlink" Id="rId82" Target="https://doi.org/10.1016/j.annepidem.2005.09.007" TargetMode="External" /><Relationship Type="http://schemas.openxmlformats.org/officeDocument/2006/relationships/hyperlink" Id="rId84" Target="https://doi.org/10.1016/j.jclinepi.2003.09.014" TargetMode="External" /><Relationship Type="http://schemas.openxmlformats.org/officeDocument/2006/relationships/hyperlink" Id="rId100" Target="https://doi.org/10.1016/j.jclinepi.2014.11.001" TargetMode="External" /><Relationship Type="http://schemas.openxmlformats.org/officeDocument/2006/relationships/hyperlink" Id="rId98" Target="https://doi.org/10.1037/a0033242" TargetMode="External" /><Relationship Type="http://schemas.openxmlformats.org/officeDocument/2006/relationships/hyperlink" Id="rId80" Target="https://doi.org/10.1037/a0033407" TargetMode="External" /><Relationship Type="http://schemas.openxmlformats.org/officeDocument/2006/relationships/hyperlink" Id="rId74" Target="https://doi.org/10.1037/h0045186" TargetMode="External" /><Relationship Type="http://schemas.openxmlformats.org/officeDocument/2006/relationships/hyperlink" Id="rId70" Target="https://doi.org/10.1038/nrn3475" TargetMode="External" /><Relationship Type="http://schemas.openxmlformats.org/officeDocument/2006/relationships/hyperlink" Id="rId94" Target="https://doi.org/10.1080/03610928508828942" TargetMode="External" /><Relationship Type="http://schemas.openxmlformats.org/officeDocument/2006/relationships/hyperlink" Id="rId102" Target="https://doi.org/10.1111/j.2517-6161.1996.tb02080.x" TargetMode="External" /><Relationship Type="http://schemas.openxmlformats.org/officeDocument/2006/relationships/hyperlink" Id="rId96" Target="https://doi.org/10.1177/0956797611417632" TargetMode="External" /><Relationship Type="http://schemas.openxmlformats.org/officeDocument/2006/relationships/hyperlink" Id="rId68" Target="https://doi.org/10.1177/0956797613499923" TargetMode="External" /><Relationship Type="http://schemas.openxmlformats.org/officeDocument/2006/relationships/hyperlink" Id="rId78" Target="https://doi.org/10.1186/1471-2288-14-49" TargetMode="External" /><Relationship Type="http://schemas.openxmlformats.org/officeDocument/2006/relationships/hyperlink" Id="rId88" Target="https://doi.org/10.1186/1745-6215-15-139" TargetMode="External" /><Relationship Type="http://schemas.openxmlformats.org/officeDocument/2006/relationships/hyperlink" Id="rId86" Target="https://doi.org/10.1371/journal.pmed.0020124" TargetMode="External" /><Relationship Type="http://schemas.openxmlformats.org/officeDocument/2006/relationships/hyperlink" Id="rId72"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64" Target="https://jjcurtin.github.io/study_cov/notebooks\mak_tables-preview.html#cell-tbl-rec" TargetMode="External" /><Relationship Type="http://schemas.openxmlformats.org/officeDocument/2006/relationships/hyperlink" Id="rId29" Target="https://osf.io/zh5gn/" TargetMode="External" /><Relationship Type="http://schemas.openxmlformats.org/officeDocument/2006/relationships/hyperlink" Id="rId91"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2026-05-05T14:13:20Z</dcterms:created>
  <dcterms:modified xsi:type="dcterms:W3CDTF">2026-05-05T14:13:20Z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Including covariates when testing an experimentally manipulated independent variable (X) can reduce Type II error by accounting for additional variance in the outcome. Selecting optimal covariates, however, is challenging. Iterating over many covariates and retaining only those that increase the X effect (p-hacking) substantially inflates Type I error. Consequently, researchers often adopt two extremes: including no covariates or all covariates. Although these approaches do not nominally increase Type I error rates, both can reduce power. Data-driven approaches may offer a more effective alternative.We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(p-hacking, linear models that screen each covariate separately with and without X, linear models that screen all covariates simultaneously with and without X, and LASSO models that screen all covariates simultaneously with and without X).We calculated the probability of Type I and Type II errors across methods and research contexts. Our results provide strong evidence of the benefits of using covariates and provide practical guidance for selecting covariates in experimental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2026-04-16</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