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0.png" ContentType="image/png"/>
  <Override PartName="/word/media/rId45.png" ContentType="image/png"/>
  <Override PartName="/word/media/rId52.png" ContentType="image/png"/>
  <Override PartName="/word/media/rId60.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Performance</w:t>
      </w:r>
      <w:r>
        <w:t xml:space="preserve"> </w:t>
      </w:r>
      <w:r>
        <w:t xml:space="preserve">and</w:t>
      </w:r>
      <w:r>
        <w:t xml:space="preserve"> </w:t>
      </w:r>
      <w:r>
        <w:t xml:space="preserve">Equity</w:t>
      </w:r>
      <w:r>
        <w:t xml:space="preserve"> </w:t>
      </w:r>
      <w:r>
        <w:t xml:space="preserve">of</w:t>
      </w:r>
      <w:r>
        <w:t xml:space="preserve"> </w:t>
      </w:r>
      <w:r>
        <w:t xml:space="preserve">Contextualized</w:t>
      </w:r>
      <w:r>
        <w:t xml:space="preserve"> </w:t>
      </w:r>
      <w:r>
        <w:t xml:space="preserve">Geolocation</w:t>
      </w:r>
      <w:r>
        <w:t xml:space="preserve"> </w:t>
      </w:r>
      <w:r>
        <w:t xml:space="preserve">Data</w:t>
      </w:r>
      <w:r>
        <w:t xml:space="preserve"> </w:t>
      </w:r>
      <w:r>
        <w:t xml:space="preserve">for</w:t>
      </w:r>
      <w:r>
        <w:t xml:space="preserve"> </w:t>
      </w:r>
      <w:r>
        <w:t xml:space="preserve">Lapse</w:t>
      </w:r>
      <w:r>
        <w:t xml:space="preserve"> </w:t>
      </w:r>
      <w:r>
        <w:t xml:space="preserve">Prediction</w:t>
      </w:r>
      <w:r>
        <w:t xml:space="preserve"> </w:t>
      </w:r>
      <w:r>
        <w:t xml:space="preserve">in</w:t>
      </w:r>
      <w:r>
        <w:t xml:space="preserve"> </w:t>
      </w:r>
      <w:r>
        <w:t xml:space="preserve">Alcohol</w:t>
      </w:r>
      <w:r>
        <w:t xml:space="preserve"> </w:t>
      </w:r>
      <w:r>
        <w:t xml:space="preserve">Use</w:t>
      </w:r>
      <w:r>
        <w:t xml:space="preserve"> </w:t>
      </w:r>
      <w:r>
        <w:t xml:space="preserve">Disorder</w:t>
      </w:r>
    </w:p>
    <w:p>
      <w:pPr>
        <w:pStyle w:val="Author"/>
      </w:pPr>
      <w:r>
        <w:t xml:space="preserve">Claire</w:t>
      </w:r>
      <w:r>
        <w:t xml:space="preserve"> </w:t>
      </w:r>
      <w:r>
        <w:t xml:space="preserve">Punturieri</w:t>
      </w:r>
    </w:p>
    <w:p>
      <w:pPr>
        <w:pStyle w:val="Author"/>
      </w:pPr>
      <w:r>
        <w:t xml:space="preserve">Kendra</w:t>
      </w:r>
      <w:r>
        <w:t xml:space="preserve"> </w:t>
      </w:r>
      <w:r>
        <w:t xml:space="preserve">Wyant</w:t>
      </w:r>
    </w:p>
    <w:p>
      <w:pPr>
        <w:pStyle w:val="Author"/>
      </w:pPr>
      <w:r>
        <w:t xml:space="preserve">Christopher</w:t>
      </w:r>
      <w:r>
        <w:t xml:space="preserve"> </w:t>
      </w:r>
      <w:r>
        <w:t xml:space="preserve">Janssen</w:t>
      </w:r>
    </w:p>
    <w:p>
      <w:pPr>
        <w:pStyle w:val="Author"/>
      </w:pPr>
      <w:r>
        <w:t xml:space="preserve">John</w:t>
      </w:r>
      <w:r>
        <w:t xml:space="preserve"> </w:t>
      </w:r>
      <w:r>
        <w:t xml:space="preserve">J.</w:t>
      </w:r>
      <w:r>
        <w:t xml:space="preserve"> </w:t>
      </w:r>
      <w:r>
        <w:t xml:space="preserve">Curtin</w:t>
      </w:r>
    </w:p>
    <w:p>
      <w:pPr>
        <w:pStyle w:val="Date"/>
      </w:pPr>
      <w:r>
        <w:t xml:space="preserve">2026-09-05</w:t>
      </w:r>
    </w:p>
    <w:p>
      <w:pPr>
        <w:pStyle w:val="AbstractTitle"/>
      </w:pPr>
      <w:r>
        <w:t xml:space="preserve">Abstract</w:t>
      </w:r>
    </w:p>
    <w:p>
      <w:pPr>
        <w:pStyle w:val="Abstract"/>
      </w:pPr>
      <w:r>
        <w:t xml:space="preserve">Insert</w:t>
      </w:r>
      <w:r>
        <w:t xml:space="preserve"> </w:t>
      </w:r>
      <w:r>
        <w:t xml:space="preserve">here.</w:t>
      </w:r>
    </w:p>
    <w:p>
      <w:pPr>
        <w:pStyle w:val="FirstParagraph"/>
      </w:pPr>
      <w:r>
        <w:rPr>
          <w:vertAlign w:val="subscript"/>
        </w:rPr>
        <w:t xml:space="preserve">Source:</w:t>
      </w:r>
      <w:r>
        <w:rPr>
          <w:vertAlign w:val="subscript"/>
        </w:rPr>
        <w:t xml:space="preserve"> </w:t>
      </w:r>
      <w:hyperlink r:id="rId20">
        <w:r>
          <w:rPr>
            <w:rStyle w:val="Hyperlink"/>
            <w:vertAlign w:val="subscript"/>
          </w:rPr>
          <w:t xml:space="preserve">Article Notebook</w:t>
        </w:r>
      </w:hyperlink>
    </w:p>
    <w:bookmarkStart w:id="23" w:name="introduction"/>
    <w:p>
      <w:pPr>
        <w:pStyle w:val="Heading2"/>
      </w:pPr>
      <w:r>
        <w:t xml:space="preserve">Introduction</w:t>
      </w:r>
    </w:p>
    <w:p>
      <w:pPr>
        <w:pStyle w:val="FirstParagraph"/>
      </w:pPr>
      <w:r>
        <w:t xml:space="preserve">About 1 in 10 adults in the United States met diagnostic criteria for alcohol use disorder (AUD) in 2022</w:t>
      </w:r>
      <w:r>
        <w:t xml:space="preserve"> </w:t>
      </w:r>
      <w:r>
        <w:t xml:space="preserve">(SAMHSA Center for Behavioral Health Statistics and Quality, 2022)</w:t>
      </w:r>
      <w:r>
        <w:t xml:space="preserve">. Of these individuals, many will experience AUD as a chronic, relapsing disorder marked by periods of recovery interspersed with returns back to harmful use</w:t>
      </w:r>
      <w:r>
        <w:t xml:space="preserve"> </w:t>
      </w:r>
      <w:r>
        <w:t xml:space="preserve">(McKay &amp; Hiller-Sturmhofel, 2011; Moos &amp; Moos, 2006)</w:t>
      </w:r>
      <w:r>
        <w:t xml:space="preserve">. Lapses, or single instances of goal-inconsistent use, necessarily precede a relapse period</w:t>
      </w:r>
      <w:r>
        <w:t xml:space="preserve"> </w:t>
      </w:r>
      <w:r>
        <w:t xml:space="preserve">(</w:t>
      </w:r>
      <w:r>
        <w:rPr>
          <w:b/>
          <w:bCs/>
        </w:rPr>
        <w:t xml:space="preserve">witkiewitzRelapsePreventionAlcohol2004b?</w:t>
      </w:r>
      <w:r>
        <w:t xml:space="preserve">)</w:t>
      </w:r>
      <w:r>
        <w:t xml:space="preserve">. This temporal precedence, combined with their clear definition and ease of observation, make them a suitable target for early intervention. Yet, even when someone anticipates an oncoming lapse, it may be difficult to pinpoint its specific driving forces. Moreover, the precipitants to a lapse will vary between and within people. These two factors can make maintaining recovery goals difficult and motivate the need for lifelong monitoring and support.</w:t>
      </w:r>
    </w:p>
    <w:p>
      <w:pPr>
        <w:pStyle w:val="BodyText"/>
      </w:pPr>
      <w:r>
        <w:t xml:space="preserve">One way to provide ongoing assistance to individuals in recovery is through the development of a continuous risk monitoring and support system. An ideal version of this system consists of two core components. First, the system must be able to collect risk-relevant data with sufficient temporal precision. Next, the system should communicate factors driving (or mitigating) this risk to provide personalized recommendations (e.g., behavior modification, seeking out supports). Not only does this system need to be developed outright, it also needs to be designed to be both sustainable (i.e., can be used over an extended period of time) and scalable (i.e., can be effectively used by a maximal amount of people). These goals can be accomplished by integrating personal sensing data and machine learning within such a system.</w:t>
      </w:r>
    </w:p>
    <w:p>
      <w:pPr>
        <w:pStyle w:val="BodyText"/>
      </w:pPr>
      <w:r>
        <w:t xml:space="preserve">Personal sensing data are data derived via embedded sensors in technology such as smartphones, smartwatches, or wearables</w:t>
      </w:r>
      <w:r>
        <w:t xml:space="preserve"> </w:t>
      </w:r>
      <w:r>
        <w:t xml:space="preserve">(</w:t>
      </w:r>
      <w:r>
        <w:rPr>
          <w:b/>
          <w:bCs/>
        </w:rPr>
        <w:t xml:space="preserve">mohrPersonalSensingUnderstanding2017a?</w:t>
      </w:r>
      <w:r>
        <w:t xml:space="preserve">)</w:t>
      </w:r>
      <w:r>
        <w:t xml:space="preserve">, and can also include information collected from applications downloaded onto one of these devices like ecological momentary assessment (EMA) surveys. Other examples of these data are location information, text messages, and social media behavior. Because these devices are already ubiquitous within daily life, these data can viably be collected unobtrusively and continuously for clinical purposes. Many of these data do not require individuals to significantly change their behavior or routines in any way, making data collection both sustainable and ecologically valid. Machine learning models can then uncover relationships between antecedent behaviors present in these data and true lapse events. Importantly, the use of machine learning models enables scalability. Continuous and long-term lapse risk detection and accompanying recommendations cannot realistically be provided by clinicians in an already overburdened addiction treatment system</w:t>
      </w:r>
      <w:r>
        <w:t xml:space="preserve"> </w:t>
      </w:r>
      <w:r>
        <w:t xml:space="preserve">(McLellan et al., 2003)</w:t>
      </w:r>
      <w:r>
        <w:t xml:space="preserve">. Irrespective of burden,</w:t>
      </w:r>
      <w:r>
        <w:t xml:space="preserve"> </w:t>
      </w:r>
      <w:r>
        <w:rPr>
          <w:i/>
          <w:iCs/>
        </w:rPr>
        <w:t xml:space="preserve">real time</w:t>
      </w:r>
      <w:r>
        <w:t xml:space="preserve"> </w:t>
      </w:r>
      <w:r>
        <w:t xml:space="preserve">risk detection and recommendations cannot reasonably be done by clinicians on a day-by-day basis.</w:t>
      </w:r>
    </w:p>
    <w:p>
      <w:pPr>
        <w:pStyle w:val="BodyText"/>
      </w:pPr>
      <w:r>
        <w:t xml:space="preserve">Previous work has established the viability of brief daily surveys (also called</w:t>
      </w:r>
      <w:r>
        <w:t xml:space="preserve"> </w:t>
      </w:r>
      <w:r>
        <w:t xml:space="preserve">“</w:t>
      </w:r>
      <w:r>
        <w:t xml:space="preserve">ecological momentary assessments</w:t>
      </w:r>
      <w:r>
        <w:t xml:space="preserve">”</w:t>
      </w:r>
      <w:r>
        <w:t xml:space="preserve"> </w:t>
      </w:r>
      <w:r>
        <w:t xml:space="preserve">or EMAs) in predicting future alcohol use</w:t>
      </w:r>
      <w:r>
        <w:t xml:space="preserve"> </w:t>
      </w:r>
      <w:r>
        <w:t xml:space="preserve">(</w:t>
      </w:r>
      <w:r>
        <w:rPr>
          <w:b/>
          <w:bCs/>
        </w:rPr>
        <w:t xml:space="preserve">wyantMachineLearningModels2023?</w:t>
      </w:r>
      <w:r>
        <w:t xml:space="preserve">)</w:t>
      </w:r>
      <w:r>
        <w:t xml:space="preserve">. EMAs typically consist of questions pertaining to lapse-relevant constructs such as self-efficacy, past use, stress, and mood. However, EMAs cannot feasibly capture all contributors to lapse. Reliance on self-report is likely only an effective tool for individuals who have a good level of insight and therefore are better able to identify these lapse precipitants. Moreover, completing several surveys per day might not be realistic for individuals with multiple jobs or comorbid conditions (e.g., depression). Predictions may be less reliable for individuals who provide either inaccurate or fewer responses.</w:t>
      </w:r>
    </w:p>
    <w:p>
      <w:pPr>
        <w:pStyle w:val="BodyText"/>
      </w:pPr>
      <w:r>
        <w:t xml:space="preserve">Crucially, recovery is a dynamic process while EMA, by its very nature, collects data at discrete sampling periods. This may lead to a loss of information, as it assumes that responses remain constant between these periods (e.g., if positive mood is reported at one survey, no shifts in mood are captured until the next survey). Factors that contribute to both maintenance of recovery and lapse events change from person-to-person and from moment-to-moment. A shift in affect may precede a lapse for one individual but not another. Time spent experiencing craving may precede a lapse, but only after a certain threshold is met (i.e., a certain amount of time has been spent craving). In order to best capture this fluidity, the ideal information garnered from personal sensing to be used within a continuous risk monitoring and support system should be able to provide a correspondingly appropriate level of granularity. Geolocation data are one such promising source.</w:t>
      </w:r>
    </w:p>
    <w:bookmarkStart w:id="21" w:name="geolocation-data-for-risk-monitoring"/>
    <w:p>
      <w:pPr>
        <w:pStyle w:val="Heading3"/>
      </w:pPr>
      <w:r>
        <w:t xml:space="preserve">Geolocation Data for Risk Monitoring</w:t>
      </w:r>
    </w:p>
    <w:p>
      <w:pPr>
        <w:pStyle w:val="FirstParagraph"/>
      </w:pPr>
      <w:r>
        <w:t xml:space="preserve">Geolocation data consist of latitude and longitude coordinates and can be sampled continuously at regular intervals using applications on smartphones, and therefore have greater temporal sensitivity and specificity compared to EMA. Furthermore, the collection of these data requires little to no input from the user beyond initial set-up, while EMA necessitates repeated daily engagement. In fact, many smartphones and smartwatches automatically collect geolocation data by default. Incorporating these data within a continuous risk monitoring and support system could mean reduced patient burden (i.e., fewer surveys to fill out) and a potentially more equitable system (i.e., easier for people who cannot fill out multiple surveys per day to engage with and, therefore, benefit from). Taken together, there is high potential for geolocation data to be feasibly harnessed both to improve upon past work and to eventually be integrated within a larger monitoring and support system.</w:t>
      </w:r>
    </w:p>
    <w:p>
      <w:pPr>
        <w:pStyle w:val="BodyText"/>
      </w:pPr>
      <w:r>
        <w:t xml:space="preserve">Beyond the potential benefits geolocation data offer relative to EMA, the importance of location, such as environmental cues or one’s perceived riskiness of a setting, has been shown to play an important role in lapse</w:t>
      </w:r>
      <w:r>
        <w:t xml:space="preserve"> </w:t>
      </w:r>
      <w:r>
        <w:t xml:space="preserve">(Janak &amp; Chaudhri, 2010; Walton et al., 1995; Walton et al., 2003)</w:t>
      </w:r>
      <w:r>
        <w:t xml:space="preserve">. This link with lapse risk has led to the creation of coping skills that target substance-associated contexts in several treatment strategies like mindfulness-based relapse prevention</w:t>
      </w:r>
      <w:r>
        <w:t xml:space="preserve"> </w:t>
      </w:r>
      <w:r>
        <w:t xml:space="preserve">(LeCocq et al., 2020)</w:t>
      </w:r>
      <w:r>
        <w:t xml:space="preserve">. These findings underscore not only the potential wealth of information relating to lapse risk that an individual’s location can provide, but also demonstrate the utility of incorporating location information into treatment. Furthermore, geolocation data have been identified as being of particular use in both understanding the precipitants to harmful substance use and its effective treatment</w:t>
      </w:r>
      <w:r>
        <w:t xml:space="preserve"> </w:t>
      </w:r>
      <w:r>
        <w:t xml:space="preserve">(Stahler et al., 2013)</w:t>
      </w:r>
      <w:r>
        <w:t xml:space="preserve">.</w:t>
      </w:r>
    </w:p>
    <w:p>
      <w:pPr>
        <w:pStyle w:val="BodyText"/>
      </w:pPr>
      <w:r>
        <w:t xml:space="preserve">Research at the intersection of geolocation and mental health has generated a number of promising features which are derived from basic movement patterns (hereafter called</w:t>
      </w:r>
      <w:r>
        <w:t xml:space="preserve"> </w:t>
      </w:r>
      <w:r>
        <w:t xml:space="preserve">“</w:t>
      </w:r>
      <w:r>
        <w:t xml:space="preserve">raw</w:t>
      </w:r>
      <w:r>
        <w:t xml:space="preserve">”</w:t>
      </w:r>
      <w:r>
        <w:t xml:space="preserve"> </w:t>
      </w:r>
      <w:r>
        <w:t xml:space="preserve">features). These raw features quantify individual activity patterns as a way to examine behavioral change. For example, geolocation data have been used to estimate loneliness and isolation through measures of circadian rhythmicity, movement speed, location variance, and clusters of frequently visited locations</w:t>
      </w:r>
      <w:r>
        <w:t xml:space="preserve"> </w:t>
      </w:r>
      <w:r>
        <w:t xml:space="preserve">(Doryab et al., 2019)</w:t>
      </w:r>
      <w:r>
        <w:t xml:space="preserve">. Many of these same features, in addition to others such as location entropy (the variability of time spent across significant location clusters), amount of time spent at home, and time spent in transit, have also been used to quantify symptoms of depression</w:t>
      </w:r>
      <w:r>
        <w:t xml:space="preserve"> </w:t>
      </w:r>
      <w:r>
        <w:t xml:space="preserve">(Saeb et al., 2015;</w:t>
      </w:r>
      <w:r>
        <w:t xml:space="preserve"> </w:t>
      </w:r>
      <w:r>
        <w:rPr>
          <w:b/>
          <w:bCs/>
        </w:rPr>
        <w:t xml:space="preserve">saebMobilePhoneSensor2015b?</w:t>
      </w:r>
      <w:r>
        <w:t xml:space="preserve">)</w:t>
      </w:r>
      <w:r>
        <w:t xml:space="preserve"> </w:t>
      </w:r>
      <w:r>
        <w:t xml:space="preserve">and negative symptoms of schizophrenia</w:t>
      </w:r>
      <w:r>
        <w:t xml:space="preserve"> </w:t>
      </w:r>
      <w:r>
        <w:t xml:space="preserve">(Raugh et al., 2020)</w:t>
      </w:r>
      <w:r>
        <w:t xml:space="preserve">. This research has also linked experiential diversity in movement patterns to positive mood</w:t>
      </w:r>
      <w:r>
        <w:t xml:space="preserve"> </w:t>
      </w:r>
      <w:r>
        <w:t xml:space="preserve">(Heller et al., 2020)</w:t>
      </w:r>
      <w:r>
        <w:t xml:space="preserve">. These data have not only been applied to the measurement of mood symptoms, but to also predict their emergence</w:t>
      </w:r>
      <w:r>
        <w:t xml:space="preserve"> </w:t>
      </w:r>
      <w:r>
        <w:t xml:space="preserve">(for review, see Shin &amp; Bae, 2023)</w:t>
      </w:r>
      <w:r>
        <w:t xml:space="preserve">.</w:t>
      </w:r>
    </w:p>
    <w:p>
      <w:pPr>
        <w:pStyle w:val="BodyText"/>
      </w:pPr>
      <w:r>
        <w:t xml:space="preserve">In order to implement these features in the context of a monitoring and support system, it is important that these features be intervenable. In other words, the system has to be able to provide a recommendation to the individual using it. From an algorithmic perspective, it is important to balance both prediction and explanatory goals. Certain features detailed in the psychological literature, such as location variance and entropy, have clearer face validity in terms of intervenability as compared to others, like movement speed. For example, changes in the variability of someone’s movement (e.g., location variance) might be indicative of significant life disruptions (e.g., losing one’s job). In this scenario, encouraging the re-establishment of a regular routine to maintain recovery goals might be a helpful intervention point.</w:t>
      </w:r>
    </w:p>
    <w:p>
      <w:pPr>
        <w:pStyle w:val="BodyText"/>
      </w:pPr>
      <w:r>
        <w:t xml:space="preserve">A benefit of these raw features is that they require little to no additional information on the part of both researchers and participants in order to identify meaningful movement patterns. While this makes them easy to implement, it does mean that these features are stripped of important context that exists in our everyday environments. For example, two individuals could exhibit relatively regular movement patterns (like both attending work) while having a vastly different experience en route to those regular locations. For one individual, the route to the office might consist of coffee shops, greenspace, and affluent neighborhoods, whereas for another it might include bars, liquor stores, and higher crime areas.</w:t>
      </w:r>
    </w:p>
    <w:p>
      <w:pPr>
        <w:pStyle w:val="BodyText"/>
      </w:pPr>
      <w:r>
        <w:t xml:space="preserve">Context-based features rectify this, in part, by capturing information about the qualities of the surrounding environment. In past work, geolocation data have been used to examine psychosocial stress exposure among substance users by using location data to obtain composite scores of community socioeconomic status and crime</w:t>
      </w:r>
      <w:r>
        <w:t xml:space="preserve"> </w:t>
      </w:r>
      <w:r>
        <w:t xml:space="preserve">(Kwan et al., 2019)</w:t>
      </w:r>
      <w:r>
        <w:t xml:space="preserve">. In a study of adolescents (both substance-using and not), Mennis and Mason leveraged domain expertise to identify local risky (e.g., pawn shops, corner stores, bars) and protective (e.g., recreational centers, after school programs) locations in a major U.S. city</w:t>
      </w:r>
      <w:r>
        <w:t xml:space="preserve"> </w:t>
      </w:r>
      <w:r>
        <w:t xml:space="preserve">(Mennis &amp; Mason, 2011)</w:t>
      </w:r>
      <w:r>
        <w:t xml:space="preserve">. Yet, one can imagine further problems which might arise from simply pulling geographic features without individual-specific context. In the Mennis and Mason study, adolescents in this study, counter to researcher’s predictions, consistently identified a given recreation center as risky because of the increased violence in that location through a structured qualitative interview [</w:t>
      </w:r>
      <w:r>
        <w:t xml:space="preserve">“</w:t>
      </w:r>
      <w:r>
        <w:t xml:space="preserve">Ecological Interview</w:t>
      </w:r>
      <w:r>
        <w:t xml:space="preserve">”</w:t>
      </w:r>
      <w:r>
        <w:t xml:space="preserve">;</w:t>
      </w:r>
      <w:r>
        <w:t xml:space="preserve"> </w:t>
      </w:r>
      <w:r>
        <w:t xml:space="preserve">Mennis &amp; Mason (2011)</w:t>
      </w:r>
      <w:r>
        <w:t xml:space="preserve">]. Thus, broad-strokes characterization of locations only based on domain expertise can obscure crucial person-specific differences.</w:t>
      </w:r>
    </w:p>
    <w:p>
      <w:pPr>
        <w:pStyle w:val="BodyText"/>
      </w:pPr>
      <w:r>
        <w:t xml:space="preserve">Perhaps a middle ground between these approaches which leverages the benefit of personalized information seen in EMA with the relative low-burdensomeness of geolocation data is to ask participants to provide researchers with insight into what a given location means to them. Geolocation features could be combined and further enriched with brief, intermittent surveys probing specific information about frequently visited locations (referred to as</w:t>
      </w:r>
      <w:r>
        <w:t xml:space="preserve"> </w:t>
      </w:r>
      <w:r>
        <w:t xml:space="preserve">“</w:t>
      </w:r>
      <w:r>
        <w:t xml:space="preserve">contextualized</w:t>
      </w:r>
      <w:r>
        <w:t xml:space="preserve">”</w:t>
      </w:r>
      <w:r>
        <w:t xml:space="preserve"> </w:t>
      </w:r>
      <w:r>
        <w:t xml:space="preserve">features). For example, geolocation and EMA data have been used to examine the relationship between location and mood in polydrug users (termed</w:t>
      </w:r>
      <w:r>
        <w:t xml:space="preserve"> </w:t>
      </w:r>
      <w:r>
        <w:t xml:space="preserve">“</w:t>
      </w:r>
      <w:r>
        <w:t xml:space="preserve">geographical momentary assessment</w:t>
      </w:r>
      <w:r>
        <w:t xml:space="preserve">”</w:t>
      </w:r>
      <w:r>
        <w:t xml:space="preserve">;</w:t>
      </w:r>
      <w:r>
        <w:t xml:space="preserve"> </w:t>
      </w:r>
      <w:r>
        <w:t xml:space="preserve">(Epstein et al., 2014)</w:t>
      </w:r>
      <w:r>
        <w:t xml:space="preserve">). Geolocation data have also been leveraged to alert individuals when they are approaching a self-identified risky location, such as a previously-frequented bar, within recovery-based smartphone applications</w:t>
      </w:r>
      <w:r>
        <w:t xml:space="preserve"> </w:t>
      </w:r>
      <w:r>
        <w:t xml:space="preserve">(Attwood et al., 2017; Carreiro et al., 2021; Gustafson et al., 2014)</w:t>
      </w:r>
      <w:r>
        <w:t xml:space="preserve">. Other recovery-based apps have expanded upon this by utilizing geolocation data to create</w:t>
      </w:r>
      <w:r>
        <w:t xml:space="preserve"> </w:t>
      </w:r>
      <w:r>
        <w:t xml:space="preserve">“</w:t>
      </w:r>
      <w:r>
        <w:t xml:space="preserve">geo-fences</w:t>
      </w:r>
      <w:r>
        <w:t xml:space="preserve">”</w:t>
      </w:r>
      <w:r>
        <w:t xml:space="preserve"> </w:t>
      </w:r>
      <w:r>
        <w:t xml:space="preserve">around areas of past use, like former smoking locations, such that individuals receive real-time notifications as they move through the environment (e.g., a pop-up message on a smartphone which reads</w:t>
      </w:r>
      <w:r>
        <w:t xml:space="preserve"> </w:t>
      </w:r>
      <w:r>
        <w:rPr>
          <w:i/>
          <w:iCs/>
        </w:rPr>
        <w:t xml:space="preserve">“</w:t>
      </w:r>
      <w:r>
        <w:rPr>
          <w:i/>
          <w:iCs/>
        </w:rPr>
        <w:t xml:space="preserve">You are entering a high-risk zone</w:t>
      </w:r>
      <w:r>
        <w:rPr>
          <w:i/>
          <w:iCs/>
        </w:rPr>
        <w:t xml:space="preserve">”</w:t>
      </w:r>
      <w:r>
        <w:t xml:space="preserve">;</w:t>
      </w:r>
      <w:r>
        <w:t xml:space="preserve"> </w:t>
      </w:r>
      <w:r>
        <w:t xml:space="preserve">(Naughton et al., 2016)</w:t>
      </w:r>
      <w:r>
        <w:t xml:space="preserve">).</w:t>
      </w:r>
    </w:p>
    <w:p>
      <w:pPr>
        <w:pStyle w:val="BodyText"/>
      </w:pPr>
      <w:r>
        <w:t xml:space="preserve">Despite promising results suggesting that geolocation data can be capitalized on to improve our understanding of mental health outcomes generally and substance use patterns specifically, research has not been done to understand the</w:t>
      </w:r>
      <w:r>
        <w:t xml:space="preserve"> </w:t>
      </w:r>
      <w:r>
        <w:rPr>
          <w:i/>
          <w:iCs/>
        </w:rPr>
        <w:t xml:space="preserve">predictive</w:t>
      </w:r>
      <w:r>
        <w:t xml:space="preserve"> </w:t>
      </w:r>
      <w:r>
        <w:t xml:space="preserve">value of geolocation data in understanding lapses in AUD. Leveraging both raw and contextualized geolocation features, some of the more nuanced facets captured within location can be uncovered, such as associations with others (or lack thereof, e.g., social isolation), associations with previous or anticipated drinking behaviors (e.g., whether or not alcohol is present), and associations with affect (i.e., negative versus positive emotions tied to a given location). Using a combination of these insights in building a model for use within a continuous risk monitoring and support system will result in our ability to identify a wider variety of potential lapse precipitants and, theoretically, more accurately capture heterogeneous experiences of recovery.</w:t>
      </w:r>
    </w:p>
    <w:bookmarkEnd w:id="21"/>
    <w:bookmarkStart w:id="22" w:name="the-current-study"/>
    <w:p>
      <w:pPr>
        <w:pStyle w:val="Heading3"/>
      </w:pPr>
      <w:r>
        <w:t xml:space="preserve">The Current Study</w:t>
      </w:r>
    </w:p>
    <w:p>
      <w:pPr>
        <w:pStyle w:val="FirstParagraph"/>
      </w:pPr>
      <w:r>
        <w:t xml:space="preserve">This study used geolocation data and machine learning to predict next-day lapse in individuals with a diagnosis of AUD and a recovery goal of abstinence in order to address several key gaps in the literature. First, we pursued a novel line of research by using geolocation data to predict lapses, expanding on previous risk monitoring work from our lab using EMA</w:t>
      </w:r>
      <w:r>
        <w:t xml:space="preserve"> </w:t>
      </w:r>
      <w:r>
        <w:t xml:space="preserve">(</w:t>
      </w:r>
      <w:r>
        <w:rPr>
          <w:b/>
          <w:bCs/>
        </w:rPr>
        <w:t xml:space="preserve">wyantMachineLearningModels2023?</w:t>
      </w:r>
      <w:r>
        <w:t xml:space="preserve">)</w:t>
      </w:r>
      <w:r>
        <w:t xml:space="preserve">. Second, we leveraged geolocation features from across the literature that are both raw and contextualized in order to cast a wide net across potential precipitants to lapse. To understand the utility of geolocation data broadly, we evaluated its performance against baseline characteristics (i.e., demographics). We further investigated what specific features were most predictive within our model to address our explanatory goal of uncovering relevant, actionable lapse risk factors which could be used to provide personalized recommendations in future work. This study constitutes an initial evaluation of a model designed to predict lapse back to alcohol use using minimally burdensome data that has the potential to be integrated within a continuous risk monitoring and support system.</w:t>
      </w:r>
    </w:p>
    <w:bookmarkEnd w:id="22"/>
    <w:bookmarkEnd w:id="23"/>
    <w:bookmarkStart w:id="31" w:name="methods"/>
    <w:p>
      <w:pPr>
        <w:pStyle w:val="Heading2"/>
      </w:pPr>
      <w:r>
        <w:t xml:space="preserve">Methods</w:t>
      </w:r>
    </w:p>
    <w:bookmarkStart w:id="24" w:name="participants"/>
    <w:p>
      <w:pPr>
        <w:pStyle w:val="Heading3"/>
      </w:pPr>
      <w:r>
        <w:t xml:space="preserve">Participants</w:t>
      </w:r>
    </w:p>
    <w:p>
      <w:pPr>
        <w:pStyle w:val="FirstParagraph"/>
      </w:pPr>
      <w:r>
        <w:t xml:space="preserve">One hundred and forty six individuals in early recovery (1-8 weeks of abstinence) from AUD were recruited from the Madison area to take part in a three-month study on how mobile health technology can provide recovery support between 2017 and 2019 (R01 AA024391). Recruitment approaches included social media platforms (e.g., Facebook), television and radio advertisements, and clinic referrals. Prospective participants completed a phone screen to assess match with eligibility criteria, which necessitated that they were:</w:t>
      </w:r>
    </w:p>
    <w:p>
      <w:pPr>
        <w:pStyle w:val="Compact"/>
        <w:numPr>
          <w:ilvl w:val="0"/>
          <w:numId w:val="1001"/>
        </w:numPr>
      </w:pPr>
      <w:r>
        <w:t xml:space="preserve">&gt;= 18 years of age</w:t>
      </w:r>
    </w:p>
    <w:p>
      <w:pPr>
        <w:pStyle w:val="Compact"/>
        <w:numPr>
          <w:ilvl w:val="0"/>
          <w:numId w:val="1001"/>
        </w:numPr>
      </w:pPr>
      <w:r>
        <w:t xml:space="preserve">Able to read and write in English</w:t>
      </w:r>
    </w:p>
    <w:p>
      <w:pPr>
        <w:pStyle w:val="Compact"/>
        <w:numPr>
          <w:ilvl w:val="0"/>
          <w:numId w:val="1001"/>
        </w:numPr>
      </w:pPr>
      <w:r>
        <w:t xml:space="preserve">Assessed as meeting criteria for moderate AUD (&gt;= 4 self-reported DSM-5 symptoms)</w:t>
      </w:r>
    </w:p>
    <w:p>
      <w:pPr>
        <w:pStyle w:val="Compact"/>
        <w:numPr>
          <w:ilvl w:val="0"/>
          <w:numId w:val="1001"/>
        </w:numPr>
      </w:pPr>
      <w:r>
        <w:t xml:space="preserve">Abstinent from alcohol for 1-8 weeks</w:t>
      </w:r>
    </w:p>
    <w:p>
      <w:pPr>
        <w:pStyle w:val="Compact"/>
        <w:numPr>
          <w:ilvl w:val="0"/>
          <w:numId w:val="1001"/>
        </w:numPr>
      </w:pPr>
      <w:r>
        <w:t xml:space="preserve">Willing to use only one smartphone while on study (personal or study-provided)</w:t>
      </w:r>
    </w:p>
    <w:p>
      <w:pPr>
        <w:pStyle w:val="FirstParagraph"/>
      </w:pPr>
      <w:r>
        <w:t xml:space="preserve">Participants were excluded if they exhibited severe symptoms of paranoia or psychosis (a score &lt;= 2.24 on the SCL-90 psychosis scale or a score &lt;= 2.82 on the SCL-90 paranoia scale administered at screening). Participants completed a baseline measure of demographics at the screening visit, which was used for fairness assessments and included: sex, race, ethnicity, employment status, income, and marital status.</w:t>
      </w:r>
    </w:p>
    <w:bookmarkEnd w:id="24"/>
    <w:bookmarkStart w:id="25" w:name="procedure"/>
    <w:p>
      <w:pPr>
        <w:pStyle w:val="Heading3"/>
      </w:pPr>
      <w:r>
        <w:t xml:space="preserve">Procedure</w:t>
      </w:r>
    </w:p>
    <w:p>
      <w:pPr>
        <w:pStyle w:val="FirstParagraph"/>
      </w:pPr>
      <w:r>
        <w:t xml:space="preserve">Participants enrolled in a three-month study consisting of five in-person visits, daily surveys, and continuous passive monitoring of geolocation data. Following screening and enrollment visits in which participants consented to participate, learned how to manage location sharing (i.e., turn off location sharing when desired), and reported frequently visited locations, participants completed three follow-up visits one month apart. At each visit, participants were asked questions about frequently visited (&gt;2 times during the course of the previous month) locations (</w:t>
      </w:r>
      <w:hyperlink w:anchor="tbl-context">
        <w:r>
          <w:rPr>
            <w:rStyle w:val="Hyperlink"/>
          </w:rPr>
          <w:t xml:space="preserve">Table 6</w:t>
        </w:r>
      </w:hyperlink>
      <w:r>
        <w:t xml:space="preserve">). Participants were debriefed at the third and final follow-up visit. Participants were expected to provide continuous geolocation data while on study. Other personal sensing data streams (EMA, cellular communications, sleep quality, and audio check-ins) were collected as part of the parent grant’s aims (R01 AA024391).</w:t>
      </w:r>
    </w:p>
    <w:p>
      <w:pPr>
        <w:pStyle w:val="BodyText"/>
      </w:pPr>
      <w:r>
        <w:t xml:space="preserve">To enable collection of geolocation data, participants downloaded either the Moves app or the FollowMee app during the intake visit. Moves was bought-out and subsequently deprecated while the study was ongoing (July 2018) and data collection continued using FollowMee until the end of the study. Both apps continuously tracked location via GPS and WiFi positioning technology. The FollowMee app uses adaptive sampling (samples location less frequently when the subject appears to be still), while the Moves app used fixed sampling (samples location steadily regardless of subject movement).</w:t>
      </w:r>
    </w:p>
    <w:p>
      <w:pPr>
        <w:pStyle w:val="BodyText"/>
      </w:pPr>
      <w:r>
        <w:t xml:space="preserve">After completion of the study, data were processed to filter out duplicated points, fast movement speeds (&gt;100mph), sudden positional jumps, and periods of long duration suggesting sampling error issues (&gt;24 hours with no movement or &gt;2 hours with a positional jump of more than 0.31 miles or 500 meters). Data points were classified as</w:t>
      </w:r>
      <w:r>
        <w:t xml:space="preserve"> </w:t>
      </w:r>
      <w:r>
        <w:t xml:space="preserve">“</w:t>
      </w:r>
      <w:r>
        <w:t xml:space="preserve">in transit</w:t>
      </w:r>
      <w:r>
        <w:t xml:space="preserve">”</w:t>
      </w:r>
      <w:r>
        <w:t xml:space="preserve"> </w:t>
      </w:r>
      <w:r>
        <w:t xml:space="preserve">when spacing between individual positions suggested a movement speed of greater than 4mph per NIH health guidelines</w:t>
      </w:r>
      <w:r>
        <w:t xml:space="preserve"> </w:t>
      </w:r>
      <w:r>
        <w:t xml:space="preserve">(U.S. Department of Health and Human Services, 2018)</w:t>
      </w:r>
      <w:r>
        <w:t xml:space="preserve">. Participants were considered to be at a known contextual location if they were within 0.031 miles (50 meters) of a reported frequently visited location. Start and end dates were adjusted for subjects in the case of high missingness (e.g., if a subject was only adherent with GPS protocols for their last month on study, only their last month on study was retained).</w:t>
      </w:r>
      <w:r>
        <w:t xml:space="preserve"> </w:t>
      </w:r>
    </w:p>
    <w:bookmarkEnd w:id="25"/>
    <w:bookmarkStart w:id="26" w:name="data-analytic-strategy"/>
    <w:p>
      <w:pPr>
        <w:pStyle w:val="Heading3"/>
      </w:pPr>
      <w:r>
        <w:t xml:space="preserve">Data analytic strategy</w:t>
      </w:r>
    </w:p>
    <w:p>
      <w:pPr>
        <w:pStyle w:val="FirstParagraph"/>
      </w:pPr>
      <w:r>
        <w:t xml:space="preserve">Data preprocessing, modeling, and Bayesian analyses were done in R using the tidymodels ecosystem</w:t>
      </w:r>
      <w:r>
        <w:t xml:space="preserve"> </w:t>
      </w:r>
      <w:r>
        <w:t xml:space="preserve">(Kuhn &amp; Wickham, 2020)</w:t>
      </w:r>
      <w:r>
        <w:t xml:space="preserve">. Models were trained using high-throughput computing resources provided by the University of Wisconsin Center for High Throughput Computing</w:t>
      </w:r>
      <w:r>
        <w:t xml:space="preserve"> </w:t>
      </w:r>
      <w:r>
        <w:t xml:space="preserve">(Center for High Throughput Computing, 2006)</w:t>
      </w:r>
      <w:r>
        <w:t xml:space="preserve">.</w:t>
      </w:r>
    </w:p>
    <w:p>
      <w:pPr>
        <w:pStyle w:val="BodyText"/>
      </w:pPr>
      <w:r>
        <w:t xml:space="preserve">In the interest of transparency, all analysis scripts and results can be found publicly on our study website (https://jjcurtin.gitub.io/study_gps). We additionally include the Transparent Reporting of a Multivariate Prediction Model for Indiviudal Prognosis or Diagnosis extension for Artificial Intelligence (TRIPOD+AI) checklist in the supplement</w:t>
      </w:r>
      <w:r>
        <w:t xml:space="preserve"> </w:t>
      </w:r>
      <w:r>
        <w:t xml:space="preserve">(Collins et al., 2024)</w:t>
      </w:r>
      <w:r>
        <w:t xml:space="preserve">.</w:t>
      </w:r>
      <w:r>
        <w:t xml:space="preserve"> </w:t>
      </w:r>
    </w:p>
    <w:bookmarkEnd w:id="26"/>
    <w:bookmarkStart w:id="27" w:name="outcome-variable-lapses"/>
    <w:p>
      <w:pPr>
        <w:pStyle w:val="Heading3"/>
      </w:pPr>
      <w:r>
        <w:t xml:space="preserve">Outcome variable: Lapses</w:t>
      </w:r>
    </w:p>
    <w:p>
      <w:pPr>
        <w:pStyle w:val="FirstParagraph"/>
      </w:pPr>
      <w:r>
        <w:t xml:space="preserve">Alcohol lapses were used as the outcome variable in this study and were used to provide labels for model training, for testing model performance, and for testing issues of algorithmic fairness. Future lapse occurrence (here conceptualized as next-day lapse) was predicted in 24-hour windows which advanced hour-by-hour.</w:t>
      </w:r>
      <w:r>
        <w:t xml:space="preserve"> </w:t>
      </w:r>
      <w:r>
        <w:rPr>
          <w:i/>
          <w:iCs/>
        </w:rPr>
        <w:t xml:space="preserve">Lapse</w:t>
      </w:r>
      <w:r>
        <w:t xml:space="preserve"> </w:t>
      </w:r>
      <w:r>
        <w:t xml:space="preserve">and</w:t>
      </w:r>
      <w:r>
        <w:t xml:space="preserve"> </w:t>
      </w:r>
      <w:r>
        <w:rPr>
          <w:i/>
          <w:iCs/>
        </w:rPr>
        <w:t xml:space="preserve">no lapse</w:t>
      </w:r>
      <w:r>
        <w:t xml:space="preserve"> </w:t>
      </w:r>
      <w:r>
        <w:t xml:space="preserve">occurrences were identified from the daily survey question,</w:t>
      </w:r>
      <w:r>
        <w:t xml:space="preserve"> </w:t>
      </w:r>
      <w:r>
        <w:rPr>
          <w:i/>
          <w:iCs/>
        </w:rPr>
        <w:t xml:space="preserve">“</w:t>
      </w:r>
      <w:r>
        <w:rPr>
          <w:i/>
          <w:iCs/>
        </w:rPr>
        <w:t xml:space="preserve">Have you drank any alcohol that you have not yet reported?</w:t>
      </w:r>
      <w:r>
        <w:rPr>
          <w:i/>
          <w:iCs/>
        </w:rPr>
        <w:t xml:space="preserve">”</w:t>
      </w:r>
      <w:r>
        <w:t xml:space="preserve">. Participants who responded</w:t>
      </w:r>
      <w:r>
        <w:t xml:space="preserve"> </w:t>
      </w:r>
      <w:r>
        <w:rPr>
          <w:i/>
          <w:iCs/>
        </w:rPr>
        <w:t xml:space="preserve">yes</w:t>
      </w:r>
      <w:r>
        <w:t xml:space="preserve"> </w:t>
      </w:r>
      <w:r>
        <w:t xml:space="preserve">to this question were then asked to report the date and hour of the start and the end of the drinking episode. In this case, the prediction window was labeled</w:t>
      </w:r>
      <w:r>
        <w:t xml:space="preserve"> </w:t>
      </w:r>
      <w:r>
        <w:rPr>
          <w:i/>
          <w:iCs/>
        </w:rPr>
        <w:t xml:space="preserve">lapse</w:t>
      </w:r>
      <w:r>
        <w:t xml:space="preserve">. Prediction windows were labeled</w:t>
      </w:r>
      <w:r>
        <w:t xml:space="preserve"> </w:t>
      </w:r>
      <w:r>
        <w:rPr>
          <w:i/>
          <w:iCs/>
        </w:rPr>
        <w:t xml:space="preserve">no lapse</w:t>
      </w:r>
      <w:r>
        <w:t xml:space="preserve"> </w:t>
      </w:r>
      <w:r>
        <w:t xml:space="preserve">if no alcohol use was reported within that window.</w:t>
      </w:r>
    </w:p>
    <w:bookmarkEnd w:id="27"/>
    <w:bookmarkStart w:id="28" w:name="input-variables-feature-engineering"/>
    <w:p>
      <w:pPr>
        <w:pStyle w:val="Heading3"/>
      </w:pPr>
      <w:r>
        <w:t xml:space="preserve">Input variables: Feature engineering</w:t>
      </w:r>
    </w:p>
    <w:p>
      <w:pPr>
        <w:pStyle w:val="FirstParagraph"/>
      </w:pPr>
      <w:r>
        <w:t xml:space="preserve">Feature engineering is the process of creating variables (or</w:t>
      </w:r>
      <w:r>
        <w:t xml:space="preserve"> </w:t>
      </w:r>
      <w:r>
        <w:rPr>
          <w:i/>
          <w:iCs/>
        </w:rPr>
        <w:t xml:space="preserve">“</w:t>
      </w:r>
      <w:r>
        <w:rPr>
          <w:i/>
          <w:iCs/>
        </w:rPr>
        <w:t xml:space="preserve">features</w:t>
      </w:r>
      <w:r>
        <w:rPr>
          <w:i/>
          <w:iCs/>
        </w:rPr>
        <w:t xml:space="preserve">”</w:t>
      </w:r>
      <w:r>
        <w:t xml:space="preserve">) from unprocessed data and was used to transform raw geolocation data. Separate feature categories were created for the six contextualized geolocation categories (presented in</w:t>
      </w:r>
      <w:r>
        <w:t xml:space="preserve"> </w:t>
      </w:r>
      <w:hyperlink w:anchor="tbl-context">
        <w:r>
          <w:rPr>
            <w:rStyle w:val="Hyperlink"/>
          </w:rPr>
          <w:t xml:space="preserve">Table 6</w:t>
        </w:r>
      </w:hyperlink>
      <w:r>
        <w:t xml:space="preserve">) and for six raw geolocation categories: variability in location, time spent outside of the home in the evening, time spent at home, entropy, normalized entropy, and weather.</w:t>
      </w:r>
    </w:p>
    <w:p>
      <w:pPr>
        <w:pStyle w:val="BodyText"/>
      </w:pPr>
      <w:r>
        <w:t xml:space="preserve">Raw geolocation features were selected from the literature on account of their ability to be tied to realistic recommendations in a continuous monitoring and support system, with the exception of weather which was included in an effort to increase precision (see</w:t>
      </w:r>
      <w:r>
        <w:t xml:space="preserve"> </w:t>
      </w:r>
      <w:r>
        <w:rPr>
          <w:b/>
          <w:bCs/>
        </w:rPr>
        <w:t xml:space="preserve">?@tbl-raw</w:t>
      </w:r>
      <w:r>
        <w:t xml:space="preserve"> </w:t>
      </w:r>
      <w:r>
        <w:t xml:space="preserve">for a detailed description of feature calculations and potential application). Entropy and normalized entropy were calculated based on frequently visited locations (described above) instead of location clustering (e.g.,</w:t>
      </w:r>
      <w:r>
        <w:t xml:space="preserve"> </w:t>
      </w:r>
      <w:r>
        <w:t xml:space="preserve">Saeb et al. (2015)</w:t>
      </w:r>
      <w:r>
        <w:t xml:space="preserve">). Weather was calculated using the Applied Climate Information System (ACIS), which is maintained by the NOAA Regional Climate Centers (RCCs) using Weather FetchR, a collection of functions designed for querying this database and aligning it with geolocation data</w:t>
      </w:r>
      <w:r>
        <w:t xml:space="preserve"> </w:t>
      </w:r>
      <w:r>
        <w:t xml:space="preserve">(Punturieri, 2025)</w:t>
      </w:r>
      <w:r>
        <w:t xml:space="preserve">.</w:t>
      </w:r>
    </w:p>
    <w:p>
      <w:pPr>
        <w:pStyle w:val="BodyText"/>
      </w:pPr>
      <w:r>
        <w:t xml:space="preserve">All contextualized features were calculated both as raw (i.e., summed duration over past 24 and 168 hour periods) and change features (i.e., relative to all previous geolocation data) in order to capture individual variation. The calculation windows, as well as whether raw and/or change features were calculated, for raw features are displayed in</w:t>
      </w:r>
      <w:r>
        <w:t xml:space="preserve"> </w:t>
      </w:r>
      <w:r>
        <w:rPr>
          <w:b/>
          <w:bCs/>
        </w:rPr>
        <w:t xml:space="preserve">?@tbl-raw</w:t>
      </w:r>
      <w:r>
        <w:t xml:space="preserve">.</w:t>
      </w:r>
    </w:p>
    <w:p>
      <w:pPr>
        <w:pStyle w:val="BodyText"/>
      </w:pPr>
      <w:r>
        <w:t xml:space="preserve">Finally, we also created demographic features based on intake surveys: two quantitative (age, in years; income, in USD) and four dummy-coded (sex assigned at birth, male versus female; race/ethnicity, non-Hispanic White versus non-White and/or Hispanic; marital status, married versus not married versus other; education, high school or less versus some college versus some degree). Of our dummy-coded variables, education and marital status were one-hot encoded.</w:t>
      </w:r>
    </w:p>
    <w:p>
      <w:pPr>
        <w:pStyle w:val="BodyText"/>
      </w:pPr>
      <w:r>
        <w:t xml:space="preserve">This resulted in a total of 108 features.</w:t>
      </w:r>
    </w:p>
    <w:p>
      <w:pPr>
        <w:pStyle w:val="BodyText"/>
      </w:pPr>
      <w:r>
        <w:t xml:space="preserve">Imputation of missing data and removal of zero-variance features were additional general processing steps that were completed during feature engineering.</w:t>
      </w:r>
    </w:p>
    <w:bookmarkEnd w:id="28"/>
    <w:bookmarkStart w:id="29" w:name="algorithm-development-performance"/>
    <w:p>
      <w:pPr>
        <w:pStyle w:val="Heading3"/>
      </w:pPr>
      <w:r>
        <w:t xml:space="preserve">Algorithm development &amp; performance</w:t>
      </w:r>
    </w:p>
    <w:p>
      <w:pPr>
        <w:pStyle w:val="FirstParagraph"/>
      </w:pPr>
      <w:r>
        <w:t xml:space="preserve">We trained and assessed several configurations of an XGBoost machine learning algorithm. The choice of using an XGBoost algorithm was motivated by two main reasons: 1) the calculation of Shapley values, used to understand the relative contributions of features in predictions, is optimized for XGBoost; and 2) previous work in our lab has made use of XGBoost algorithms in model development</w:t>
      </w:r>
      <w:r>
        <w:t xml:space="preserve"> </w:t>
      </w:r>
      <w:r>
        <w:t xml:space="preserve">(</w:t>
      </w:r>
      <w:r>
        <w:rPr>
          <w:b/>
          <w:bCs/>
        </w:rPr>
        <w:t xml:space="preserve">wyantMachineLearningModels2023?</w:t>
      </w:r>
      <w:r>
        <w:t xml:space="preserve">)</w:t>
      </w:r>
      <w:r>
        <w:t xml:space="preserve"> </w:t>
      </w:r>
      <w:r>
        <w:t xml:space="preserve">and the ability to eventually consolidate features across models in future work is of high priority.</w:t>
      </w:r>
    </w:p>
    <w:p>
      <w:pPr>
        <w:pStyle w:val="BodyText"/>
      </w:pPr>
      <w:r>
        <w:t xml:space="preserve">We created two model types which varied across two feature sets: demographics only (baseline model) and a model which included all geolocation features as well as demographics (full model). This model comparison was designed to assess the value of geolocation features over demographics.</w:t>
      </w:r>
    </w:p>
    <w:p>
      <w:pPr>
        <w:pStyle w:val="BodyText"/>
      </w:pPr>
      <w:r>
        <w:t xml:space="preserve">Configurations of models varied across a relevant and appropriate range of model-specific hyperparameters (trees, tree_depth, and mtry). No early stopping point was set and learning rate (eta) was set to .03 for all model configurations.</w:t>
      </w:r>
    </w:p>
    <w:p>
      <w:pPr>
        <w:pStyle w:val="BodyText"/>
      </w:pPr>
      <w:r>
        <w:t xml:space="preserve">Models were trained and assessed using participant-grouped, nested</w:t>
      </w:r>
      <w:r>
        <w:t xml:space="preserve"> </w:t>
      </w:r>
      <w:r>
        <w:rPr>
          <w:i/>
          <w:iCs/>
        </w:rPr>
        <w:t xml:space="preserve">k</w:t>
      </w:r>
      <w:r>
        <w:t xml:space="preserve">-fold cross-validation. Grouped cross-validation ensures that all data from a given participant are retained as either held-in or held-out, thereby preventing the introduction of bias from a participant’s data being used to predict their own data. Nested cross-validation uses two nested loops for dividing and holding out folds: an outer loop, where held-out folds serve as test sets for model evaluation; and inner loops, where held-out folds serve as validation sets for model selection</w:t>
      </w:r>
      <w:r>
        <w:t xml:space="preserve"> </w:t>
      </w:r>
      <w:r>
        <w:t xml:space="preserve">(Jonathan et al., 2000)</w:t>
      </w:r>
      <w:r>
        <w:t xml:space="preserve">. We used 2 repeat of 5-fold cross-validation on the inner loop for model selection and 6 repeats of 5-fold cross-validation for evaluation.</w:t>
      </w:r>
    </w:p>
    <w:p>
      <w:pPr>
        <w:pStyle w:val="BodyText"/>
      </w:pPr>
      <w:r>
        <w:t xml:space="preserve">The primary performance metric for model selection and evaluation of the validation sets was area under the Receiver Operating Characteristic (auROC) curve</w:t>
      </w:r>
      <w:r>
        <w:t xml:space="preserve"> </w:t>
      </w:r>
      <w:r>
        <w:t xml:space="preserve">(Kuhn &amp; Johnson, 2018)</w:t>
      </w:r>
      <w:r>
        <w:t xml:space="preserve">. auROC indexes the probability that the model will predict a higher score for a randomly selected positive case (lapse) relative to a randomly selected negative case (no lapse). The overall percentage of lapses across all observations (each day per participant on study) was 7.4%, motivating the selection of this metric as it is unaffected by class imbalance.</w:t>
      </w:r>
    </w:p>
    <w:p>
      <w:pPr>
        <w:pStyle w:val="BodyText"/>
      </w:pPr>
      <w:r>
        <w:t xml:space="preserve">In addition to providing information on the calibration of our model, we further calculate skill scores based on mean log loss. A skill score differs from proper scoring rules (such as the Brier score,</w:t>
      </w:r>
      <w:r>
        <w:t xml:space="preserve"> </w:t>
      </w:r>
      <w:r>
        <w:t xml:space="preserve">Brier (1950)</w:t>
      </w:r>
      <w:r>
        <w:t xml:space="preserve">) in that it compares the performance of a model to a reference</w:t>
      </w:r>
      <w:r>
        <w:t xml:space="preserve"> </w:t>
      </w:r>
      <w:r>
        <w:t xml:space="preserve">(Wheatcroft, 2019)</w:t>
      </w:r>
      <w:r>
        <w:t xml:space="preserve">. Here, we compare the lapse base rate from the training data in each fold to our model. This provides us with the relative changes in log loss than can be achieved by using a more complex model relative to merely predicting the lapse base rate.</w:t>
      </w:r>
    </w:p>
    <w:p>
      <w:pPr>
        <w:pStyle w:val="BodyText"/>
      </w:pPr>
      <w:r>
        <w:t xml:space="preserve">Shapley values were computed in log-odd units in order to evaluate global importance of each feature category. Shapley values measure the unique contribution of features in an algorithm’s predictions and therefore identify the relative importance of different features</w:t>
      </w:r>
      <w:r>
        <w:t xml:space="preserve"> </w:t>
      </w:r>
      <w:r>
        <w:t xml:space="preserve">(Lundberg &amp; Lee, 2017)</w:t>
      </w:r>
      <w:r>
        <w:t xml:space="preserve">. Global feature importance for each broad feature category was calculated by averaging the absolute values of Shapley values across all observations per feature category. Highly important features represent relevant, actionable potential antecedents to lapse (and therefore points of intervention) that will be relevant in the future development of a fully integrated continuous risk monitoring and support system. However, these are descriptive analyses because standard errors or other indices of uncertainty for important scores are not available for Shapley values. Of note, even low global features may be an important contributor to lapse, and therefore motivate intervention, for a specific person at a specific time (i.e., high local importance).</w:t>
      </w:r>
    </w:p>
    <w:p>
      <w:pPr>
        <w:pStyle w:val="BodyText"/>
      </w:pPr>
      <w:r>
        <w:t xml:space="preserve">Bayesian hierarchical generalized linear models were used to estimate the posterior probability distributions of auROCs. Median posterior probability for auROC and Bayesian credible intervals (CIs) are reported as an evaluation of each model’s overall performance. We used a threshold of auROC = .5 (chance performance) when examining CIs, such that a CI that does not contain .5 indicates performance above chance and therefore predictive signal in the data.</w:t>
      </w:r>
    </w:p>
    <w:p>
      <w:pPr>
        <w:pStyle w:val="BodyText"/>
      </w:pPr>
      <w:r>
        <w:t xml:space="preserve">Finally, Bayesian model comparisons were used to evaluate the model contrasts defined above based on feature sets. The probability that model performance systematically difference was determined for every model comparison. Posterior probabilities for auROC differences and the 95% Bayesian CI are reported.</w:t>
      </w:r>
    </w:p>
    <w:bookmarkEnd w:id="29"/>
    <w:bookmarkStart w:id="30" w:name="algorithmic-fairness"/>
    <w:p>
      <w:pPr>
        <w:pStyle w:val="Heading3"/>
      </w:pPr>
      <w:r>
        <w:t xml:space="preserve">Algorithmic fairness</w:t>
      </w:r>
    </w:p>
    <w:p>
      <w:pPr>
        <w:pStyle w:val="FirstParagraph"/>
      </w:pPr>
      <w:r>
        <w:t xml:space="preserve">Classes for fairness analyses were defined on the basis of personal individual characteristics divided such that subgroups reflected coarse dichotomies of groups which experience relatively increased and decreased societal privilege. This resulted in five broad classes: white versus non-white, younger than 55 versus equal to or older than 55, above or below the 2018 Federal poverty line (https://aspe.hhs.gov/topics/poverty-economic-mobility/poverty-guidelines/prior-hhs-poverty-guidelines-federal-register-references), educational attainment status (college or more or some college or less), and sex at birth (male versus female). A Bayesian hierarchical generalized linear model was used to estimate the posterior probability distributions of auROCs and corresponding 95% Bayesian CIs across these eight subgroups. Finally, Bayesian group comparisons were used in order to identify the likelihood of differential performance of our model between subgroups within each class.</w:t>
      </w:r>
    </w:p>
    <w:bookmarkEnd w:id="30"/>
    <w:bookmarkEnd w:id="31"/>
    <w:bookmarkStart w:id="76" w:name="results"/>
    <w:p>
      <w:pPr>
        <w:pStyle w:val="Heading2"/>
      </w:pPr>
      <w:r>
        <w:t xml:space="preserve">Results</w:t>
      </w:r>
    </w:p>
    <w:bookmarkStart w:id="34" w:name="demographics"/>
    <w:p>
      <w:pPr>
        <w:pStyle w:val="Heading3"/>
      </w:pPr>
      <w:r>
        <w:t xml:space="preserve">Demographics</w:t>
      </w:r>
    </w:p>
    <w:p>
      <w:pPr>
        <w:pStyle w:val="FirstParagraph"/>
      </w:pPr>
      <w:r>
        <w:t xml:space="preserve">A total of 192 individuals were eligible to participate in the study, of which 191 consented to participate and 169 enrolled in the study. Fifteen participants were excluded prior to the first monthly follow-up visit. One participant was excluded for not maintaining a recovery goal of abstinence during their time on study. Two participants were excluded due to low adherence to study procedures. A further five individuals were excluded due to poor geolocation data quality from software incompatibility, resulting in a final sample size of 146. A detailed breakdown of participant characteristics is presented in</w:t>
      </w:r>
      <w:r>
        <w:t xml:space="preserve"> </w:t>
      </w:r>
      <w:hyperlink w:anchor="tbl-1">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1"/>
          <w:p>
            <w:pPr>
              <w:jc w:val="center"/>
            </w:pPr>
            <w:pPr>
              <w:jc w:val="start"/>
              <w:spacing w:before="200"/>
              <w:pStyle w:val="ImageCaption"/>
            </w:pPr>
            <w:r>
              <w:t xml:space="preserve">Table 1: Demographic Characteristics</w:t>
            </w:r>
          </w:p>
          <w:tbl>
            <w:tblPr>
              <w:tblStyle w:val="Table"/>
              <w:tblW w:type="pct" w:w="5000"/>
              <w:tblLayout w:type="fixed"/>
              <w:tblLook w:firstRow="1" w:lastRow="1" w:firstColumn="0" w:lastColumn="0" w:noHBand="0" w:noVBand="0" w:val="0020"/>
            </w:tblPr>
            <w:tblGrid>
              <w:gridCol w:w="3960"/>
              <w:gridCol w:w="3960"/>
            </w:tblGrid>
            <w:tr>
              <w:trPr>
                <w:tblHeader w:val="on"/>
              </w:trPr>
              <w:tc>
                <w:tcPr/>
                <w:p>
                  <w:pPr>
                    <w:pStyle w:val="Compact"/>
                    <w:jc w:val="left"/>
                    <w:jc w:val="center"/>
                  </w:pPr>
                  <w:r>
                    <w:rPr>
                      <w:b/>
                      <w:bCs/>
                    </w:rPr>
                    <w:t xml:space="preserve">Characteristic</w:t>
                  </w:r>
                </w:p>
              </w:tc>
              <w:tc>
                <w:tcPr/>
                <w:p>
                  <w:pPr>
                    <w:pStyle w:val="Compact"/>
                    <w:jc w:val="left"/>
                    <w:jc w:val="center"/>
                  </w:pPr>
                  <w:r>
                    <w:rPr>
                      <w:b/>
                      <w:bCs/>
                    </w:rPr>
                    <w:t xml:space="preserve">N = 146</w:t>
                  </w:r>
                  <w:r>
                    <w:rPr>
                      <w:vertAlign w:val="superscript"/>
                    </w:rPr>
                    <w:t xml:space="preserve">1</w:t>
                  </w:r>
                </w:p>
              </w:tc>
            </w:tr>
            <w:tr>
              <w:tc>
                <w:tcPr/>
                <w:p>
                  <w:pPr>
                    <w:pStyle w:val="Compact"/>
                    <w:jc w:val="left"/>
                    <w:jc w:val="center"/>
                  </w:pPr>
                  <w:r>
                    <w:t xml:space="preserve">Age</w:t>
                  </w:r>
                </w:p>
              </w:tc>
              <w:tc>
                <w:tcPr/>
                <w:p>
                  <w:pPr>
                    <w:pStyle w:val="Compact"/>
                    <w:jc w:val="left"/>
                    <w:jc w:val="center"/>
                  </w:pPr>
                  <w:r>
                    <w:br/>
                  </w:r>
                </w:p>
              </w:tc>
            </w:tr>
            <w:tr>
              <w:tc>
                <w:tcPr/>
                <w:p>
                  <w:pPr>
                    <w:pStyle w:val="Compact"/>
                    <w:jc w:val="left"/>
                    <w:jc w:val="center"/>
                  </w:pPr>
                  <w:r>
                    <w:t xml:space="preserve">    18-24</w:t>
                  </w:r>
                </w:p>
              </w:tc>
              <w:tc>
                <w:tcPr/>
                <w:p>
                  <w:pPr>
                    <w:pStyle w:val="Compact"/>
                    <w:jc w:val="left"/>
                    <w:jc w:val="center"/>
                  </w:pPr>
                  <w:r>
                    <w:t xml:space="preserve">10 (6.8%)</w:t>
                  </w:r>
                </w:p>
              </w:tc>
            </w:tr>
            <w:tr>
              <w:tc>
                <w:tcPr/>
                <w:p>
                  <w:pPr>
                    <w:pStyle w:val="Compact"/>
                    <w:jc w:val="left"/>
                    <w:jc w:val="center"/>
                  </w:pPr>
                  <w:r>
                    <w:t xml:space="preserve">    25-34</w:t>
                  </w:r>
                </w:p>
              </w:tc>
              <w:tc>
                <w:tcPr/>
                <w:p>
                  <w:pPr>
                    <w:pStyle w:val="Compact"/>
                    <w:jc w:val="left"/>
                    <w:jc w:val="center"/>
                  </w:pPr>
                  <w:r>
                    <w:t xml:space="preserve">40 (27%)</w:t>
                  </w:r>
                </w:p>
              </w:tc>
            </w:tr>
            <w:tr>
              <w:tc>
                <w:tcPr/>
                <w:p>
                  <w:pPr>
                    <w:pStyle w:val="Compact"/>
                    <w:jc w:val="left"/>
                    <w:jc w:val="center"/>
                  </w:pPr>
                  <w:r>
                    <w:t xml:space="preserve">    35-44</w:t>
                  </w:r>
                </w:p>
              </w:tc>
              <w:tc>
                <w:tcPr/>
                <w:p>
                  <w:pPr>
                    <w:pStyle w:val="Compact"/>
                    <w:jc w:val="left"/>
                    <w:jc w:val="center"/>
                  </w:pPr>
                  <w:r>
                    <w:t xml:space="preserve">41 (28%)</w:t>
                  </w:r>
                </w:p>
              </w:tc>
            </w:tr>
            <w:tr>
              <w:tc>
                <w:tcPr/>
                <w:p>
                  <w:pPr>
                    <w:pStyle w:val="Compact"/>
                    <w:jc w:val="left"/>
                    <w:jc w:val="center"/>
                  </w:pPr>
                  <w:r>
                    <w:t xml:space="preserve">    45-54</w:t>
                  </w:r>
                </w:p>
              </w:tc>
              <w:tc>
                <w:tcPr/>
                <w:p>
                  <w:pPr>
                    <w:pStyle w:val="Compact"/>
                    <w:jc w:val="left"/>
                    <w:jc w:val="center"/>
                  </w:pPr>
                  <w:r>
                    <w:t xml:space="preserve">35 (24%)</w:t>
                  </w:r>
                </w:p>
              </w:tc>
            </w:tr>
            <w:tr>
              <w:tc>
                <w:tcPr/>
                <w:p>
                  <w:pPr>
                    <w:pStyle w:val="Compact"/>
                    <w:jc w:val="left"/>
                    <w:jc w:val="center"/>
                  </w:pPr>
                  <w:r>
                    <w:t xml:space="preserve">    55-64</w:t>
                  </w:r>
                </w:p>
              </w:tc>
              <w:tc>
                <w:tcPr/>
                <w:p>
                  <w:pPr>
                    <w:pStyle w:val="Compact"/>
                    <w:jc w:val="left"/>
                    <w:jc w:val="center"/>
                  </w:pPr>
                  <w:r>
                    <w:t xml:space="preserve">17 (12%)</w:t>
                  </w:r>
                </w:p>
              </w:tc>
            </w:tr>
            <w:tr>
              <w:tc>
                <w:tcPr/>
                <w:p>
                  <w:pPr>
                    <w:pStyle w:val="Compact"/>
                    <w:jc w:val="left"/>
                    <w:jc w:val="center"/>
                  </w:pPr>
                  <w:r>
                    <w:t xml:space="preserve">    65+</w:t>
                  </w:r>
                </w:p>
              </w:tc>
              <w:tc>
                <w:tcPr/>
                <w:p>
                  <w:pPr>
                    <w:pStyle w:val="Compact"/>
                    <w:jc w:val="left"/>
                    <w:jc w:val="center"/>
                  </w:pPr>
                  <w:r>
                    <w:t xml:space="preserve">3 (2.1%)</w:t>
                  </w:r>
                </w:p>
              </w:tc>
            </w:tr>
            <w:tr>
              <w:tc>
                <w:tcPr/>
                <w:p>
                  <w:pPr>
                    <w:pStyle w:val="Compact"/>
                    <w:jc w:val="left"/>
                    <w:jc w:val="center"/>
                  </w:pPr>
                  <w:r>
                    <w:t xml:space="preserve">Sex At Birth</w:t>
                  </w:r>
                </w:p>
              </w:tc>
              <w:tc>
                <w:tcPr/>
                <w:p>
                  <w:pPr>
                    <w:pStyle w:val="Compact"/>
                    <w:jc w:val="left"/>
                    <w:jc w:val="center"/>
                  </w:pPr>
                  <w:r>
                    <w:br/>
                  </w:r>
                </w:p>
              </w:tc>
            </w:tr>
            <w:tr>
              <w:tc>
                <w:tcPr/>
                <w:p>
                  <w:pPr>
                    <w:pStyle w:val="Compact"/>
                    <w:jc w:val="left"/>
                    <w:jc w:val="center"/>
                  </w:pPr>
                  <w:r>
                    <w:t xml:space="preserve">    Female</w:t>
                  </w:r>
                </w:p>
              </w:tc>
              <w:tc>
                <w:tcPr/>
                <w:p>
                  <w:pPr>
                    <w:pStyle w:val="Compact"/>
                    <w:jc w:val="left"/>
                    <w:jc w:val="center"/>
                  </w:pPr>
                  <w:r>
                    <w:t xml:space="preserve">72 (49%)</w:t>
                  </w:r>
                </w:p>
              </w:tc>
            </w:tr>
            <w:tr>
              <w:tc>
                <w:tcPr/>
                <w:p>
                  <w:pPr>
                    <w:pStyle w:val="Compact"/>
                    <w:jc w:val="left"/>
                    <w:jc w:val="center"/>
                  </w:pPr>
                  <w:r>
                    <w:t xml:space="preserve">    Male</w:t>
                  </w:r>
                </w:p>
              </w:tc>
              <w:tc>
                <w:tcPr/>
                <w:p>
                  <w:pPr>
                    <w:pStyle w:val="Compact"/>
                    <w:jc w:val="left"/>
                    <w:jc w:val="center"/>
                  </w:pPr>
                  <w:r>
                    <w:t xml:space="preserve">74 (51%)</w:t>
                  </w:r>
                </w:p>
              </w:tc>
            </w:tr>
            <w:tr>
              <w:tc>
                <w:tcPr/>
                <w:p>
                  <w:pPr>
                    <w:pStyle w:val="Compact"/>
                    <w:jc w:val="left"/>
                    <w:jc w:val="center"/>
                  </w:pPr>
                  <w:r>
                    <w:t xml:space="preserve">education</w:t>
                  </w:r>
                </w:p>
              </w:tc>
              <w:tc>
                <w:tcPr/>
                <w:p>
                  <w:pPr>
                    <w:pStyle w:val="Compact"/>
                    <w:jc w:val="left"/>
                    <w:jc w:val="center"/>
                  </w:pPr>
                  <w:r>
                    <w:br/>
                  </w:r>
                </w:p>
              </w:tc>
            </w:tr>
            <w:tr>
              <w:tc>
                <w:tcPr/>
                <w:p>
                  <w:pPr>
                    <w:pStyle w:val="Compact"/>
                    <w:jc w:val="left"/>
                    <w:jc w:val="center"/>
                  </w:pPr>
                  <w:r>
                    <w:t xml:space="preserve">    2-Year degree</w:t>
                  </w:r>
                </w:p>
              </w:tc>
              <w:tc>
                <w:tcPr/>
                <w:p>
                  <w:pPr>
                    <w:pStyle w:val="Compact"/>
                    <w:jc w:val="left"/>
                    <w:jc w:val="center"/>
                  </w:pPr>
                  <w:r>
                    <w:t xml:space="preserve">12 (8.2%)</w:t>
                  </w:r>
                </w:p>
              </w:tc>
            </w:tr>
            <w:tr>
              <w:tc>
                <w:tcPr/>
                <w:p>
                  <w:pPr>
                    <w:pStyle w:val="Compact"/>
                    <w:jc w:val="left"/>
                    <w:jc w:val="center"/>
                  </w:pPr>
                  <w:r>
                    <w:t xml:space="preserve">    Advanced degree</w:t>
                  </w:r>
                </w:p>
              </w:tc>
              <w:tc>
                <w:tcPr/>
                <w:p>
                  <w:pPr>
                    <w:pStyle w:val="Compact"/>
                    <w:jc w:val="left"/>
                    <w:jc w:val="center"/>
                  </w:pPr>
                  <w:r>
                    <w:t xml:space="preserve">23 (16%)</w:t>
                  </w:r>
                </w:p>
              </w:tc>
            </w:tr>
            <w:tr>
              <w:tc>
                <w:tcPr/>
                <w:p>
                  <w:pPr>
                    <w:pStyle w:val="Compact"/>
                    <w:jc w:val="left"/>
                    <w:jc w:val="center"/>
                  </w:pPr>
                  <w:r>
                    <w:t xml:space="preserve">    College degree</w:t>
                  </w:r>
                </w:p>
              </w:tc>
              <w:tc>
                <w:tcPr/>
                <w:p>
                  <w:pPr>
                    <w:pStyle w:val="Compact"/>
                    <w:jc w:val="left"/>
                    <w:jc w:val="center"/>
                  </w:pPr>
                  <w:r>
                    <w:t xml:space="preserve">58 (40%)</w:t>
                  </w:r>
                </w:p>
              </w:tc>
            </w:tr>
            <w:tr>
              <w:tc>
                <w:tcPr/>
                <w:p>
                  <w:pPr>
                    <w:pStyle w:val="Compact"/>
                    <w:jc w:val="left"/>
                    <w:jc w:val="center"/>
                  </w:pPr>
                  <w:r>
                    <w:t xml:space="preserve">    High school or GED</w:t>
                  </w:r>
                </w:p>
              </w:tc>
              <w:tc>
                <w:tcPr/>
                <w:p>
                  <w:pPr>
                    <w:pStyle w:val="Compact"/>
                    <w:jc w:val="left"/>
                    <w:jc w:val="center"/>
                  </w:pPr>
                  <w:r>
                    <w:t xml:space="preserve">13 (8.9%)</w:t>
                  </w:r>
                </w:p>
              </w:tc>
            </w:tr>
            <w:tr>
              <w:tc>
                <w:tcPr/>
                <w:p>
                  <w:pPr>
                    <w:pStyle w:val="Compact"/>
                    <w:jc w:val="left"/>
                    <w:jc w:val="center"/>
                  </w:pPr>
                  <w:r>
                    <w:t xml:space="preserve">    Less than high school or GED degree</w:t>
                  </w:r>
                </w:p>
              </w:tc>
              <w:tc>
                <w:tcPr/>
                <w:p>
                  <w:pPr>
                    <w:pStyle w:val="Compact"/>
                    <w:jc w:val="left"/>
                    <w:jc w:val="center"/>
                  </w:pPr>
                  <w:r>
                    <w:t xml:space="preserve">1 (0.7%)</w:t>
                  </w:r>
                </w:p>
              </w:tc>
            </w:tr>
            <w:tr>
              <w:tc>
                <w:tcPr/>
                <w:p>
                  <w:pPr>
                    <w:pStyle w:val="Compact"/>
                    <w:jc w:val="left"/>
                    <w:jc w:val="center"/>
                  </w:pPr>
                  <w:r>
                    <w:t xml:space="preserve">    Some college</w:t>
                  </w:r>
                </w:p>
              </w:tc>
              <w:tc>
                <w:tcPr/>
                <w:p>
                  <w:pPr>
                    <w:pStyle w:val="Compact"/>
                    <w:jc w:val="left"/>
                    <w:jc w:val="center"/>
                  </w:pPr>
                  <w:r>
                    <w:t xml:space="preserve">39 (27%)</w:t>
                  </w:r>
                </w:p>
              </w:tc>
            </w:tr>
            <w:tr>
              <w:tc>
                <w:tcPr/>
                <w:p>
                  <w:pPr>
                    <w:pStyle w:val="Compact"/>
                    <w:jc w:val="left"/>
                    <w:jc w:val="center"/>
                  </w:pPr>
                  <w:r>
                    <w:t xml:space="preserve">work</w:t>
                  </w:r>
                </w:p>
              </w:tc>
              <w:tc>
                <w:tcPr/>
                <w:p>
                  <w:pPr>
                    <w:pStyle w:val="Compact"/>
                    <w:jc w:val="left"/>
                    <w:jc w:val="center"/>
                  </w:pPr>
                  <w:r>
                    <w:br/>
                  </w:r>
                </w:p>
              </w:tc>
            </w:tr>
            <w:tr>
              <w:tc>
                <w:tcPr/>
                <w:p>
                  <w:pPr>
                    <w:pStyle w:val="Compact"/>
                    <w:jc w:val="left"/>
                    <w:jc w:val="center"/>
                  </w:pPr>
                  <w:r>
                    <w:t xml:space="preserve">    Disabled</w:t>
                  </w:r>
                </w:p>
              </w:tc>
              <w:tc>
                <w:tcPr/>
                <w:p>
                  <w:pPr>
                    <w:pStyle w:val="Compact"/>
                    <w:jc w:val="left"/>
                    <w:jc w:val="center"/>
                  </w:pPr>
                  <w:r>
                    <w:t xml:space="preserve">6 (4.1%)</w:t>
                  </w:r>
                </w:p>
              </w:tc>
            </w:tr>
            <w:tr>
              <w:tc>
                <w:tcPr/>
                <w:p>
                  <w:pPr>
                    <w:pStyle w:val="Compact"/>
                    <w:jc w:val="left"/>
                    <w:jc w:val="center"/>
                  </w:pPr>
                  <w:r>
                    <w:t xml:space="preserve">    Employed</w:t>
                  </w:r>
                </w:p>
              </w:tc>
              <w:tc>
                <w:tcPr/>
                <w:p>
                  <w:pPr>
                    <w:pStyle w:val="Compact"/>
                    <w:jc w:val="left"/>
                    <w:jc w:val="center"/>
                  </w:pPr>
                  <w:r>
                    <w:t xml:space="preserve">94 (64%)</w:t>
                  </w:r>
                </w:p>
              </w:tc>
            </w:tr>
            <w:tr>
              <w:tc>
                <w:tcPr/>
                <w:p>
                  <w:pPr>
                    <w:pStyle w:val="Compact"/>
                    <w:jc w:val="left"/>
                    <w:jc w:val="center"/>
                  </w:pPr>
                  <w:r>
                    <w:t xml:space="preserve">    Full-time student</w:t>
                  </w:r>
                </w:p>
              </w:tc>
              <w:tc>
                <w:tcPr/>
                <w:p>
                  <w:pPr>
                    <w:pStyle w:val="Compact"/>
                    <w:jc w:val="left"/>
                    <w:jc w:val="center"/>
                  </w:pPr>
                  <w:r>
                    <w:t xml:space="preserve">7 (4.8%)</w:t>
                  </w:r>
                </w:p>
              </w:tc>
            </w:tr>
            <w:tr>
              <w:tc>
                <w:tcPr/>
                <w:p>
                  <w:pPr>
                    <w:pStyle w:val="Compact"/>
                    <w:jc w:val="left"/>
                    <w:jc w:val="center"/>
                  </w:pPr>
                  <w:r>
                    <w:t xml:space="preserve">    Homemaker</w:t>
                  </w:r>
                </w:p>
              </w:tc>
              <w:tc>
                <w:tcPr/>
                <w:p>
                  <w:pPr>
                    <w:pStyle w:val="Compact"/>
                    <w:jc w:val="left"/>
                    <w:jc w:val="center"/>
                  </w:pPr>
                  <w:r>
                    <w:t xml:space="preserve">1 (0.7%)</w:t>
                  </w:r>
                </w:p>
              </w:tc>
            </w:tr>
            <w:tr>
              <w:tc>
                <w:tcPr/>
                <w:p>
                  <w:pPr>
                    <w:pStyle w:val="Compact"/>
                    <w:jc w:val="left"/>
                    <w:jc w:val="center"/>
                  </w:pPr>
                  <w:r>
                    <w:t xml:space="preserve">    Other, not otherwise specified</w:t>
                  </w:r>
                </w:p>
              </w:tc>
              <w:tc>
                <w:tcPr/>
                <w:p>
                  <w:pPr>
                    <w:pStyle w:val="Compact"/>
                    <w:jc w:val="left"/>
                    <w:jc w:val="center"/>
                  </w:pPr>
                  <w:r>
                    <w:t xml:space="preserve">9 (6.2%)</w:t>
                  </w:r>
                </w:p>
              </w:tc>
            </w:tr>
            <w:tr>
              <w:tc>
                <w:tcPr/>
                <w:p>
                  <w:pPr>
                    <w:pStyle w:val="Compact"/>
                    <w:jc w:val="left"/>
                    <w:jc w:val="center"/>
                  </w:pPr>
                  <w:r>
                    <w:t xml:space="preserve">    Retired</w:t>
                  </w:r>
                </w:p>
              </w:tc>
              <w:tc>
                <w:tcPr/>
                <w:p>
                  <w:pPr>
                    <w:pStyle w:val="Compact"/>
                    <w:jc w:val="left"/>
                    <w:jc w:val="center"/>
                  </w:pPr>
                  <w:r>
                    <w:t xml:space="preserve">8 (5.5%)</w:t>
                  </w:r>
                </w:p>
              </w:tc>
            </w:tr>
            <w:tr>
              <w:tc>
                <w:tcPr/>
                <w:p>
                  <w:pPr>
                    <w:pStyle w:val="Compact"/>
                    <w:jc w:val="left"/>
                    <w:jc w:val="center"/>
                  </w:pPr>
                  <w:r>
                    <w:t xml:space="preserve">    Temporarily laid off, sick leave, or maternity leave</w:t>
                  </w:r>
                </w:p>
              </w:tc>
              <w:tc>
                <w:tcPr/>
                <w:p>
                  <w:pPr>
                    <w:pStyle w:val="Compact"/>
                    <w:jc w:val="left"/>
                    <w:jc w:val="center"/>
                  </w:pPr>
                  <w:r>
                    <w:t xml:space="preserve">3 (2.1%)</w:t>
                  </w:r>
                </w:p>
              </w:tc>
            </w:tr>
            <w:tr>
              <w:tc>
                <w:tcPr/>
                <w:p>
                  <w:pPr>
                    <w:pStyle w:val="Compact"/>
                    <w:jc w:val="left"/>
                    <w:jc w:val="center"/>
                  </w:pPr>
                  <w:r>
                    <w:t xml:space="preserve">    Unemployed</w:t>
                  </w:r>
                </w:p>
              </w:tc>
              <w:tc>
                <w:tcPr/>
                <w:p>
                  <w:pPr>
                    <w:pStyle w:val="Compact"/>
                    <w:jc w:val="left"/>
                    <w:jc w:val="center"/>
                  </w:pPr>
                  <w:r>
                    <w:t xml:space="preserve">18 (12%)</w:t>
                  </w:r>
                </w:p>
              </w:tc>
            </w:tr>
            <w:tr>
              <w:tc>
                <w:tcPr/>
                <w:p>
                  <w:pPr>
                    <w:pStyle w:val="Compact"/>
                    <w:jc w:val="left"/>
                    <w:jc w:val="center"/>
                  </w:pPr>
                  <w:r>
                    <w:t xml:space="preserve">Race</w:t>
                  </w:r>
                </w:p>
              </w:tc>
              <w:tc>
                <w:tcPr/>
                <w:p>
                  <w:pPr>
                    <w:pStyle w:val="Compact"/>
                    <w:jc w:val="left"/>
                    <w:jc w:val="center"/>
                  </w:pPr>
                  <w:r>
                    <w:br/>
                  </w:r>
                </w:p>
              </w:tc>
            </w:tr>
            <w:tr>
              <w:tc>
                <w:tcPr/>
                <w:p>
                  <w:pPr>
                    <w:pStyle w:val="Compact"/>
                    <w:jc w:val="left"/>
                    <w:jc w:val="center"/>
                  </w:pPr>
                  <w:r>
                    <w:t xml:space="preserve">    American Indian/Alaska Native</w:t>
                  </w:r>
                </w:p>
              </w:tc>
              <w:tc>
                <w:tcPr/>
                <w:p>
                  <w:pPr>
                    <w:pStyle w:val="Compact"/>
                    <w:jc w:val="left"/>
                    <w:jc w:val="center"/>
                  </w:pPr>
                  <w:r>
                    <w:t xml:space="preserve">3 (2.1%)</w:t>
                  </w:r>
                </w:p>
              </w:tc>
            </w:tr>
            <w:tr>
              <w:tc>
                <w:tcPr/>
                <w:p>
                  <w:pPr>
                    <w:pStyle w:val="Compact"/>
                    <w:jc w:val="left"/>
                    <w:jc w:val="center"/>
                  </w:pPr>
                  <w:r>
                    <w:t xml:space="preserve">    Asian</w:t>
                  </w:r>
                </w:p>
              </w:tc>
              <w:tc>
                <w:tcPr/>
                <w:p>
                  <w:pPr>
                    <w:pStyle w:val="Compact"/>
                    <w:jc w:val="left"/>
                    <w:jc w:val="center"/>
                  </w:pPr>
                  <w:r>
                    <w:t xml:space="preserve">2 (1.4%)</w:t>
                  </w:r>
                </w:p>
              </w:tc>
            </w:tr>
            <w:tr>
              <w:tc>
                <w:tcPr/>
                <w:p>
                  <w:pPr>
                    <w:pStyle w:val="Compact"/>
                    <w:jc w:val="left"/>
                    <w:jc w:val="center"/>
                  </w:pPr>
                  <w:r>
                    <w:t xml:space="preserve">    Black/African American</w:t>
                  </w:r>
                </w:p>
              </w:tc>
              <w:tc>
                <w:tcPr/>
                <w:p>
                  <w:pPr>
                    <w:pStyle w:val="Compact"/>
                    <w:jc w:val="left"/>
                    <w:jc w:val="center"/>
                  </w:pPr>
                  <w:r>
                    <w:t xml:space="preserve">7 (4.8%)</w:t>
                  </w:r>
                </w:p>
              </w:tc>
            </w:tr>
            <w:tr>
              <w:tc>
                <w:tcPr/>
                <w:p>
                  <w:pPr>
                    <w:pStyle w:val="Compact"/>
                    <w:jc w:val="left"/>
                    <w:jc w:val="center"/>
                  </w:pPr>
                  <w:r>
                    <w:t xml:space="preserve">    Other/Multiracial</w:t>
                  </w:r>
                </w:p>
              </w:tc>
              <w:tc>
                <w:tcPr/>
                <w:p>
                  <w:pPr>
                    <w:pStyle w:val="Compact"/>
                    <w:jc w:val="left"/>
                    <w:jc w:val="center"/>
                  </w:pPr>
                  <w:r>
                    <w:t xml:space="preserve">7 (4.8%)</w:t>
                  </w:r>
                </w:p>
              </w:tc>
            </w:tr>
            <w:tr>
              <w:tc>
                <w:tcPr/>
                <w:p>
                  <w:pPr>
                    <w:pStyle w:val="Compact"/>
                    <w:jc w:val="left"/>
                    <w:jc w:val="center"/>
                  </w:pPr>
                  <w:r>
                    <w:t xml:space="preserve">    White/Caucasian</w:t>
                  </w:r>
                </w:p>
              </w:tc>
              <w:tc>
                <w:tcPr/>
                <w:p>
                  <w:pPr>
                    <w:pStyle w:val="Compact"/>
                    <w:jc w:val="left"/>
                    <w:jc w:val="center"/>
                  </w:pPr>
                  <w:r>
                    <w:t xml:space="preserve">127 (87%)</w:t>
                  </w:r>
                </w:p>
              </w:tc>
            </w:tr>
            <w:tr>
              <w:tc>
                <w:tcPr/>
                <w:p>
                  <w:pPr>
                    <w:pStyle w:val="Compact"/>
                    <w:jc w:val="left"/>
                    <w:jc w:val="center"/>
                  </w:pPr>
                  <w:r>
                    <w:t xml:space="preserve">Ethnicity</w:t>
                  </w:r>
                </w:p>
              </w:tc>
              <w:tc>
                <w:tcPr/>
                <w:p>
                  <w:pPr>
                    <w:pStyle w:val="Compact"/>
                    <w:jc w:val="left"/>
                    <w:jc w:val="center"/>
                  </w:pPr>
                  <w:r>
                    <w:t xml:space="preserve">4 (2.7%)</w:t>
                  </w:r>
                </w:p>
              </w:tc>
            </w:tr>
            <w:tr>
              <w:tc>
                <w:tcPr/>
                <w:p>
                  <w:pPr>
                    <w:pStyle w:val="Compact"/>
                    <w:jc w:val="left"/>
                    <w:jc w:val="center"/>
                  </w:pPr>
                  <w:r>
                    <w:t xml:space="preserve">Income</w:t>
                  </w:r>
                </w:p>
              </w:tc>
              <w:tc>
                <w:tcPr/>
                <w:p>
                  <w:pPr>
                    <w:pStyle w:val="Compact"/>
                    <w:jc w:val="left"/>
                    <w:jc w:val="center"/>
                  </w:pPr>
                  <w:r>
                    <w:br/>
                  </w:r>
                </w:p>
              </w:tc>
            </w:tr>
            <w:tr>
              <w:tc>
                <w:tcPr/>
                <w:p>
                  <w:pPr>
                    <w:pStyle w:val="Compact"/>
                    <w:jc w:val="left"/>
                    <w:jc w:val="center"/>
                  </w:pPr>
                  <w:r>
                    <w:t xml:space="preserve">    &lt;$25,000</w:t>
                  </w:r>
                </w:p>
              </w:tc>
              <w:tc>
                <w:tcPr/>
                <w:p>
                  <w:pPr>
                    <w:pStyle w:val="Compact"/>
                    <w:jc w:val="left"/>
                    <w:jc w:val="center"/>
                  </w:pPr>
                  <w:r>
                    <w:t xml:space="preserve">66 (45%)</w:t>
                  </w:r>
                </w:p>
              </w:tc>
            </w:tr>
            <w:tr>
              <w:tc>
                <w:tcPr/>
                <w:p>
                  <w:pPr>
                    <w:pStyle w:val="Compact"/>
                    <w:jc w:val="left"/>
                    <w:jc w:val="center"/>
                  </w:pPr>
                  <w:r>
                    <w:t xml:space="preserve">    $25,000-$49,999</w:t>
                  </w:r>
                </w:p>
              </w:tc>
              <w:tc>
                <w:tcPr/>
                <w:p>
                  <w:pPr>
                    <w:pStyle w:val="Compact"/>
                    <w:jc w:val="left"/>
                    <w:jc w:val="center"/>
                  </w:pPr>
                  <w:r>
                    <w:t xml:space="preserve">42 (29%)</w:t>
                  </w:r>
                </w:p>
              </w:tc>
            </w:tr>
            <w:tr>
              <w:tc>
                <w:tcPr/>
                <w:p>
                  <w:pPr>
                    <w:pStyle w:val="Compact"/>
                    <w:jc w:val="left"/>
                    <w:jc w:val="center"/>
                  </w:pPr>
                  <w:r>
                    <w:t xml:space="preserve">    $50,000-$99,999</w:t>
                  </w:r>
                </w:p>
              </w:tc>
              <w:tc>
                <w:tcPr/>
                <w:p>
                  <w:pPr>
                    <w:pStyle w:val="Compact"/>
                    <w:jc w:val="left"/>
                    <w:jc w:val="center"/>
                  </w:pPr>
                  <w:r>
                    <w:t xml:space="preserve">30 (21%)</w:t>
                  </w:r>
                </w:p>
              </w:tc>
            </w:tr>
            <w:tr>
              <w:tc>
                <w:tcPr/>
                <w:p>
                  <w:pPr>
                    <w:pStyle w:val="Compact"/>
                    <w:jc w:val="left"/>
                    <w:jc w:val="center"/>
                  </w:pPr>
                  <w:r>
                    <w:t xml:space="preserve">    $100,000-$149,999</w:t>
                  </w:r>
                </w:p>
              </w:tc>
              <w:tc>
                <w:tcPr/>
                <w:p>
                  <w:pPr>
                    <w:pStyle w:val="Compact"/>
                    <w:jc w:val="left"/>
                    <w:jc w:val="center"/>
                  </w:pPr>
                  <w:r>
                    <w:t xml:space="preserve">6 (4.1%)</w:t>
                  </w:r>
                </w:p>
              </w:tc>
            </w:tr>
            <w:tr>
              <w:tc>
                <w:tcPr/>
                <w:p>
                  <w:pPr>
                    <w:pStyle w:val="Compact"/>
                    <w:jc w:val="left"/>
                    <w:jc w:val="center"/>
                  </w:pPr>
                  <w:r>
                    <w:t xml:space="preserve">    ≥$150,000</w:t>
                  </w:r>
                </w:p>
              </w:tc>
              <w:tc>
                <w:tcPr/>
                <w:p>
                  <w:pPr>
                    <w:pStyle w:val="Compact"/>
                    <w:jc w:val="left"/>
                    <w:jc w:val="center"/>
                  </w:pPr>
                  <w:r>
                    <w:t xml:space="preserve">2 (1.4%)</w:t>
                  </w:r>
                </w:p>
              </w:tc>
            </w:tr>
            <w:tr>
              <w:tc>
                <w:tcPr>
                  <w:gridSpan w:val="2"/>
                </w:tcPr>
                <w:p>
                  <w:pPr>
                    <w:pStyle w:val="Compact"/>
                    <w:jc w:val="left"/>
                    <w:jc w:val="center"/>
                  </w:pPr>
                  <w:r>
                    <w:rPr>
                      <w:vertAlign w:val="superscript"/>
                    </w:rPr>
                    <w:t xml:space="preserve">1</w:t>
                  </w:r>
                  <w:r>
                    <w:t xml:space="preserve"> </w:t>
                  </w:r>
                  <w:r>
                    <w:t xml:space="preserve">n (%)</w:t>
                  </w:r>
                </w:p>
              </w:tc>
            </w:tr>
          </w:tbl>
          <w:bookmarkEnd w:id="32"/>
          <w:p/>
        </w:tc>
      </w:tr>
    </w:tbl>
    <w:p>
      <w:pPr>
        <w:pStyle w:val="BodyText"/>
      </w:pPr>
      <w:r>
        <w:rPr>
          <w:vertAlign w:val="subscript"/>
        </w:rPr>
        <w:t xml:space="preserve">Source:</w:t>
      </w:r>
      <w:r>
        <w:rPr>
          <w:vertAlign w:val="subscript"/>
        </w:rPr>
        <w:t xml:space="preserve"> </w:t>
      </w:r>
      <w:hyperlink r:id="rId33">
        <w:r>
          <w:rPr>
            <w:rStyle w:val="Hyperlink"/>
            <w:vertAlign w:val="subscript"/>
          </w:rPr>
          <w:t xml:space="preserve">Make Tables for GPS</w:t>
        </w:r>
      </w:hyperlink>
    </w:p>
    <w:bookmarkEnd w:id="34"/>
    <w:bookmarkStart w:id="59" w:name="auroc-and-model-comparisons"/>
    <w:p>
      <w:pPr>
        <w:pStyle w:val="Heading3"/>
      </w:pPr>
      <w:r>
        <w:t xml:space="preserve">auROC and Model Comparisons</w:t>
      </w:r>
    </w:p>
    <w:p>
      <w:pPr>
        <w:pStyle w:val="FirstParagraph"/>
      </w:pPr>
      <w:r>
        <w:t xml:space="preserve">The median auROC over all 30 folds was 0.72 (95% CI ([0.69, 0.74])).</w:t>
      </w:r>
      <w:r>
        <w:t xml:space="preserve"> </w:t>
      </w:r>
      <w:hyperlink w:anchor="fig-1">
        <w:r>
          <w:rPr>
            <w:rStyle w:val="Hyperlink"/>
          </w:rPr>
          <w:t xml:space="preserve">Figure 1</w:t>
        </w:r>
      </w:hyperlink>
      <w:r>
        <w:t xml:space="preserve"> </w:t>
      </w:r>
      <w:r>
        <w:t xml:space="preserve">displays a receiver operating characteristic curve representing aggregate predicted lapse probabilities across all folds superimposed over each fold’s individual curve. An additional histogram of model performance distribution across folds can be seen in</w:t>
      </w:r>
      <w:r>
        <w:t xml:space="preserve"> </w:t>
      </w:r>
      <w:hyperlink w:anchor="fig-2">
        <w:r>
          <w:rPr>
            <w:rStyle w:val="Hyperlink"/>
          </w:rPr>
          <w:t xml:space="preserve">Figure 2</w:t>
        </w:r>
      </w:hyperlink>
      <w:r>
        <w:t xml:space="preserve">.</w:t>
      </w:r>
      <w:r>
        <w:t xml:space="preserve"> </w:t>
      </w:r>
    </w:p>
    <w:tbl>
      <w:tblPr>
        <w:tblStyle w:val="Table"/>
        <w:tblW w:type="pct" w:w="5000"/>
        <w:tblLayout w:type="fixed"/>
        <w:tblLook w:firstRow="0" w:lastRow="0" w:firstColumn="0" w:lastColumn="0" w:noHBand="0" w:noVBand="0" w:val="0000"/>
      </w:tblPr>
      <w:tblGrid>
        <w:gridCol w:w="7920"/>
      </w:tblGrid>
      <w:tr>
        <w:tc>
          <w:tcPr/>
          <w:bookmarkStart w:id="38" w:name="fig-1"/>
          <w:p>
            <w:pPr>
              <w:pStyle w:val="Compact"/>
              <w:jc w:val="center"/>
            </w:pPr>
            <w:r>
              <w:drawing>
                <wp:inline>
                  <wp:extent cx="5334000" cy="3810000"/>
                  <wp:effectExtent b="0" l="0" r="0" t="0"/>
                  <wp:docPr descr="" title="" id="36" name="Picture"/>
                  <a:graphic>
                    <a:graphicData uri="http://schemas.openxmlformats.org/drawingml/2006/picture">
                      <pic:pic>
                        <pic:nvPicPr>
                          <pic:cNvPr descr="index_files/figure-docx/notebooks-mak_figures-fig-1-output-2.png" id="37" name="Picture"/>
                          <pic:cNvPicPr>
                            <a:picLocks noChangeArrowheads="1" noChangeAspect="1"/>
                          </pic:cNvPicPr>
                        </pic:nvPicPr>
                        <pic:blipFill>
                          <a:blip r:embed="rId3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Area under the receiver operating characteristic curve (auROC) for the full model. An aggregated curve of model performance across 30 folds (dark green, bolded line) is superimposed over each fold’s individual curve.</w:t>
            </w:r>
          </w:p>
          <w:bookmarkEnd w:id="38"/>
        </w:tc>
      </w:tr>
    </w:tbl>
    <w:p>
      <w:pPr>
        <w:pStyle w:val="BodyText"/>
      </w:pPr>
      <w:r>
        <w:rPr>
          <w:vertAlign w:val="subscript"/>
        </w:rPr>
        <w:t xml:space="preserve">Source:</w:t>
      </w:r>
      <w:r>
        <w:rPr>
          <w:vertAlign w:val="subscript"/>
        </w:rPr>
        <w:t xml:space="preserve"> </w:t>
      </w:r>
      <w:hyperlink r:id="rId39">
        <w:r>
          <w:rPr>
            <w:rStyle w:val="Hyperlink"/>
            <w:vertAlign w:val="subscript"/>
          </w:rPr>
          <w:t xml:space="preserve">Make Figures for GPS</w:t>
        </w:r>
      </w:hyperlink>
    </w:p>
    <w:tbl>
      <w:tblPr>
        <w:tblStyle w:val="Table"/>
        <w:tblW w:type="pct" w:w="5000"/>
        <w:tblLayout w:type="fixed"/>
        <w:tblLook w:firstRow="0" w:lastRow="0" w:firstColumn="0" w:lastColumn="0" w:noHBand="0" w:noVBand="0" w:val="0000"/>
      </w:tblPr>
      <w:tblGrid>
        <w:gridCol w:w="7920"/>
      </w:tblGrid>
      <w:tr>
        <w:tc>
          <w:tcPr/>
          <w:bookmarkStart w:id="43" w:name="fig-2"/>
          <w:p>
            <w:pPr>
              <w:pStyle w:val="Compact"/>
              <w:jc w:val="center"/>
            </w:pPr>
            <w:r>
              <w:drawing>
                <wp:inline>
                  <wp:extent cx="5334000" cy="3810000"/>
                  <wp:effectExtent b="0" l="0" r="0" t="0"/>
                  <wp:docPr descr="" title="" id="41" name="Picture"/>
                  <a:graphic>
                    <a:graphicData uri="http://schemas.openxmlformats.org/drawingml/2006/picture">
                      <pic:pic>
                        <pic:nvPicPr>
                          <pic:cNvPr descr="index_files/figure-docx/notebooks-mak_figures-fig-2-output-1.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 histogram displaying median area under the receiver operating characteristic curve (auROC) for the full model across 30 folds.</w:t>
            </w:r>
          </w:p>
          <w:bookmarkEnd w:id="43"/>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Make Figures for GPS</w:t>
        </w:r>
      </w:hyperlink>
    </w:p>
    <w:p>
      <w:pPr>
        <w:pStyle w:val="BodyText"/>
      </w:pPr>
      <w:r>
        <w:t xml:space="preserve">To further characterize the predictive value of our geolocation features, we further compared the performance of our model to one which only included demographic features (0.52 (95% CI ([0.48, 0.55])) as well as chance performance (.5). Compared to these more simplistic models, the model including geolocation features performed better (probabilities = 1).</w:t>
      </w:r>
    </w:p>
    <w:p>
      <w:pPr>
        <w:pStyle w:val="BodyText"/>
      </w:pPr>
      <w:r>
        <w:t xml:space="preserve">Across fairness subgroup comparisons, we found evidence to suggest that median auROC differed by income and educational attainment, such that our model discriminates better (i.e., more accurately preserves relative ordering) in individuals who are younger than 55 compared to older (probability = (0.0019) and those with lower educational attainment compared to higher educational attainment (probability = (0.9937) (</w:t>
      </w:r>
      <w:hyperlink w:anchor="fig-3">
        <w:r>
          <w:rPr>
            <w:rStyle w:val="Hyperlink"/>
          </w:rPr>
          <w:t xml:space="preserve">Figure 3</w:t>
        </w:r>
      </w:hyperlink>
      <w:r>
        <w:t xml:space="preserve">). A table of these comparisons can be seen in</w:t>
      </w:r>
      <w:r>
        <w:t xml:space="preserve"> </w:t>
      </w:r>
      <w:hyperlink w:anchor="tbl-2">
        <w:r>
          <w:rPr>
            <w:rStyle w:val="Hyperlink"/>
          </w:rPr>
          <w:t xml:space="preserve">Table 2</w:t>
        </w:r>
      </w:hyperlink>
      <w:r>
        <w:t xml:space="preserve">.</w:t>
      </w: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3"/>
          <w:p>
            <w:pPr>
              <w:pStyle w:val="Compact"/>
              <w:jc w:val="center"/>
            </w:pPr>
            <w:r>
              <w:drawing>
                <wp:inline>
                  <wp:extent cx="5334000" cy="3810000"/>
                  <wp:effectExtent b="0" l="0" r="0" t="0"/>
                  <wp:docPr descr="" title="" id="46" name="Picture"/>
                  <a:graphic>
                    <a:graphicData uri="http://schemas.openxmlformats.org/drawingml/2006/picture">
                      <pic:pic>
                        <pic:nvPicPr>
                          <pic:cNvPr descr="index_files/figure-docx/notebooks-mak_figures-fig-3-output-1.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Bayesian comparisons of model performance by median auROC and median auROC difference.</w:t>
            </w:r>
          </w:p>
          <w:bookmarkEnd w:id="48"/>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Make Figures for GPS</w:t>
        </w:r>
      </w:hyperlink>
    </w:p>
    <w:tbl>
      <w:tblPr>
        <w:tblStyle w:val="Table"/>
        <w:tblW w:type="pct" w:w="5000"/>
        <w:tblLayout w:type="fixed"/>
        <w:tblLook w:firstRow="0" w:lastRow="0" w:firstColumn="0" w:lastColumn="0" w:noHBand="0" w:noVBand="0" w:val="0000"/>
      </w:tblPr>
      <w:tblGrid>
        <w:gridCol w:w="7920"/>
      </w:tblGrid>
      <w:tr>
        <w:tc>
          <w:tcPr/>
          <w:bookmarkStart w:id="50" w:name="tbl-2"/>
          <w:p>
            <w:pPr>
              <w:jc w:val="center"/>
            </w:pPr>
            <w:pPr>
              <w:jc w:val="start"/>
              <w:spacing w:before="200"/>
              <w:pStyle w:val="ImageCaption"/>
            </w:pPr>
            <w:r>
              <w:t xml:space="preserve">Table 2: Bayesian comparisons of median auROCs by demographic subgroup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 auROC Difference</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Male vs Female</w:t>
                  </w:r>
                </w:p>
              </w:tc>
              <w:tc>
                <w:tcPr/>
                <w:p>
                  <w:pPr>
                    <w:pStyle w:val="Compact"/>
                    <w:jc w:val="left"/>
                    <w:jc w:val="center"/>
                  </w:pPr>
                  <w:r>
                    <w:t xml:space="preserve">0.017</w:t>
                  </w:r>
                </w:p>
              </w:tc>
              <w:tc>
                <w:tcPr/>
                <w:p>
                  <w:pPr>
                    <w:pStyle w:val="Compact"/>
                    <w:jc w:val="left"/>
                    <w:jc w:val="center"/>
                  </w:pPr>
                  <w:r>
                    <w:t xml:space="preserve">[-0.013, 0.048]</w:t>
                  </w:r>
                </w:p>
              </w:tc>
              <w:tc>
                <w:tcPr/>
                <w:p>
                  <w:pPr>
                    <w:pStyle w:val="Compact"/>
                    <w:jc w:val="left"/>
                    <w:jc w:val="center"/>
                  </w:pPr>
                  <w:r>
                    <w:t xml:space="preserve">0.169</w:t>
                  </w:r>
                </w:p>
              </w:tc>
            </w:tr>
            <w:tr>
              <w:tc>
                <w:tcPr/>
                <w:p>
                  <w:pPr>
                    <w:pStyle w:val="Compact"/>
                    <w:jc w:val="left"/>
                    <w:jc w:val="center"/>
                  </w:pPr>
                  <w:r>
                    <w:t xml:space="preserve">White/Caucasian vs Non-White and/or Hispanic</w:t>
                  </w:r>
                </w:p>
              </w:tc>
              <w:tc>
                <w:tcPr/>
                <w:p>
                  <w:pPr>
                    <w:pStyle w:val="Compact"/>
                    <w:jc w:val="left"/>
                    <w:jc w:val="center"/>
                  </w:pPr>
                  <w:r>
                    <w:t xml:space="preserve">0.039</w:t>
                  </w:r>
                </w:p>
              </w:tc>
              <w:tc>
                <w:tcPr/>
                <w:p>
                  <w:pPr>
                    <w:pStyle w:val="Compact"/>
                    <w:jc w:val="left"/>
                    <w:jc w:val="center"/>
                  </w:pPr>
                  <w:r>
                    <w:t xml:space="preserve">[-0.015, 0.094]</w:t>
                  </w:r>
                </w:p>
              </w:tc>
              <w:tc>
                <w:tcPr/>
                <w:p>
                  <w:pPr>
                    <w:pStyle w:val="Compact"/>
                    <w:jc w:val="left"/>
                    <w:jc w:val="center"/>
                  </w:pPr>
                  <w:r>
                    <w:t xml:space="preserve">0.119</w:t>
                  </w:r>
                </w:p>
              </w:tc>
            </w:tr>
            <w:tr>
              <w:tc>
                <w:tcPr/>
                <w:p>
                  <w:pPr>
                    <w:pStyle w:val="Compact"/>
                    <w:jc w:val="left"/>
                    <w:jc w:val="center"/>
                  </w:pPr>
                  <w:r>
                    <w:t xml:space="preserve">Above 2018 Poverty Line vs Below 2018 Poverty Line</w:t>
                  </w:r>
                </w:p>
              </w:tc>
              <w:tc>
                <w:tcPr/>
                <w:p>
                  <w:pPr>
                    <w:pStyle w:val="Compact"/>
                    <w:jc w:val="left"/>
                    <w:jc w:val="center"/>
                  </w:pPr>
                  <w:r>
                    <w:t xml:space="preserve">-0.016</w:t>
                  </w:r>
                </w:p>
              </w:tc>
              <w:tc>
                <w:tcPr/>
                <w:p>
                  <w:pPr>
                    <w:pStyle w:val="Compact"/>
                    <w:jc w:val="left"/>
                    <w:jc w:val="center"/>
                  </w:pPr>
                  <w:r>
                    <w:t xml:space="preserve">[-0.047, 0.014]</w:t>
                  </w:r>
                </w:p>
              </w:tc>
              <w:tc>
                <w:tcPr/>
                <w:p>
                  <w:pPr>
                    <w:pStyle w:val="Compact"/>
                    <w:jc w:val="left"/>
                    <w:jc w:val="center"/>
                  </w:pPr>
                  <w:r>
                    <w:t xml:space="preserve">0.810</w:t>
                  </w:r>
                </w:p>
              </w:tc>
            </w:tr>
            <w:tr>
              <w:tc>
                <w:tcPr/>
                <w:p>
                  <w:pPr>
                    <w:pStyle w:val="Compact"/>
                    <w:jc w:val="left"/>
                    <w:jc w:val="center"/>
                  </w:pPr>
                  <w:r>
                    <w:t xml:space="preserve">Younger than 55 vs Older than 55</w:t>
                  </w:r>
                </w:p>
              </w:tc>
              <w:tc>
                <w:tcPr/>
                <w:p>
                  <w:pPr>
                    <w:pStyle w:val="Compact"/>
                    <w:jc w:val="left"/>
                    <w:jc w:val="center"/>
                  </w:pPr>
                  <w:r>
                    <w:t xml:space="preserve">0.078</w:t>
                  </w:r>
                </w:p>
              </w:tc>
              <w:tc>
                <w:tcPr/>
                <w:p>
                  <w:pPr>
                    <w:pStyle w:val="Compact"/>
                    <w:jc w:val="left"/>
                    <w:jc w:val="center"/>
                  </w:pPr>
                  <w:r>
                    <w:t xml:space="preserve">[0.034, 0.125]</w:t>
                  </w:r>
                </w:p>
              </w:tc>
              <w:tc>
                <w:tcPr/>
                <w:p>
                  <w:pPr>
                    <w:pStyle w:val="Compact"/>
                    <w:jc w:val="left"/>
                    <w:jc w:val="center"/>
                  </w:pPr>
                  <w:r>
                    <w:t xml:space="preserve">0.002</w:t>
                  </w:r>
                </w:p>
              </w:tc>
            </w:tr>
            <w:tr>
              <w:tc>
                <w:tcPr/>
                <w:p>
                  <w:pPr>
                    <w:pStyle w:val="Compact"/>
                    <w:jc w:val="left"/>
                    <w:jc w:val="center"/>
                  </w:pPr>
                  <w:r>
                    <w:t xml:space="preserve">College or more vs Less than college</w:t>
                  </w:r>
                </w:p>
              </w:tc>
              <w:tc>
                <w:tcPr/>
                <w:p>
                  <w:pPr>
                    <w:pStyle w:val="Compact"/>
                    <w:jc w:val="left"/>
                    <w:jc w:val="center"/>
                  </w:pPr>
                  <w:r>
                    <w:t xml:space="preserve">-0.053</w:t>
                  </w:r>
                </w:p>
              </w:tc>
              <w:tc>
                <w:tcPr/>
                <w:p>
                  <w:pPr>
                    <w:pStyle w:val="Compact"/>
                    <w:jc w:val="left"/>
                    <w:jc w:val="center"/>
                  </w:pPr>
                  <w:r>
                    <w:t xml:space="preserve">[-0.087, -0.019]</w:t>
                  </w:r>
                </w:p>
              </w:tc>
              <w:tc>
                <w:tcPr/>
                <w:p>
                  <w:pPr>
                    <w:pStyle w:val="Compact"/>
                    <w:jc w:val="left"/>
                    <w:jc w:val="center"/>
                  </w:pPr>
                  <w:r>
                    <w:t xml:space="preserve">0.994</w:t>
                  </w:r>
                </w:p>
              </w:tc>
            </w:tr>
          </w:tbl>
          <w:bookmarkEnd w:id="50"/>
          <w:p/>
        </w:tc>
      </w:tr>
    </w:tbl>
    <w:p>
      <w:pPr>
        <w:pStyle w:val="BodyText"/>
      </w:pPr>
      <w:r>
        <w:rPr>
          <w:vertAlign w:val="subscript"/>
        </w:rPr>
        <w:t xml:space="preserve">Source:</w:t>
      </w:r>
      <w:r>
        <w:rPr>
          <w:vertAlign w:val="subscript"/>
        </w:rPr>
        <w:t xml:space="preserve"> </w:t>
      </w:r>
      <w:hyperlink r:id="rId51">
        <w:r>
          <w:rPr>
            <w:rStyle w:val="Hyperlink"/>
            <w:vertAlign w:val="subscript"/>
          </w:rPr>
          <w:t xml:space="preserve">Make Tables for GPS</w:t>
        </w:r>
      </w:hyperlink>
    </w:p>
    <w:p>
      <w:pPr>
        <w:pStyle w:val="BodyText"/>
      </w:pPr>
      <w:r>
        <w:t xml:space="preserve">To further characterize model fairness, we additionally assessed whether median mean log loss differed across these same demographic groups. Our results suggest that our model produces less accurate probabilities (i.e., higher log loss) for individuals who are below the poverty line compared to those above (probability = (1.00) and women compared to men (probability = (1.00) (</w:t>
      </w:r>
      <w:hyperlink w:anchor="fig-4">
        <w:r>
          <w:rPr>
            <w:rStyle w:val="Hyperlink"/>
          </w:rPr>
          <w:t xml:space="preserve">Figure 4</w:t>
        </w:r>
      </w:hyperlink>
      <w:r>
        <w:t xml:space="preserve">). A table of these comparisons can be seen in</w:t>
      </w:r>
      <w:r>
        <w:t xml:space="preserve"> </w:t>
      </w:r>
      <w:hyperlink w:anchor="tbl-3">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fig-4"/>
          <w:p>
            <w:pPr>
              <w:pStyle w:val="Compact"/>
              <w:jc w:val="center"/>
            </w:pPr>
            <w:r>
              <w:drawing>
                <wp:inline>
                  <wp:extent cx="5334000" cy="3810000"/>
                  <wp:effectExtent b="0" l="0" r="0" t="0"/>
                  <wp:docPr descr="" title="" id="53" name="Picture"/>
                  <a:graphic>
                    <a:graphicData uri="http://schemas.openxmlformats.org/drawingml/2006/picture">
                      <pic:pic>
                        <pic:nvPicPr>
                          <pic:cNvPr descr="index_files/figure-docx/notebooks-mak_figures-fig-4-output-1.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Bayesian comparisons of model performance by median mean Log Loss and median mean Log Loss difference.</w:t>
            </w:r>
          </w:p>
          <w:bookmarkEnd w:id="55"/>
        </w:tc>
      </w:tr>
    </w:tbl>
    <w:p>
      <w:pPr>
        <w:pStyle w:val="BodyText"/>
      </w:pPr>
      <w:r>
        <w:rPr>
          <w:vertAlign w:val="subscript"/>
        </w:rPr>
        <w:t xml:space="preserve">Source:</w:t>
      </w:r>
      <w:r>
        <w:rPr>
          <w:vertAlign w:val="subscript"/>
        </w:rPr>
        <w:t xml:space="preserve"> </w:t>
      </w:r>
      <w:hyperlink r:id="rId56">
        <w:r>
          <w:rPr>
            <w:rStyle w:val="Hyperlink"/>
            <w:vertAlign w:val="subscript"/>
          </w:rPr>
          <w:t xml:space="preserve">Make Figures for GPS</w:t>
        </w:r>
      </w:hyperlink>
    </w:p>
    <w:tbl>
      <w:tblPr>
        <w:tblStyle w:val="Table"/>
        <w:tblW w:type="pct" w:w="5000"/>
        <w:tblLayout w:type="fixed"/>
        <w:tblLook w:firstRow="0" w:lastRow="0" w:firstColumn="0" w:lastColumn="0" w:noHBand="0" w:noVBand="0" w:val="0000"/>
      </w:tblPr>
      <w:tblGrid>
        <w:gridCol w:w="7920"/>
      </w:tblGrid>
      <w:tr>
        <w:tc>
          <w:tcPr/>
          <w:bookmarkStart w:id="57" w:name="tbl-3"/>
          <w:p>
            <w:pPr>
              <w:jc w:val="center"/>
            </w:pPr>
            <w:pPr>
              <w:jc w:val="start"/>
              <w:spacing w:before="200"/>
              <w:pStyle w:val="ImageCaption"/>
            </w:pPr>
            <w:r>
              <w:t xml:space="preserve">Table 3: Bayesian comparisons of median mean Log Loss by demographic subgroup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 mean Log Loss Difference</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Male vs Female</w:t>
                  </w:r>
                </w:p>
              </w:tc>
              <w:tc>
                <w:tcPr/>
                <w:p>
                  <w:pPr>
                    <w:pStyle w:val="Compact"/>
                    <w:jc w:val="left"/>
                    <w:jc w:val="center"/>
                  </w:pPr>
                  <w:r>
                    <w:t xml:space="preserve">-0.057</w:t>
                  </w:r>
                </w:p>
              </w:tc>
              <w:tc>
                <w:tcPr/>
                <w:p>
                  <w:pPr>
                    <w:pStyle w:val="Compact"/>
                    <w:jc w:val="left"/>
                    <w:jc w:val="center"/>
                  </w:pPr>
                  <w:r>
                    <w:t xml:space="preserve">[-0.085, -0.03]</w:t>
                  </w:r>
                </w:p>
              </w:tc>
              <w:tc>
                <w:tcPr/>
                <w:p>
                  <w:pPr>
                    <w:pStyle w:val="Compact"/>
                    <w:jc w:val="left"/>
                    <w:jc w:val="center"/>
                  </w:pPr>
                  <w:r>
                    <w:t xml:space="preserve">1.000</w:t>
                  </w:r>
                </w:p>
              </w:tc>
            </w:tr>
            <w:tr>
              <w:tc>
                <w:tcPr/>
                <w:p>
                  <w:pPr>
                    <w:pStyle w:val="Compact"/>
                    <w:jc w:val="left"/>
                    <w:jc w:val="center"/>
                  </w:pPr>
                  <w:r>
                    <w:t xml:space="preserve">White/Caucasian vs Non-White and/or Hispanic</w:t>
                  </w:r>
                </w:p>
              </w:tc>
              <w:tc>
                <w:tcPr/>
                <w:p>
                  <w:pPr>
                    <w:pStyle w:val="Compact"/>
                    <w:jc w:val="left"/>
                    <w:jc w:val="center"/>
                  </w:pPr>
                  <w:r>
                    <w:t xml:space="preserve">0.052</w:t>
                  </w:r>
                </w:p>
              </w:tc>
              <w:tc>
                <w:tcPr/>
                <w:p>
                  <w:pPr>
                    <w:pStyle w:val="Compact"/>
                    <w:jc w:val="left"/>
                    <w:jc w:val="center"/>
                  </w:pPr>
                  <w:r>
                    <w:t xml:space="preserve">[0, 0.103]</w:t>
                  </w:r>
                </w:p>
              </w:tc>
              <w:tc>
                <w:tcPr/>
                <w:p>
                  <w:pPr>
                    <w:pStyle w:val="Compact"/>
                    <w:jc w:val="left"/>
                    <w:jc w:val="center"/>
                  </w:pPr>
                  <w:r>
                    <w:t xml:space="preserve">0.051</w:t>
                  </w:r>
                </w:p>
              </w:tc>
            </w:tr>
            <w:tr>
              <w:tc>
                <w:tcPr/>
                <w:p>
                  <w:pPr>
                    <w:pStyle w:val="Compact"/>
                    <w:jc w:val="left"/>
                    <w:jc w:val="center"/>
                  </w:pPr>
                  <w:r>
                    <w:t xml:space="preserve">Above 2018 Poverty Line vs Below 2018 Poverty Line</w:t>
                  </w:r>
                </w:p>
              </w:tc>
              <w:tc>
                <w:tcPr/>
                <w:p>
                  <w:pPr>
                    <w:pStyle w:val="Compact"/>
                    <w:jc w:val="left"/>
                    <w:jc w:val="center"/>
                  </w:pPr>
                  <w:r>
                    <w:t xml:space="preserve">-0.05</w:t>
                  </w:r>
                </w:p>
              </w:tc>
              <w:tc>
                <w:tcPr/>
                <w:p>
                  <w:pPr>
                    <w:pStyle w:val="Compact"/>
                    <w:jc w:val="left"/>
                    <w:jc w:val="center"/>
                  </w:pPr>
                  <w:r>
                    <w:t xml:space="preserve">[-0.074, -0.027]</w:t>
                  </w:r>
                </w:p>
              </w:tc>
              <w:tc>
                <w:tcPr/>
                <w:p>
                  <w:pPr>
                    <w:pStyle w:val="Compact"/>
                    <w:jc w:val="left"/>
                    <w:jc w:val="center"/>
                  </w:pPr>
                  <w:r>
                    <w:t xml:space="preserve">1.000</w:t>
                  </w:r>
                </w:p>
              </w:tc>
            </w:tr>
            <w:tr>
              <w:tc>
                <w:tcPr/>
                <w:p>
                  <w:pPr>
                    <w:pStyle w:val="Compact"/>
                    <w:jc w:val="left"/>
                    <w:jc w:val="center"/>
                  </w:pPr>
                  <w:r>
                    <w:t xml:space="preserve">Younger than 55 vs Older than 55</w:t>
                  </w:r>
                </w:p>
              </w:tc>
              <w:tc>
                <w:tcPr/>
                <w:p>
                  <w:pPr>
                    <w:pStyle w:val="Compact"/>
                    <w:jc w:val="left"/>
                    <w:jc w:val="center"/>
                  </w:pPr>
                  <w:r>
                    <w:t xml:space="preserve">-0.028</w:t>
                  </w:r>
                </w:p>
              </w:tc>
              <w:tc>
                <w:tcPr/>
                <w:p>
                  <w:pPr>
                    <w:pStyle w:val="Compact"/>
                    <w:jc w:val="left"/>
                    <w:jc w:val="center"/>
                  </w:pPr>
                  <w:r>
                    <w:t xml:space="preserve">[-0.079, 0.022]</w:t>
                  </w:r>
                </w:p>
              </w:tc>
              <w:tc>
                <w:tcPr/>
                <w:p>
                  <w:pPr>
                    <w:pStyle w:val="Compact"/>
                    <w:jc w:val="left"/>
                    <w:jc w:val="center"/>
                  </w:pPr>
                  <w:r>
                    <w:t xml:space="preserve">0.819</w:t>
                  </w:r>
                </w:p>
              </w:tc>
            </w:tr>
            <w:tr>
              <w:tc>
                <w:tcPr/>
                <w:p>
                  <w:pPr>
                    <w:pStyle w:val="Compact"/>
                    <w:jc w:val="left"/>
                    <w:jc w:val="center"/>
                  </w:pPr>
                  <w:r>
                    <w:t xml:space="preserve">College or more vs Less than college</w:t>
                  </w:r>
                </w:p>
              </w:tc>
              <w:tc>
                <w:tcPr/>
                <w:p>
                  <w:pPr>
                    <w:pStyle w:val="Compact"/>
                    <w:jc w:val="left"/>
                    <w:jc w:val="center"/>
                  </w:pPr>
                  <w:r>
                    <w:t xml:space="preserve">0.019</w:t>
                  </w:r>
                </w:p>
              </w:tc>
              <w:tc>
                <w:tcPr/>
                <w:p>
                  <w:pPr>
                    <w:pStyle w:val="Compact"/>
                    <w:jc w:val="left"/>
                    <w:jc w:val="center"/>
                  </w:pPr>
                  <w:r>
                    <w:t xml:space="preserve">[-0.004, 0.043]</w:t>
                  </w:r>
                </w:p>
              </w:tc>
              <w:tc>
                <w:tcPr/>
                <w:p>
                  <w:pPr>
                    <w:pStyle w:val="Compact"/>
                    <w:jc w:val="left"/>
                    <w:jc w:val="center"/>
                  </w:pPr>
                  <w:r>
                    <w:t xml:space="preserve">0.087</w:t>
                  </w:r>
                </w:p>
              </w:tc>
            </w:tr>
          </w:tbl>
          <w:bookmarkEnd w:id="57"/>
          <w:p/>
        </w:tc>
      </w:tr>
    </w:tbl>
    <w:p>
      <w:pPr>
        <w:pStyle w:val="BodyText"/>
      </w:pPr>
      <w:r>
        <w:rPr>
          <w:vertAlign w:val="subscript"/>
        </w:rPr>
        <w:t xml:space="preserve">Source:</w:t>
      </w:r>
      <w:r>
        <w:rPr>
          <w:vertAlign w:val="subscript"/>
        </w:rPr>
        <w:t xml:space="preserve"> </w:t>
      </w:r>
      <w:hyperlink r:id="rId58">
        <w:r>
          <w:rPr>
            <w:rStyle w:val="Hyperlink"/>
            <w:vertAlign w:val="subscript"/>
          </w:rPr>
          <w:t xml:space="preserve">Make Tables for GPS</w:t>
        </w:r>
      </w:hyperlink>
    </w:p>
    <w:bookmarkEnd w:id="59"/>
    <w:bookmarkStart w:id="74" w:name="calibration-and-skill-scores"/>
    <w:p>
      <w:pPr>
        <w:pStyle w:val="Heading3"/>
      </w:pPr>
      <w:r>
        <w:t xml:space="preserve">Calibration and Skill Scores</w:t>
      </w:r>
    </w:p>
    <w:p>
      <w:pPr>
        <w:pStyle w:val="FirstParagraph"/>
      </w:pPr>
      <w:r>
        <w:t xml:space="preserve">The best model configuration produced relatively well-calibrated probabilities which were clustered around the observed lapse rate. We present a calibration plot collapsed across all folds in</w:t>
      </w:r>
      <w:r>
        <w:t xml:space="preserve"> </w:t>
      </w:r>
      <w:hyperlink w:anchor="fig-5">
        <w:r>
          <w:rPr>
            <w:rStyle w:val="Hyperlink"/>
          </w:rPr>
          <w:t xml:space="preserve">Figure 5</w:t>
        </w:r>
      </w:hyperlink>
      <w:r>
        <w:t xml:space="preserve">. The number of observations in each bin are presented in</w:t>
      </w:r>
      <w:r>
        <w:t xml:space="preserve"> </w:t>
      </w:r>
      <w:hyperlink w:anchor="tbl-4">
        <w:r>
          <w:rPr>
            <w:rStyle w:val="Hyperlink"/>
          </w:rPr>
          <w:t xml:space="preserve">Table 4</w:t>
        </w:r>
      </w:hyperlink>
      <w:r>
        <w:t xml:space="preserve">. We provide calibration plots and raw probability distributions separated by fold, along with a table displaying the number of observation in each bin, in</w:t>
      </w:r>
      <w:r>
        <w:t xml:space="preserve"> </w:t>
      </w:r>
      <w:hyperlink w:anchor="fig-6">
        <w:r>
          <w:rPr>
            <w:rStyle w:val="Hyperlink"/>
          </w:rPr>
          <w:t xml:space="preserve">Figure 6</w:t>
        </w:r>
      </w:hyperlink>
      <w:r>
        <w:t xml:space="preserve"> </w:t>
      </w:r>
      <w:r>
        <w:t xml:space="preserve">and</w:t>
      </w:r>
      <w:r>
        <w:t xml:space="preserve"> </w:t>
      </w:r>
      <w:hyperlink w:anchor="tbl-5">
        <w:r>
          <w:rPr>
            <w:rStyle w:val="Hyperlink"/>
          </w:rPr>
          <w:t xml:space="preserve">Table 5</w:t>
        </w:r>
      </w:hyperlink>
      <w:r>
        <w:t xml:space="preserve"> </w:t>
      </w:r>
      <w:r>
        <w:t xml:space="preserve">in the supplement.</w:t>
      </w:r>
      <w:r>
        <w:t xml:space="preserve"> </w:t>
      </w:r>
      <w:r>
        <w:t xml:space="preserve"> </w:t>
      </w:r>
      <w:r>
        <w:t xml:space="preserve">For fidelity, bins with less than 50 observations are</w:t>
      </w:r>
      <w:r>
        <w:t xml:space="preserve"> </w:t>
      </w:r>
      <w:r>
        <w:rPr>
          <w:i/>
          <w:iCs/>
        </w:rPr>
        <w:t xml:space="preserve">not</w:t>
      </w:r>
      <w:r>
        <w:t xml:space="preserve"> </w:t>
      </w:r>
      <w:r>
        <w:t xml:space="preserve">included in the presented figures, but are available for reference in all tables.</w:t>
      </w:r>
    </w:p>
    <w:tbl>
      <w:tblPr>
        <w:tblStyle w:val="Table"/>
        <w:tblW w:type="pct" w:w="5000"/>
        <w:tblLayout w:type="fixed"/>
        <w:tblLook w:firstRow="0" w:lastRow="0" w:firstColumn="0" w:lastColumn="0" w:noHBand="0" w:noVBand="0" w:val="0000"/>
      </w:tblPr>
      <w:tblGrid>
        <w:gridCol w:w="7920"/>
      </w:tblGrid>
      <w:tr>
        <w:tc>
          <w:tcPr/>
          <w:bookmarkStart w:id="63" w:name="fig-5"/>
          <w:p>
            <w:pPr>
              <w:pStyle w:val="Compact"/>
              <w:jc w:val="center"/>
            </w:pPr>
            <w:r>
              <w:drawing>
                <wp:inline>
                  <wp:extent cx="5334000" cy="3810000"/>
                  <wp:effectExtent b="0" l="0" r="0" t="0"/>
                  <wp:docPr descr="" title="" id="61" name="Picture"/>
                  <a:graphic>
                    <a:graphicData uri="http://schemas.openxmlformats.org/drawingml/2006/picture">
                      <pic:pic>
                        <pic:nvPicPr>
                          <pic:cNvPr descr="index_files/figure-docx/notebooks-mak_figures-fig-5-output-1.png" id="62" name="Picture"/>
                          <pic:cNvPicPr>
                            <a:picLocks noChangeArrowheads="1" noChangeAspect="1"/>
                          </pic:cNvPicPr>
                        </pic:nvPicPr>
                        <pic:blipFill>
                          <a:blip r:embed="rId6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Calibration plot collapsd across folds (bins have N &gt;= 50 observations).</w:t>
            </w:r>
          </w:p>
          <w:bookmarkEnd w:id="63"/>
        </w:tc>
      </w:tr>
    </w:tbl>
    <w:p>
      <w:pPr>
        <w:pStyle w:val="BodyText"/>
      </w:pPr>
      <w:r>
        <w:rPr>
          <w:vertAlign w:val="subscript"/>
        </w:rPr>
        <w:t xml:space="preserve">Source:</w:t>
      </w:r>
      <w:r>
        <w:rPr>
          <w:vertAlign w:val="subscript"/>
        </w:rPr>
        <w:t xml:space="preserve"> </w:t>
      </w:r>
      <w:hyperlink r:id="rId64">
        <w:r>
          <w:rPr>
            <w:rStyle w:val="Hyperlink"/>
            <w:vertAlign w:val="subscript"/>
          </w:rPr>
          <w:t xml:space="preserve">Make Figures for GPS</w:t>
        </w:r>
      </w:hyperlink>
    </w:p>
    <w:tbl>
      <w:tblPr>
        <w:tblStyle w:val="Table"/>
        <w:tblW w:type="pct" w:w="5000"/>
        <w:tblLayout w:type="fixed"/>
        <w:tblLook w:firstRow="0" w:lastRow="0" w:firstColumn="0" w:lastColumn="0" w:noHBand="0" w:noVBand="0" w:val="0000"/>
      </w:tblPr>
      <w:tblGrid>
        <w:gridCol w:w="7920"/>
      </w:tblGrid>
      <w:tr>
        <w:tc>
          <w:tcPr/>
          <w:bookmarkStart w:id="65" w:name="tbl-4"/>
          <w:p>
            <w:pPr>
              <w:jc w:val="center"/>
            </w:pPr>
            <w:pPr>
              <w:jc w:val="start"/>
              <w:spacing w:before="200"/>
              <w:pStyle w:val="ImageCaption"/>
            </w:pPr>
            <w:r>
              <w:t xml:space="preserve">Table 4: Bayesian comparisons of median mean Log Loss by demographic subgroup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Bin width</w:t>
                  </w:r>
                </w:p>
              </w:tc>
              <w:tc>
                <w:tcPr/>
                <w:p>
                  <w:pPr>
                    <w:pStyle w:val="Compact"/>
                    <w:jc w:val="right"/>
                    <w:jc w:val="center"/>
                  </w:pPr>
                  <w:r>
                    <w:t xml:space="preserve">Mean Probability of Lapse</w:t>
                  </w:r>
                </w:p>
              </w:tc>
              <w:tc>
                <w:tcPr/>
                <w:p>
                  <w:pPr>
                    <w:pStyle w:val="Compact"/>
                    <w:jc w:val="right"/>
                    <w:jc w:val="center"/>
                  </w:pPr>
                  <w:r>
                    <w:t xml:space="preserve">Mean Lapse Percentage</w:t>
                  </w:r>
                </w:p>
              </w:tc>
              <w:tc>
                <w:tcPr/>
                <w:p>
                  <w:pPr>
                    <w:pStyle w:val="Compact"/>
                    <w:jc w:val="right"/>
                    <w:jc w:val="center"/>
                  </w:pPr>
                  <w:r>
                    <w:t xml:space="preserve">Count</w:t>
                  </w:r>
                </w:p>
              </w:tc>
            </w:tr>
            <w:tr>
              <w:tc>
                <w:tcPr/>
                <w:p>
                  <w:pPr>
                    <w:pStyle w:val="Compact"/>
                    <w:jc w:val="left"/>
                    <w:jc w:val="center"/>
                  </w:pPr>
                  <w:r>
                    <w:t xml:space="preserve">(0,0.1]</w:t>
                  </w:r>
                </w:p>
              </w:tc>
              <w:tc>
                <w:tcPr/>
                <w:p>
                  <w:pPr>
                    <w:pStyle w:val="Compact"/>
                    <w:jc w:val="right"/>
                    <w:jc w:val="center"/>
                  </w:pPr>
                  <w:r>
                    <w:t xml:space="preserve">6.4</w:t>
                  </w:r>
                </w:p>
              </w:tc>
              <w:tc>
                <w:tcPr/>
                <w:p>
                  <w:pPr>
                    <w:pStyle w:val="Compact"/>
                    <w:jc w:val="right"/>
                    <w:jc w:val="center"/>
                  </w:pPr>
                  <w:r>
                    <w:t xml:space="preserve">4.9</w:t>
                  </w:r>
                </w:p>
              </w:tc>
              <w:tc>
                <w:tcPr/>
                <w:p>
                  <w:pPr>
                    <w:pStyle w:val="Compact"/>
                    <w:jc w:val="right"/>
                    <w:jc w:val="center"/>
                  </w:pPr>
                  <w:r>
                    <w:t xml:space="preserve">52192</w:t>
                  </w:r>
                </w:p>
              </w:tc>
            </w:tr>
            <w:tr>
              <w:tc>
                <w:tcPr/>
                <w:p>
                  <w:pPr>
                    <w:pStyle w:val="Compact"/>
                    <w:jc w:val="left"/>
                    <w:jc w:val="center"/>
                  </w:pPr>
                  <w:r>
                    <w:t xml:space="preserve">(0.1,0.2]</w:t>
                  </w:r>
                </w:p>
              </w:tc>
              <w:tc>
                <w:tcPr/>
                <w:p>
                  <w:pPr>
                    <w:pStyle w:val="Compact"/>
                    <w:jc w:val="right"/>
                    <w:jc w:val="center"/>
                  </w:pPr>
                  <w:r>
                    <w:t xml:space="preserve">12.8</w:t>
                  </w:r>
                </w:p>
              </w:tc>
              <w:tc>
                <w:tcPr/>
                <w:p>
                  <w:pPr>
                    <w:pStyle w:val="Compact"/>
                    <w:jc w:val="right"/>
                    <w:jc w:val="center"/>
                  </w:pPr>
                  <w:r>
                    <w:t xml:space="preserve">14.9</w:t>
                  </w:r>
                </w:p>
              </w:tc>
              <w:tc>
                <w:tcPr/>
                <w:p>
                  <w:pPr>
                    <w:pStyle w:val="Compact"/>
                    <w:jc w:val="right"/>
                    <w:jc w:val="center"/>
                  </w:pPr>
                  <w:r>
                    <w:t xml:space="preserve">15771</w:t>
                  </w:r>
                </w:p>
              </w:tc>
            </w:tr>
            <w:tr>
              <w:tc>
                <w:tcPr/>
                <w:p>
                  <w:pPr>
                    <w:pStyle w:val="Compact"/>
                    <w:jc w:val="left"/>
                    <w:jc w:val="center"/>
                  </w:pPr>
                  <w:r>
                    <w:t xml:space="preserve">(0.2,0.3]</w:t>
                  </w:r>
                </w:p>
              </w:tc>
              <w:tc>
                <w:tcPr/>
                <w:p>
                  <w:pPr>
                    <w:pStyle w:val="Compact"/>
                    <w:jc w:val="right"/>
                    <w:jc w:val="center"/>
                  </w:pPr>
                  <w:r>
                    <w:t xml:space="preserve">23.1</w:t>
                  </w:r>
                </w:p>
              </w:tc>
              <w:tc>
                <w:tcPr/>
                <w:p>
                  <w:pPr>
                    <w:pStyle w:val="Compact"/>
                    <w:jc w:val="right"/>
                    <w:jc w:val="center"/>
                  </w:pPr>
                  <w:r>
                    <w:t xml:space="preserve">23.6</w:t>
                  </w:r>
                </w:p>
              </w:tc>
              <w:tc>
                <w:tcPr/>
                <w:p>
                  <w:pPr>
                    <w:pStyle w:val="Compact"/>
                    <w:jc w:val="right"/>
                    <w:jc w:val="center"/>
                  </w:pPr>
                  <w:r>
                    <w:t xml:space="preserve">606</w:t>
                  </w:r>
                </w:p>
              </w:tc>
            </w:tr>
            <w:tr>
              <w:tc>
                <w:tcPr/>
                <w:p>
                  <w:pPr>
                    <w:pStyle w:val="Compact"/>
                    <w:jc w:val="left"/>
                    <w:jc w:val="center"/>
                  </w:pPr>
                  <w:r>
                    <w:t xml:space="preserve">(0.3,0.4]</w:t>
                  </w:r>
                </w:p>
              </w:tc>
              <w:tc>
                <w:tcPr/>
                <w:p>
                  <w:pPr>
                    <w:pStyle w:val="Compact"/>
                    <w:jc w:val="right"/>
                    <w:jc w:val="center"/>
                  </w:pPr>
                  <w:r>
                    <w:t xml:space="preserve">32.3</w:t>
                  </w:r>
                </w:p>
              </w:tc>
              <w:tc>
                <w:tcPr/>
                <w:p>
                  <w:pPr>
                    <w:pStyle w:val="Compact"/>
                    <w:jc w:val="right"/>
                    <w:jc w:val="center"/>
                  </w:pPr>
                  <w:r>
                    <w:t xml:space="preserve">21.7</w:t>
                  </w:r>
                </w:p>
              </w:tc>
              <w:tc>
                <w:tcPr/>
                <w:p>
                  <w:pPr>
                    <w:pStyle w:val="Compact"/>
                    <w:jc w:val="right"/>
                    <w:jc w:val="center"/>
                  </w:pPr>
                  <w:r>
                    <w:t xml:space="preserve">46</w:t>
                  </w:r>
                </w:p>
              </w:tc>
            </w:tr>
            <w:tr>
              <w:tc>
                <w:tcPr/>
                <w:p>
                  <w:pPr>
                    <w:pStyle w:val="Compact"/>
                    <w:jc w:val="left"/>
                    <w:jc w:val="center"/>
                  </w:pPr>
                  <w:r>
                    <w:t xml:space="preserve">(0.4,0.5]</w:t>
                  </w:r>
                </w:p>
              </w:tc>
              <w:tc>
                <w:tcPr/>
                <w:p>
                  <w:pPr>
                    <w:pStyle w:val="Compact"/>
                    <w:jc w:val="right"/>
                    <w:jc w:val="center"/>
                  </w:pPr>
                  <w:r>
                    <w:t xml:space="preserve">40.0</w:t>
                  </w:r>
                </w:p>
              </w:tc>
              <w:tc>
                <w:tcPr/>
                <w:p>
                  <w:pPr>
                    <w:pStyle w:val="Compact"/>
                    <w:jc w:val="right"/>
                    <w:jc w:val="center"/>
                  </w:pPr>
                  <w:r>
                    <w:t xml:space="preserve">0.0</w:t>
                  </w:r>
                </w:p>
              </w:tc>
              <w:tc>
                <w:tcPr/>
                <w:p>
                  <w:pPr>
                    <w:pStyle w:val="Compact"/>
                    <w:jc w:val="right"/>
                    <w:jc w:val="center"/>
                  </w:pPr>
                  <w:r>
                    <w:t xml:space="preserve">1</w:t>
                  </w:r>
                </w:p>
              </w:tc>
            </w:tr>
          </w:tbl>
          <w:bookmarkEnd w:id="65"/>
          <w:p/>
        </w:tc>
      </w:tr>
    </w:tbl>
    <w:p>
      <w:pPr>
        <w:pStyle w:val="BodyText"/>
      </w:pPr>
      <w:r>
        <w:rPr>
          <w:vertAlign w:val="subscript"/>
        </w:rPr>
        <w:t xml:space="preserve">Source:</w:t>
      </w:r>
      <w:r>
        <w:rPr>
          <w:vertAlign w:val="subscript"/>
        </w:rPr>
        <w:t xml:space="preserve"> </w:t>
      </w:r>
      <w:hyperlink r:id="rId66">
        <w:r>
          <w:rPr>
            <w:rStyle w:val="Hyperlink"/>
            <w:vertAlign w:val="subscript"/>
          </w:rPr>
          <w:t xml:space="preserve">Make Tables for GPS</w:t>
        </w:r>
      </w:hyperlink>
    </w:p>
    <w:tbl>
      <w:tblPr>
        <w:tblStyle w:val="Table"/>
        <w:tblW w:type="pct" w:w="5000"/>
        <w:tblLayout w:type="fixed"/>
        <w:tblLook w:firstRow="0" w:lastRow="0" w:firstColumn="0" w:lastColumn="0" w:noHBand="0" w:noVBand="0" w:val="0000"/>
      </w:tblPr>
      <w:tblGrid>
        <w:gridCol w:w="7920"/>
      </w:tblGrid>
      <w:tr>
        <w:tc>
          <w:tcPr/>
          <w:bookmarkStart w:id="70" w:name="fig-6"/>
          <w:p>
            <w:pPr>
              <w:pStyle w:val="Compact"/>
              <w:jc w:val="center"/>
            </w:pPr>
            <w:r>
              <w:drawing>
                <wp:inline>
                  <wp:extent cx="5334000" cy="3810000"/>
                  <wp:effectExtent b="0" l="0" r="0" t="0"/>
                  <wp:docPr descr="" title="" id="68" name="Picture"/>
                  <a:graphic>
                    <a:graphicData uri="http://schemas.openxmlformats.org/drawingml/2006/picture">
                      <pic:pic>
                        <pic:nvPicPr>
                          <pic:cNvPr descr="index_files/figure-docx/notebooks-mak_figures-fig-6-output-1.png" id="69" name="Picture"/>
                          <pic:cNvPicPr>
                            <a:picLocks noChangeArrowheads="1" noChangeAspect="1"/>
                          </pic:cNvPicPr>
                        </pic:nvPicPr>
                        <pic:blipFill>
                          <a:blip r:embed="rId6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Raw probabilities displayed by fold, as shown by plotting predicted and observed lapse probabilities (A) and a histogram of predicted lapse probabilities (B).</w:t>
            </w:r>
          </w:p>
          <w:bookmarkEnd w:id="70"/>
        </w:tc>
      </w:tr>
    </w:tbl>
    <w:p>
      <w:pPr>
        <w:pStyle w:val="BodyText"/>
      </w:pPr>
      <w:r>
        <w:rPr>
          <w:vertAlign w:val="subscript"/>
        </w:rPr>
        <w:t xml:space="preserve">Source:</w:t>
      </w:r>
      <w:r>
        <w:rPr>
          <w:vertAlign w:val="subscript"/>
        </w:rPr>
        <w:t xml:space="preserve"> </w:t>
      </w:r>
      <w:hyperlink r:id="rId71">
        <w:r>
          <w:rPr>
            <w:rStyle w:val="Hyperlink"/>
            <w:vertAlign w:val="subscript"/>
          </w:rPr>
          <w:t xml:space="preserve">Make Figures for GPS</w:t>
        </w:r>
      </w:hyperlink>
    </w:p>
    <w:tbl>
      <w:tblPr>
        <w:tblStyle w:val="Table"/>
        <w:tblW w:type="pct" w:w="5000"/>
        <w:tblLayout w:type="fixed"/>
        <w:tblLook w:firstRow="0" w:lastRow="0" w:firstColumn="0" w:lastColumn="0" w:noHBand="0" w:noVBand="0" w:val="0000"/>
      </w:tblPr>
      <w:tblGrid>
        <w:gridCol w:w="7920"/>
      </w:tblGrid>
      <w:tr>
        <w:tc>
          <w:tcPr/>
          <w:bookmarkStart w:id="72" w:name="tbl-5"/>
          <w:p>
            <w:pPr>
              <w:jc w:val="center"/>
            </w:pPr>
            <w:pPr>
              <w:jc w:val="start"/>
              <w:spacing w:before="200"/>
              <w:pStyle w:val="ImageCaption"/>
            </w:pPr>
            <w:r>
              <w:t xml:space="preserve">Table 5: Bayesian comparisons of median mean Log Loss by demographic subgroup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Bin width</w:t>
                  </w:r>
                </w:p>
              </w:tc>
              <w:tc>
                <w:tcPr/>
                <w:p>
                  <w:pPr>
                    <w:pStyle w:val="Compact"/>
                    <w:jc w:val="right"/>
                    <w:jc w:val="center"/>
                  </w:pPr>
                  <w:r>
                    <w:t xml:space="preserve">Fold</w:t>
                  </w:r>
                </w:p>
              </w:tc>
              <w:tc>
                <w:tcPr/>
                <w:p>
                  <w:pPr>
                    <w:pStyle w:val="Compact"/>
                    <w:jc w:val="right"/>
                    <w:jc w:val="center"/>
                  </w:pPr>
                  <w:r>
                    <w:t xml:space="preserve">Mean Probability of Lapse</w:t>
                  </w:r>
                </w:p>
              </w:tc>
              <w:tc>
                <w:tcPr/>
                <w:p>
                  <w:pPr>
                    <w:pStyle w:val="Compact"/>
                    <w:jc w:val="right"/>
                    <w:jc w:val="center"/>
                  </w:pPr>
                  <w:r>
                    <w:t xml:space="preserve">Mean Lapse Percentage</w:t>
                  </w:r>
                </w:p>
              </w:tc>
              <w:tc>
                <w:tcPr/>
                <w:p>
                  <w:pPr>
                    <w:pStyle w:val="Compact"/>
                    <w:jc w:val="right"/>
                    <w:jc w:val="center"/>
                  </w:pPr>
                  <w:r>
                    <w:t xml:space="preserve">Count</w:t>
                  </w:r>
                </w:p>
              </w:tc>
            </w:tr>
            <w:tr>
              <w:tc>
                <w:tcPr/>
                <w:p>
                  <w:pPr>
                    <w:pStyle w:val="Compact"/>
                    <w:jc w:val="left"/>
                    <w:jc w:val="center"/>
                  </w:pPr>
                  <w:r>
                    <w:t xml:space="preserve">(0,0.1]</w:t>
                  </w:r>
                </w:p>
              </w:tc>
              <w:tc>
                <w:tcPr/>
                <w:p>
                  <w:pPr>
                    <w:pStyle w:val="Compact"/>
                    <w:jc w:val="right"/>
                    <w:jc w:val="center"/>
                  </w:pPr>
                  <w:r>
                    <w:t xml:space="preserve">1</w:t>
                  </w:r>
                </w:p>
              </w:tc>
              <w:tc>
                <w:tcPr/>
                <w:p>
                  <w:pPr>
                    <w:pStyle w:val="Compact"/>
                    <w:jc w:val="right"/>
                    <w:jc w:val="center"/>
                  </w:pPr>
                  <w:r>
                    <w:t xml:space="preserve">6.5</w:t>
                  </w:r>
                </w:p>
              </w:tc>
              <w:tc>
                <w:tcPr/>
                <w:p>
                  <w:pPr>
                    <w:pStyle w:val="Compact"/>
                    <w:jc w:val="right"/>
                    <w:jc w:val="center"/>
                  </w:pPr>
                  <w:r>
                    <w:t xml:space="preserve">5.1</w:t>
                  </w:r>
                </w:p>
              </w:tc>
              <w:tc>
                <w:tcPr/>
                <w:p>
                  <w:pPr>
                    <w:pStyle w:val="Compact"/>
                    <w:jc w:val="right"/>
                    <w:jc w:val="center"/>
                  </w:pPr>
                  <w:r>
                    <w:t xml:space="preserve">1975</w:t>
                  </w:r>
                </w:p>
              </w:tc>
            </w:tr>
            <w:tr>
              <w:tc>
                <w:tcPr/>
                <w:p>
                  <w:pPr>
                    <w:pStyle w:val="Compact"/>
                    <w:jc w:val="left"/>
                    <w:jc w:val="center"/>
                  </w:pPr>
                  <w:r>
                    <w:t xml:space="preserve">(0.1,0.2]</w:t>
                  </w:r>
                </w:p>
              </w:tc>
              <w:tc>
                <w:tcPr/>
                <w:p>
                  <w:pPr>
                    <w:pStyle w:val="Compact"/>
                    <w:jc w:val="right"/>
                    <w:jc w:val="center"/>
                  </w:pPr>
                  <w:r>
                    <w:t xml:space="preserve">1</w:t>
                  </w:r>
                </w:p>
              </w:tc>
              <w:tc>
                <w:tcPr/>
                <w:p>
                  <w:pPr>
                    <w:pStyle w:val="Compact"/>
                    <w:jc w:val="right"/>
                    <w:jc w:val="center"/>
                  </w:pPr>
                  <w:r>
                    <w:t xml:space="preserve">12.2</w:t>
                  </w:r>
                </w:p>
              </w:tc>
              <w:tc>
                <w:tcPr/>
                <w:p>
                  <w:pPr>
                    <w:pStyle w:val="Compact"/>
                    <w:jc w:val="right"/>
                    <w:jc w:val="center"/>
                  </w:pPr>
                  <w:r>
                    <w:t xml:space="preserve">13.8</w:t>
                  </w:r>
                </w:p>
              </w:tc>
              <w:tc>
                <w:tcPr/>
                <w:p>
                  <w:pPr>
                    <w:pStyle w:val="Compact"/>
                    <w:jc w:val="right"/>
                    <w:jc w:val="center"/>
                  </w:pPr>
                  <w:r>
                    <w:t xml:space="preserve">356</w:t>
                  </w:r>
                </w:p>
              </w:tc>
            </w:tr>
            <w:tr>
              <w:tc>
                <w:tcPr/>
                <w:p>
                  <w:pPr>
                    <w:pStyle w:val="Compact"/>
                    <w:jc w:val="left"/>
                    <w:jc w:val="center"/>
                  </w:pPr>
                  <w:r>
                    <w:t xml:space="preserve">(0.2,0.3]</w:t>
                  </w:r>
                </w:p>
              </w:tc>
              <w:tc>
                <w:tcPr/>
                <w:p>
                  <w:pPr>
                    <w:pStyle w:val="Compact"/>
                    <w:jc w:val="right"/>
                    <w:jc w:val="center"/>
                  </w:pPr>
                  <w:r>
                    <w:t xml:space="preserve">1</w:t>
                  </w:r>
                </w:p>
              </w:tc>
              <w:tc>
                <w:tcPr/>
                <w:p>
                  <w:pPr>
                    <w:pStyle w:val="Compact"/>
                    <w:jc w:val="right"/>
                    <w:jc w:val="center"/>
                  </w:pPr>
                  <w:r>
                    <w:t xml:space="preserve">23.6</w:t>
                  </w:r>
                </w:p>
              </w:tc>
              <w:tc>
                <w:tcPr/>
                <w:p>
                  <w:pPr>
                    <w:pStyle w:val="Compact"/>
                    <w:jc w:val="right"/>
                    <w:jc w:val="center"/>
                  </w:pPr>
                  <w:r>
                    <w:t xml:space="preserve">0.0</w:t>
                  </w:r>
                </w:p>
              </w:tc>
              <w:tc>
                <w:tcPr/>
                <w:p>
                  <w:pPr>
                    <w:pStyle w:val="Compact"/>
                    <w:jc w:val="right"/>
                    <w:jc w:val="center"/>
                  </w:pPr>
                  <w:r>
                    <w:t xml:space="preserve">1</w:t>
                  </w:r>
                </w:p>
              </w:tc>
            </w:tr>
            <w:tr>
              <w:tc>
                <w:tcPr/>
                <w:p>
                  <w:pPr>
                    <w:pStyle w:val="Compact"/>
                    <w:jc w:val="left"/>
                    <w:jc w:val="center"/>
                  </w:pPr>
                  <w:r>
                    <w:t xml:space="preserve">(0,0.1]</w:t>
                  </w:r>
                </w:p>
              </w:tc>
              <w:tc>
                <w:tcPr/>
                <w:p>
                  <w:pPr>
                    <w:pStyle w:val="Compact"/>
                    <w:jc w:val="right"/>
                    <w:jc w:val="center"/>
                  </w:pPr>
                  <w:r>
                    <w:t xml:space="preserve">2</w:t>
                  </w:r>
                </w:p>
              </w:tc>
              <w:tc>
                <w:tcPr/>
                <w:p>
                  <w:pPr>
                    <w:pStyle w:val="Compact"/>
                    <w:jc w:val="right"/>
                    <w:jc w:val="center"/>
                  </w:pPr>
                  <w:r>
                    <w:t xml:space="preserve">7.6</w:t>
                  </w:r>
                </w:p>
              </w:tc>
              <w:tc>
                <w:tcPr/>
                <w:p>
                  <w:pPr>
                    <w:pStyle w:val="Compact"/>
                    <w:jc w:val="right"/>
                    <w:jc w:val="center"/>
                  </w:pPr>
                  <w:r>
                    <w:t xml:space="preserve">4.2</w:t>
                  </w:r>
                </w:p>
              </w:tc>
              <w:tc>
                <w:tcPr/>
                <w:p>
                  <w:pPr>
                    <w:pStyle w:val="Compact"/>
                    <w:jc w:val="right"/>
                    <w:jc w:val="center"/>
                  </w:pPr>
                  <w:r>
                    <w:t xml:space="preserve">1433</w:t>
                  </w:r>
                </w:p>
              </w:tc>
            </w:tr>
            <w:tr>
              <w:tc>
                <w:tcPr/>
                <w:p>
                  <w:pPr>
                    <w:pStyle w:val="Compact"/>
                    <w:jc w:val="left"/>
                    <w:jc w:val="center"/>
                  </w:pPr>
                  <w:r>
                    <w:t xml:space="preserve">(0.1,0.2]</w:t>
                  </w:r>
                </w:p>
              </w:tc>
              <w:tc>
                <w:tcPr/>
                <w:p>
                  <w:pPr>
                    <w:pStyle w:val="Compact"/>
                    <w:jc w:val="right"/>
                    <w:jc w:val="center"/>
                  </w:pPr>
                  <w:r>
                    <w:t xml:space="preserve">2</w:t>
                  </w:r>
                </w:p>
              </w:tc>
              <w:tc>
                <w:tcPr/>
                <w:p>
                  <w:pPr>
                    <w:pStyle w:val="Compact"/>
                    <w:jc w:val="right"/>
                    <w:jc w:val="center"/>
                  </w:pPr>
                  <w:r>
                    <w:t xml:space="preserve">13.7</w:t>
                  </w:r>
                </w:p>
              </w:tc>
              <w:tc>
                <w:tcPr/>
                <w:p>
                  <w:pPr>
                    <w:pStyle w:val="Compact"/>
                    <w:jc w:val="right"/>
                    <w:jc w:val="center"/>
                  </w:pPr>
                  <w:r>
                    <w:t xml:space="preserve">9.3</w:t>
                  </w:r>
                </w:p>
              </w:tc>
              <w:tc>
                <w:tcPr/>
                <w:p>
                  <w:pPr>
                    <w:pStyle w:val="Compact"/>
                    <w:jc w:val="right"/>
                    <w:jc w:val="center"/>
                  </w:pPr>
                  <w:r>
                    <w:t xml:space="preserve">841</w:t>
                  </w:r>
                </w:p>
              </w:tc>
            </w:tr>
            <w:tr>
              <w:tc>
                <w:tcPr/>
                <w:p>
                  <w:pPr>
                    <w:pStyle w:val="Compact"/>
                    <w:jc w:val="left"/>
                    <w:jc w:val="center"/>
                  </w:pPr>
                  <w:r>
                    <w:t xml:space="preserve">(0.2,0.3]</w:t>
                  </w:r>
                </w:p>
              </w:tc>
              <w:tc>
                <w:tcPr/>
                <w:p>
                  <w:pPr>
                    <w:pStyle w:val="Compact"/>
                    <w:jc w:val="right"/>
                    <w:jc w:val="center"/>
                  </w:pPr>
                  <w:r>
                    <w:t xml:space="preserve">2</w:t>
                  </w:r>
                </w:p>
              </w:tc>
              <w:tc>
                <w:tcPr/>
                <w:p>
                  <w:pPr>
                    <w:pStyle w:val="Compact"/>
                    <w:jc w:val="right"/>
                    <w:jc w:val="center"/>
                  </w:pPr>
                  <w:r>
                    <w:t xml:space="preserve">23.1</w:t>
                  </w:r>
                </w:p>
              </w:tc>
              <w:tc>
                <w:tcPr/>
                <w:p>
                  <w:pPr>
                    <w:pStyle w:val="Compact"/>
                    <w:jc w:val="right"/>
                    <w:jc w:val="center"/>
                  </w:pPr>
                  <w:r>
                    <w:t xml:space="preserve">33.3</w:t>
                  </w:r>
                </w:p>
              </w:tc>
              <w:tc>
                <w:tcPr/>
                <w:p>
                  <w:pPr>
                    <w:pStyle w:val="Compact"/>
                    <w:jc w:val="right"/>
                    <w:jc w:val="center"/>
                  </w:pPr>
                  <w:r>
                    <w:t xml:space="preserve">3</w:t>
                  </w:r>
                </w:p>
              </w:tc>
            </w:tr>
            <w:tr>
              <w:tc>
                <w:tcPr/>
                <w:p>
                  <w:pPr>
                    <w:pStyle w:val="Compact"/>
                    <w:jc w:val="left"/>
                    <w:jc w:val="center"/>
                  </w:pPr>
                  <w:r>
                    <w:t xml:space="preserve">(0,0.1]</w:t>
                  </w:r>
                </w:p>
              </w:tc>
              <w:tc>
                <w:tcPr/>
                <w:p>
                  <w:pPr>
                    <w:pStyle w:val="Compact"/>
                    <w:jc w:val="right"/>
                    <w:jc w:val="center"/>
                  </w:pPr>
                  <w:r>
                    <w:t xml:space="preserve">3</w:t>
                  </w:r>
                </w:p>
              </w:tc>
              <w:tc>
                <w:tcPr/>
                <w:p>
                  <w:pPr>
                    <w:pStyle w:val="Compact"/>
                    <w:jc w:val="right"/>
                    <w:jc w:val="center"/>
                  </w:pPr>
                  <w:r>
                    <w:t xml:space="preserve">7.7</w:t>
                  </w:r>
                </w:p>
              </w:tc>
              <w:tc>
                <w:tcPr/>
                <w:p>
                  <w:pPr>
                    <w:pStyle w:val="Compact"/>
                    <w:jc w:val="right"/>
                    <w:jc w:val="center"/>
                  </w:pPr>
                  <w:r>
                    <w:t xml:space="preserve">4.5</w:t>
                  </w:r>
                </w:p>
              </w:tc>
              <w:tc>
                <w:tcPr/>
                <w:p>
                  <w:pPr>
                    <w:pStyle w:val="Compact"/>
                    <w:jc w:val="right"/>
                    <w:jc w:val="center"/>
                  </w:pPr>
                  <w:r>
                    <w:t xml:space="preserve">1477</w:t>
                  </w:r>
                </w:p>
              </w:tc>
            </w:tr>
            <w:tr>
              <w:tc>
                <w:tcPr/>
                <w:p>
                  <w:pPr>
                    <w:pStyle w:val="Compact"/>
                    <w:jc w:val="left"/>
                    <w:jc w:val="center"/>
                  </w:pPr>
                  <w:r>
                    <w:t xml:space="preserve">(0.1,0.2]</w:t>
                  </w:r>
                </w:p>
              </w:tc>
              <w:tc>
                <w:tcPr/>
                <w:p>
                  <w:pPr>
                    <w:pStyle w:val="Compact"/>
                    <w:jc w:val="right"/>
                    <w:jc w:val="center"/>
                  </w:pPr>
                  <w:r>
                    <w:t xml:space="preserve">3</w:t>
                  </w:r>
                </w:p>
              </w:tc>
              <w:tc>
                <w:tcPr/>
                <w:p>
                  <w:pPr>
                    <w:pStyle w:val="Compact"/>
                    <w:jc w:val="right"/>
                    <w:jc w:val="center"/>
                  </w:pPr>
                  <w:r>
                    <w:t xml:space="preserve">12.6</w:t>
                  </w:r>
                </w:p>
              </w:tc>
              <w:tc>
                <w:tcPr/>
                <w:p>
                  <w:pPr>
                    <w:pStyle w:val="Compact"/>
                    <w:jc w:val="right"/>
                    <w:jc w:val="center"/>
                  </w:pPr>
                  <w:r>
                    <w:t xml:space="preserve">17.1</w:t>
                  </w:r>
                </w:p>
              </w:tc>
              <w:tc>
                <w:tcPr/>
                <w:p>
                  <w:pPr>
                    <w:pStyle w:val="Compact"/>
                    <w:jc w:val="right"/>
                    <w:jc w:val="center"/>
                  </w:pPr>
                  <w:r>
                    <w:t xml:space="preserve">692</w:t>
                  </w:r>
                </w:p>
              </w:tc>
            </w:tr>
            <w:tr>
              <w:tc>
                <w:tcPr/>
                <w:p>
                  <w:pPr>
                    <w:pStyle w:val="Compact"/>
                    <w:jc w:val="left"/>
                    <w:jc w:val="center"/>
                  </w:pPr>
                  <w:r>
                    <w:t xml:space="preserve">(0.2,0.3]</w:t>
                  </w:r>
                </w:p>
              </w:tc>
              <w:tc>
                <w:tcPr/>
                <w:p>
                  <w:pPr>
                    <w:pStyle w:val="Compact"/>
                    <w:jc w:val="right"/>
                    <w:jc w:val="center"/>
                  </w:pPr>
                  <w:r>
                    <w:t xml:space="preserve">3</w:t>
                  </w:r>
                </w:p>
              </w:tc>
              <w:tc>
                <w:tcPr/>
                <w:p>
                  <w:pPr>
                    <w:pStyle w:val="Compact"/>
                    <w:jc w:val="right"/>
                    <w:jc w:val="center"/>
                  </w:pPr>
                  <w:r>
                    <w:t xml:space="preserve">23.9</w:t>
                  </w:r>
                </w:p>
              </w:tc>
              <w:tc>
                <w:tcPr/>
                <w:p>
                  <w:pPr>
                    <w:pStyle w:val="Compact"/>
                    <w:jc w:val="right"/>
                    <w:jc w:val="center"/>
                  </w:pPr>
                  <w:r>
                    <w:t xml:space="preserve">4.8</w:t>
                  </w:r>
                </w:p>
              </w:tc>
              <w:tc>
                <w:tcPr/>
                <w:p>
                  <w:pPr>
                    <w:pStyle w:val="Compact"/>
                    <w:jc w:val="right"/>
                    <w:jc w:val="center"/>
                  </w:pPr>
                  <w:r>
                    <w:t xml:space="preserve">21</w:t>
                  </w:r>
                </w:p>
              </w:tc>
            </w:tr>
            <w:tr>
              <w:tc>
                <w:tcPr/>
                <w:p>
                  <w:pPr>
                    <w:pStyle w:val="Compact"/>
                    <w:jc w:val="left"/>
                    <w:jc w:val="center"/>
                  </w:pPr>
                  <w:r>
                    <w:t xml:space="preserve">(0,0.1]</w:t>
                  </w:r>
                </w:p>
              </w:tc>
              <w:tc>
                <w:tcPr/>
                <w:p>
                  <w:pPr>
                    <w:pStyle w:val="Compact"/>
                    <w:jc w:val="right"/>
                    <w:jc w:val="center"/>
                  </w:pPr>
                  <w:r>
                    <w:t xml:space="preserve">4</w:t>
                  </w:r>
                </w:p>
              </w:tc>
              <w:tc>
                <w:tcPr/>
                <w:p>
                  <w:pPr>
                    <w:pStyle w:val="Compact"/>
                    <w:jc w:val="right"/>
                    <w:jc w:val="center"/>
                  </w:pPr>
                  <w:r>
                    <w:t xml:space="preserve">5.6</w:t>
                  </w:r>
                </w:p>
              </w:tc>
              <w:tc>
                <w:tcPr/>
                <w:p>
                  <w:pPr>
                    <w:pStyle w:val="Compact"/>
                    <w:jc w:val="right"/>
                    <w:jc w:val="center"/>
                  </w:pPr>
                  <w:r>
                    <w:t xml:space="preserve">6.2</w:t>
                  </w:r>
                </w:p>
              </w:tc>
              <w:tc>
                <w:tcPr/>
                <w:p>
                  <w:pPr>
                    <w:pStyle w:val="Compact"/>
                    <w:jc w:val="right"/>
                    <w:jc w:val="center"/>
                  </w:pPr>
                  <w:r>
                    <w:t xml:space="preserve">2117</w:t>
                  </w:r>
                </w:p>
              </w:tc>
            </w:tr>
            <w:tr>
              <w:tc>
                <w:tcPr/>
                <w:p>
                  <w:pPr>
                    <w:pStyle w:val="Compact"/>
                    <w:jc w:val="left"/>
                    <w:jc w:val="center"/>
                  </w:pPr>
                  <w:r>
                    <w:t xml:space="preserve">(0.1,0.2]</w:t>
                  </w:r>
                </w:p>
              </w:tc>
              <w:tc>
                <w:tcPr/>
                <w:p>
                  <w:pPr>
                    <w:pStyle w:val="Compact"/>
                    <w:jc w:val="right"/>
                    <w:jc w:val="center"/>
                  </w:pPr>
                  <w:r>
                    <w:t xml:space="preserve">4</w:t>
                  </w:r>
                </w:p>
              </w:tc>
              <w:tc>
                <w:tcPr/>
                <w:p>
                  <w:pPr>
                    <w:pStyle w:val="Compact"/>
                    <w:jc w:val="right"/>
                    <w:jc w:val="center"/>
                  </w:pPr>
                  <w:r>
                    <w:t xml:space="preserve">12.2</w:t>
                  </w:r>
                </w:p>
              </w:tc>
              <w:tc>
                <w:tcPr/>
                <w:p>
                  <w:pPr>
                    <w:pStyle w:val="Compact"/>
                    <w:jc w:val="right"/>
                    <w:jc w:val="center"/>
                  </w:pPr>
                  <w:r>
                    <w:t xml:space="preserve">11.3</w:t>
                  </w:r>
                </w:p>
              </w:tc>
              <w:tc>
                <w:tcPr/>
                <w:p>
                  <w:pPr>
                    <w:pStyle w:val="Compact"/>
                    <w:jc w:val="right"/>
                    <w:jc w:val="center"/>
                  </w:pPr>
                  <w:r>
                    <w:t xml:space="preserve">291</w:t>
                  </w:r>
                </w:p>
              </w:tc>
            </w:tr>
            <w:tr>
              <w:tc>
                <w:tcPr/>
                <w:p>
                  <w:pPr>
                    <w:pStyle w:val="Compact"/>
                    <w:jc w:val="left"/>
                    <w:jc w:val="center"/>
                  </w:pPr>
                  <w:r>
                    <w:t xml:space="preserve">(0,0.1]</w:t>
                  </w:r>
                </w:p>
              </w:tc>
              <w:tc>
                <w:tcPr/>
                <w:p>
                  <w:pPr>
                    <w:pStyle w:val="Compact"/>
                    <w:jc w:val="right"/>
                    <w:jc w:val="center"/>
                  </w:pPr>
                  <w:r>
                    <w:t xml:space="preserve">5</w:t>
                  </w:r>
                </w:p>
              </w:tc>
              <w:tc>
                <w:tcPr/>
                <w:p>
                  <w:pPr>
                    <w:pStyle w:val="Compact"/>
                    <w:jc w:val="right"/>
                    <w:jc w:val="center"/>
                  </w:pPr>
                  <w:r>
                    <w:t xml:space="preserve">8.0</w:t>
                  </w:r>
                </w:p>
              </w:tc>
              <w:tc>
                <w:tcPr/>
                <w:p>
                  <w:pPr>
                    <w:pStyle w:val="Compact"/>
                    <w:jc w:val="right"/>
                    <w:jc w:val="center"/>
                  </w:pPr>
                  <w:r>
                    <w:t xml:space="preserve">3.5</w:t>
                  </w:r>
                </w:p>
              </w:tc>
              <w:tc>
                <w:tcPr/>
                <w:p>
                  <w:pPr>
                    <w:pStyle w:val="Compact"/>
                    <w:jc w:val="right"/>
                    <w:jc w:val="center"/>
                  </w:pPr>
                  <w:r>
                    <w:t xml:space="preserve">1353</w:t>
                  </w:r>
                </w:p>
              </w:tc>
            </w:tr>
            <w:tr>
              <w:tc>
                <w:tcPr/>
                <w:p>
                  <w:pPr>
                    <w:pStyle w:val="Compact"/>
                    <w:jc w:val="left"/>
                    <w:jc w:val="center"/>
                  </w:pPr>
                  <w:r>
                    <w:t xml:space="preserve">(0.1,0.2]</w:t>
                  </w:r>
                </w:p>
              </w:tc>
              <w:tc>
                <w:tcPr/>
                <w:p>
                  <w:pPr>
                    <w:pStyle w:val="Compact"/>
                    <w:jc w:val="right"/>
                    <w:jc w:val="center"/>
                  </w:pPr>
                  <w:r>
                    <w:t xml:space="preserve">5</w:t>
                  </w:r>
                </w:p>
              </w:tc>
              <w:tc>
                <w:tcPr/>
                <w:p>
                  <w:pPr>
                    <w:pStyle w:val="Compact"/>
                    <w:jc w:val="right"/>
                    <w:jc w:val="center"/>
                  </w:pPr>
                  <w:r>
                    <w:t xml:space="preserve">11.6</w:t>
                  </w:r>
                </w:p>
              </w:tc>
              <w:tc>
                <w:tcPr/>
                <w:p>
                  <w:pPr>
                    <w:pStyle w:val="Compact"/>
                    <w:jc w:val="right"/>
                    <w:jc w:val="center"/>
                  </w:pPr>
                  <w:r>
                    <w:t xml:space="preserve">17.7</w:t>
                  </w:r>
                </w:p>
              </w:tc>
              <w:tc>
                <w:tcPr/>
                <w:p>
                  <w:pPr>
                    <w:pStyle w:val="Compact"/>
                    <w:jc w:val="right"/>
                    <w:jc w:val="center"/>
                  </w:pPr>
                  <w:r>
                    <w:t xml:space="preserve">876</w:t>
                  </w:r>
                </w:p>
              </w:tc>
            </w:tr>
            <w:tr>
              <w:tc>
                <w:tcPr/>
                <w:p>
                  <w:pPr>
                    <w:pStyle w:val="Compact"/>
                    <w:jc w:val="left"/>
                    <w:jc w:val="center"/>
                  </w:pPr>
                  <w:r>
                    <w:t xml:space="preserve">(0,0.1]</w:t>
                  </w:r>
                </w:p>
              </w:tc>
              <w:tc>
                <w:tcPr/>
                <w:p>
                  <w:pPr>
                    <w:pStyle w:val="Compact"/>
                    <w:jc w:val="right"/>
                    <w:jc w:val="center"/>
                  </w:pPr>
                  <w:r>
                    <w:t xml:space="preserve">6</w:t>
                  </w:r>
                </w:p>
              </w:tc>
              <w:tc>
                <w:tcPr/>
                <w:p>
                  <w:pPr>
                    <w:pStyle w:val="Compact"/>
                    <w:jc w:val="right"/>
                    <w:jc w:val="center"/>
                  </w:pPr>
                  <w:r>
                    <w:t xml:space="preserve">5.7</w:t>
                  </w:r>
                </w:p>
              </w:tc>
              <w:tc>
                <w:tcPr/>
                <w:p>
                  <w:pPr>
                    <w:pStyle w:val="Compact"/>
                    <w:jc w:val="right"/>
                    <w:jc w:val="center"/>
                  </w:pPr>
                  <w:r>
                    <w:t xml:space="preserve">6.7</w:t>
                  </w:r>
                </w:p>
              </w:tc>
              <w:tc>
                <w:tcPr/>
                <w:p>
                  <w:pPr>
                    <w:pStyle w:val="Compact"/>
                    <w:jc w:val="right"/>
                    <w:jc w:val="center"/>
                  </w:pPr>
                  <w:r>
                    <w:t xml:space="preserve">1781</w:t>
                  </w:r>
                </w:p>
              </w:tc>
            </w:tr>
            <w:tr>
              <w:tc>
                <w:tcPr/>
                <w:p>
                  <w:pPr>
                    <w:pStyle w:val="Compact"/>
                    <w:jc w:val="left"/>
                    <w:jc w:val="center"/>
                  </w:pPr>
                  <w:r>
                    <w:t xml:space="preserve">(0.1,0.2]</w:t>
                  </w:r>
                </w:p>
              </w:tc>
              <w:tc>
                <w:tcPr/>
                <w:p>
                  <w:pPr>
                    <w:pStyle w:val="Compact"/>
                    <w:jc w:val="right"/>
                    <w:jc w:val="center"/>
                  </w:pPr>
                  <w:r>
                    <w:t xml:space="preserve">6</w:t>
                  </w:r>
                </w:p>
              </w:tc>
              <w:tc>
                <w:tcPr/>
                <w:p>
                  <w:pPr>
                    <w:pStyle w:val="Compact"/>
                    <w:jc w:val="right"/>
                    <w:jc w:val="center"/>
                  </w:pPr>
                  <w:r>
                    <w:t xml:space="preserve">12.9</w:t>
                  </w:r>
                </w:p>
              </w:tc>
              <w:tc>
                <w:tcPr/>
                <w:p>
                  <w:pPr>
                    <w:pStyle w:val="Compact"/>
                    <w:jc w:val="right"/>
                    <w:jc w:val="center"/>
                  </w:pPr>
                  <w:r>
                    <w:t xml:space="preserve">13.8</w:t>
                  </w:r>
                </w:p>
              </w:tc>
              <w:tc>
                <w:tcPr/>
                <w:p>
                  <w:pPr>
                    <w:pStyle w:val="Compact"/>
                    <w:jc w:val="right"/>
                    <w:jc w:val="center"/>
                  </w:pPr>
                  <w:r>
                    <w:t xml:space="preserve">600</w:t>
                  </w:r>
                </w:p>
              </w:tc>
            </w:tr>
            <w:tr>
              <w:tc>
                <w:tcPr/>
                <w:p>
                  <w:pPr>
                    <w:pStyle w:val="Compact"/>
                    <w:jc w:val="left"/>
                    <w:jc w:val="center"/>
                  </w:pPr>
                  <w:r>
                    <w:t xml:space="preserve">(0.2,0.3]</w:t>
                  </w:r>
                </w:p>
              </w:tc>
              <w:tc>
                <w:tcPr/>
                <w:p>
                  <w:pPr>
                    <w:pStyle w:val="Compact"/>
                    <w:jc w:val="right"/>
                    <w:jc w:val="center"/>
                  </w:pPr>
                  <w:r>
                    <w:t xml:space="preserve">6</w:t>
                  </w:r>
                </w:p>
              </w:tc>
              <w:tc>
                <w:tcPr/>
                <w:p>
                  <w:pPr>
                    <w:pStyle w:val="Compact"/>
                    <w:jc w:val="right"/>
                    <w:jc w:val="center"/>
                  </w:pPr>
                  <w:r>
                    <w:t xml:space="preserve">21.7</w:t>
                  </w:r>
                </w:p>
              </w:tc>
              <w:tc>
                <w:tcPr/>
                <w:p>
                  <w:pPr>
                    <w:pStyle w:val="Compact"/>
                    <w:jc w:val="right"/>
                    <w:jc w:val="center"/>
                  </w:pPr>
                  <w:r>
                    <w:t xml:space="preserve">37.0</w:t>
                  </w:r>
                </w:p>
              </w:tc>
              <w:tc>
                <w:tcPr/>
                <w:p>
                  <w:pPr>
                    <w:pStyle w:val="Compact"/>
                    <w:jc w:val="right"/>
                    <w:jc w:val="center"/>
                  </w:pPr>
                  <w:r>
                    <w:t xml:space="preserve">27</w:t>
                  </w:r>
                </w:p>
              </w:tc>
            </w:tr>
            <w:tr>
              <w:tc>
                <w:tcPr/>
                <w:p>
                  <w:pPr>
                    <w:pStyle w:val="Compact"/>
                    <w:jc w:val="left"/>
                    <w:jc w:val="center"/>
                  </w:pPr>
                  <w:r>
                    <w:t xml:space="preserve">(0,0.1]</w:t>
                  </w:r>
                </w:p>
              </w:tc>
              <w:tc>
                <w:tcPr/>
                <w:p>
                  <w:pPr>
                    <w:pStyle w:val="Compact"/>
                    <w:jc w:val="right"/>
                    <w:jc w:val="center"/>
                  </w:pPr>
                  <w:r>
                    <w:t xml:space="preserve">7</w:t>
                  </w:r>
                </w:p>
              </w:tc>
              <w:tc>
                <w:tcPr/>
                <w:p>
                  <w:pPr>
                    <w:pStyle w:val="Compact"/>
                    <w:jc w:val="right"/>
                    <w:jc w:val="center"/>
                  </w:pPr>
                  <w:r>
                    <w:t xml:space="preserve">7.3</w:t>
                  </w:r>
                </w:p>
              </w:tc>
              <w:tc>
                <w:tcPr/>
                <w:p>
                  <w:pPr>
                    <w:pStyle w:val="Compact"/>
                    <w:jc w:val="right"/>
                    <w:jc w:val="center"/>
                  </w:pPr>
                  <w:r>
                    <w:t xml:space="preserve">1.9</w:t>
                  </w:r>
                </w:p>
              </w:tc>
              <w:tc>
                <w:tcPr/>
                <w:p>
                  <w:pPr>
                    <w:pStyle w:val="Compact"/>
                    <w:jc w:val="right"/>
                    <w:jc w:val="center"/>
                  </w:pPr>
                  <w:r>
                    <w:t xml:space="preserve">1700</w:t>
                  </w:r>
                </w:p>
              </w:tc>
            </w:tr>
            <w:tr>
              <w:tc>
                <w:tcPr/>
                <w:p>
                  <w:pPr>
                    <w:pStyle w:val="Compact"/>
                    <w:jc w:val="left"/>
                    <w:jc w:val="center"/>
                  </w:pPr>
                  <w:r>
                    <w:t xml:space="preserve">(0.1,0.2]</w:t>
                  </w:r>
                </w:p>
              </w:tc>
              <w:tc>
                <w:tcPr/>
                <w:p>
                  <w:pPr>
                    <w:pStyle w:val="Compact"/>
                    <w:jc w:val="right"/>
                    <w:jc w:val="center"/>
                  </w:pPr>
                  <w:r>
                    <w:t xml:space="preserve">7</w:t>
                  </w:r>
                </w:p>
              </w:tc>
              <w:tc>
                <w:tcPr/>
                <w:p>
                  <w:pPr>
                    <w:pStyle w:val="Compact"/>
                    <w:jc w:val="right"/>
                    <w:jc w:val="center"/>
                  </w:pPr>
                  <w:r>
                    <w:t xml:space="preserve">12.9</w:t>
                  </w:r>
                </w:p>
              </w:tc>
              <w:tc>
                <w:tcPr/>
                <w:p>
                  <w:pPr>
                    <w:pStyle w:val="Compact"/>
                    <w:jc w:val="right"/>
                    <w:jc w:val="center"/>
                  </w:pPr>
                  <w:r>
                    <w:t xml:space="preserve">16.0</w:t>
                  </w:r>
                </w:p>
              </w:tc>
              <w:tc>
                <w:tcPr/>
                <w:p>
                  <w:pPr>
                    <w:pStyle w:val="Compact"/>
                    <w:jc w:val="right"/>
                    <w:jc w:val="center"/>
                  </w:pPr>
                  <w:r>
                    <w:t xml:space="preserve">667</w:t>
                  </w:r>
                </w:p>
              </w:tc>
            </w:tr>
            <w:tr>
              <w:tc>
                <w:tcPr/>
                <w:p>
                  <w:pPr>
                    <w:pStyle w:val="Compact"/>
                    <w:jc w:val="left"/>
                    <w:jc w:val="center"/>
                  </w:pPr>
                  <w:r>
                    <w:t xml:space="preserve">(0.2,0.3]</w:t>
                  </w:r>
                </w:p>
              </w:tc>
              <w:tc>
                <w:tcPr/>
                <w:p>
                  <w:pPr>
                    <w:pStyle w:val="Compact"/>
                    <w:jc w:val="right"/>
                    <w:jc w:val="center"/>
                  </w:pPr>
                  <w:r>
                    <w:t xml:space="preserve">7</w:t>
                  </w:r>
                </w:p>
              </w:tc>
              <w:tc>
                <w:tcPr/>
                <w:p>
                  <w:pPr>
                    <w:pStyle w:val="Compact"/>
                    <w:jc w:val="right"/>
                    <w:jc w:val="center"/>
                  </w:pPr>
                  <w:r>
                    <w:t xml:space="preserve">22.6</w:t>
                  </w:r>
                </w:p>
              </w:tc>
              <w:tc>
                <w:tcPr/>
                <w:p>
                  <w:pPr>
                    <w:pStyle w:val="Compact"/>
                    <w:jc w:val="right"/>
                    <w:jc w:val="center"/>
                  </w:pPr>
                  <w:r>
                    <w:t xml:space="preserve">35.2</w:t>
                  </w:r>
                </w:p>
              </w:tc>
              <w:tc>
                <w:tcPr/>
                <w:p>
                  <w:pPr>
                    <w:pStyle w:val="Compact"/>
                    <w:jc w:val="right"/>
                    <w:jc w:val="center"/>
                  </w:pPr>
                  <w:r>
                    <w:t xml:space="preserve">54</w:t>
                  </w:r>
                </w:p>
              </w:tc>
            </w:tr>
            <w:tr>
              <w:tc>
                <w:tcPr/>
                <w:p>
                  <w:pPr>
                    <w:pStyle w:val="Compact"/>
                    <w:jc w:val="left"/>
                    <w:jc w:val="center"/>
                  </w:pPr>
                  <w:r>
                    <w:t xml:space="preserve">(0,0.1]</w:t>
                  </w:r>
                </w:p>
              </w:tc>
              <w:tc>
                <w:tcPr/>
                <w:p>
                  <w:pPr>
                    <w:pStyle w:val="Compact"/>
                    <w:jc w:val="right"/>
                    <w:jc w:val="center"/>
                  </w:pPr>
                  <w:r>
                    <w:t xml:space="preserve">8</w:t>
                  </w:r>
                </w:p>
              </w:tc>
              <w:tc>
                <w:tcPr/>
                <w:p>
                  <w:pPr>
                    <w:pStyle w:val="Compact"/>
                    <w:jc w:val="right"/>
                    <w:jc w:val="center"/>
                  </w:pPr>
                  <w:r>
                    <w:t xml:space="preserve">5.9</w:t>
                  </w:r>
                </w:p>
              </w:tc>
              <w:tc>
                <w:tcPr/>
                <w:p>
                  <w:pPr>
                    <w:pStyle w:val="Compact"/>
                    <w:jc w:val="right"/>
                    <w:jc w:val="center"/>
                  </w:pPr>
                  <w:r>
                    <w:t xml:space="preserve">4.0</w:t>
                  </w:r>
                </w:p>
              </w:tc>
              <w:tc>
                <w:tcPr/>
                <w:p>
                  <w:pPr>
                    <w:pStyle w:val="Compact"/>
                    <w:jc w:val="right"/>
                    <w:jc w:val="center"/>
                  </w:pPr>
                  <w:r>
                    <w:t xml:space="preserve">1786</w:t>
                  </w:r>
                </w:p>
              </w:tc>
            </w:tr>
            <w:tr>
              <w:tc>
                <w:tcPr/>
                <w:p>
                  <w:pPr>
                    <w:pStyle w:val="Compact"/>
                    <w:jc w:val="left"/>
                    <w:jc w:val="center"/>
                  </w:pPr>
                  <w:r>
                    <w:t xml:space="preserve">(0.1,0.2]</w:t>
                  </w:r>
                </w:p>
              </w:tc>
              <w:tc>
                <w:tcPr/>
                <w:p>
                  <w:pPr>
                    <w:pStyle w:val="Compact"/>
                    <w:jc w:val="right"/>
                    <w:jc w:val="center"/>
                  </w:pPr>
                  <w:r>
                    <w:t xml:space="preserve">8</w:t>
                  </w:r>
                </w:p>
              </w:tc>
              <w:tc>
                <w:tcPr/>
                <w:p>
                  <w:pPr>
                    <w:pStyle w:val="Compact"/>
                    <w:jc w:val="right"/>
                    <w:jc w:val="center"/>
                  </w:pPr>
                  <w:r>
                    <w:t xml:space="preserve">12.8</w:t>
                  </w:r>
                </w:p>
              </w:tc>
              <w:tc>
                <w:tcPr/>
                <w:p>
                  <w:pPr>
                    <w:pStyle w:val="Compact"/>
                    <w:jc w:val="right"/>
                    <w:jc w:val="center"/>
                  </w:pPr>
                  <w:r>
                    <w:t xml:space="preserve">15.9</w:t>
                  </w:r>
                </w:p>
              </w:tc>
              <w:tc>
                <w:tcPr/>
                <w:p>
                  <w:pPr>
                    <w:pStyle w:val="Compact"/>
                    <w:jc w:val="right"/>
                    <w:jc w:val="center"/>
                  </w:pPr>
                  <w:r>
                    <w:t xml:space="preserve">389</w:t>
                  </w:r>
                </w:p>
              </w:tc>
            </w:tr>
            <w:tr>
              <w:tc>
                <w:tcPr/>
                <w:p>
                  <w:pPr>
                    <w:pStyle w:val="Compact"/>
                    <w:jc w:val="left"/>
                    <w:jc w:val="center"/>
                  </w:pPr>
                  <w:r>
                    <w:t xml:space="preserve">(0.2,0.3]</w:t>
                  </w:r>
                </w:p>
              </w:tc>
              <w:tc>
                <w:tcPr/>
                <w:p>
                  <w:pPr>
                    <w:pStyle w:val="Compact"/>
                    <w:jc w:val="right"/>
                    <w:jc w:val="center"/>
                  </w:pPr>
                  <w:r>
                    <w:t xml:space="preserve">8</w:t>
                  </w:r>
                </w:p>
              </w:tc>
              <w:tc>
                <w:tcPr/>
                <w:p>
                  <w:pPr>
                    <w:pStyle w:val="Compact"/>
                    <w:jc w:val="right"/>
                    <w:jc w:val="center"/>
                  </w:pPr>
                  <w:r>
                    <w:t xml:space="preserve">21.4</w:t>
                  </w:r>
                </w:p>
              </w:tc>
              <w:tc>
                <w:tcPr/>
                <w:p>
                  <w:pPr>
                    <w:pStyle w:val="Compact"/>
                    <w:jc w:val="right"/>
                    <w:jc w:val="center"/>
                  </w:pPr>
                  <w:r>
                    <w:t xml:space="preserve">0.0</w:t>
                  </w:r>
                </w:p>
              </w:tc>
              <w:tc>
                <w:tcPr/>
                <w:p>
                  <w:pPr>
                    <w:pStyle w:val="Compact"/>
                    <w:jc w:val="right"/>
                    <w:jc w:val="center"/>
                  </w:pPr>
                  <w:r>
                    <w:t xml:space="preserve">6</w:t>
                  </w:r>
                </w:p>
              </w:tc>
            </w:tr>
            <w:tr>
              <w:tc>
                <w:tcPr/>
                <w:p>
                  <w:pPr>
                    <w:pStyle w:val="Compact"/>
                    <w:jc w:val="left"/>
                    <w:jc w:val="center"/>
                  </w:pPr>
                  <w:r>
                    <w:t xml:space="preserve">(0,0.1]</w:t>
                  </w:r>
                </w:p>
              </w:tc>
              <w:tc>
                <w:tcPr/>
                <w:p>
                  <w:pPr>
                    <w:pStyle w:val="Compact"/>
                    <w:jc w:val="right"/>
                    <w:jc w:val="center"/>
                  </w:pPr>
                  <w:r>
                    <w:t xml:space="preserve">9</w:t>
                  </w:r>
                </w:p>
              </w:tc>
              <w:tc>
                <w:tcPr/>
                <w:p>
                  <w:pPr>
                    <w:pStyle w:val="Compact"/>
                    <w:jc w:val="right"/>
                    <w:jc w:val="center"/>
                  </w:pPr>
                  <w:r>
                    <w:t xml:space="preserve">5.5</w:t>
                  </w:r>
                </w:p>
              </w:tc>
              <w:tc>
                <w:tcPr/>
                <w:p>
                  <w:pPr>
                    <w:pStyle w:val="Compact"/>
                    <w:jc w:val="right"/>
                    <w:jc w:val="center"/>
                  </w:pPr>
                  <w:r>
                    <w:t xml:space="preserve">4.7</w:t>
                  </w:r>
                </w:p>
              </w:tc>
              <w:tc>
                <w:tcPr/>
                <w:p>
                  <w:pPr>
                    <w:pStyle w:val="Compact"/>
                    <w:jc w:val="right"/>
                    <w:jc w:val="center"/>
                  </w:pPr>
                  <w:r>
                    <w:t xml:space="preserve">1766</w:t>
                  </w:r>
                </w:p>
              </w:tc>
            </w:tr>
            <w:tr>
              <w:tc>
                <w:tcPr/>
                <w:p>
                  <w:pPr>
                    <w:pStyle w:val="Compact"/>
                    <w:jc w:val="left"/>
                    <w:jc w:val="center"/>
                  </w:pPr>
                  <w:r>
                    <w:t xml:space="preserve">(0.1,0.2]</w:t>
                  </w:r>
                </w:p>
              </w:tc>
              <w:tc>
                <w:tcPr/>
                <w:p>
                  <w:pPr>
                    <w:pStyle w:val="Compact"/>
                    <w:jc w:val="right"/>
                    <w:jc w:val="center"/>
                  </w:pPr>
                  <w:r>
                    <w:t xml:space="preserve">9</w:t>
                  </w:r>
                </w:p>
              </w:tc>
              <w:tc>
                <w:tcPr/>
                <w:p>
                  <w:pPr>
                    <w:pStyle w:val="Compact"/>
                    <w:jc w:val="right"/>
                    <w:jc w:val="center"/>
                  </w:pPr>
                  <w:r>
                    <w:t xml:space="preserve">13.6</w:t>
                  </w:r>
                </w:p>
              </w:tc>
              <w:tc>
                <w:tcPr/>
                <w:p>
                  <w:pPr>
                    <w:pStyle w:val="Compact"/>
                    <w:jc w:val="right"/>
                    <w:jc w:val="center"/>
                  </w:pPr>
                  <w:r>
                    <w:t xml:space="preserve">14.3</w:t>
                  </w:r>
                </w:p>
              </w:tc>
              <w:tc>
                <w:tcPr/>
                <w:p>
                  <w:pPr>
                    <w:pStyle w:val="Compact"/>
                    <w:jc w:val="right"/>
                    <w:jc w:val="center"/>
                  </w:pPr>
                  <w:r>
                    <w:t xml:space="preserve">463</w:t>
                  </w:r>
                </w:p>
              </w:tc>
            </w:tr>
            <w:tr>
              <w:tc>
                <w:tcPr/>
                <w:p>
                  <w:pPr>
                    <w:pStyle w:val="Compact"/>
                    <w:jc w:val="left"/>
                    <w:jc w:val="center"/>
                  </w:pPr>
                  <w:r>
                    <w:t xml:space="preserve">(0.2,0.3]</w:t>
                  </w:r>
                </w:p>
              </w:tc>
              <w:tc>
                <w:tcPr/>
                <w:p>
                  <w:pPr>
                    <w:pStyle w:val="Compact"/>
                    <w:jc w:val="right"/>
                    <w:jc w:val="center"/>
                  </w:pPr>
                  <w:r>
                    <w:t xml:space="preserve">9</w:t>
                  </w:r>
                </w:p>
              </w:tc>
              <w:tc>
                <w:tcPr/>
                <w:p>
                  <w:pPr>
                    <w:pStyle w:val="Compact"/>
                    <w:jc w:val="right"/>
                    <w:jc w:val="center"/>
                  </w:pPr>
                  <w:r>
                    <w:t xml:space="preserve">21.2</w:t>
                  </w:r>
                </w:p>
              </w:tc>
              <w:tc>
                <w:tcPr/>
                <w:p>
                  <w:pPr>
                    <w:pStyle w:val="Compact"/>
                    <w:jc w:val="right"/>
                    <w:jc w:val="center"/>
                  </w:pPr>
                  <w:r>
                    <w:t xml:space="preserve">42.9</w:t>
                  </w:r>
                </w:p>
              </w:tc>
              <w:tc>
                <w:tcPr/>
                <w:p>
                  <w:pPr>
                    <w:pStyle w:val="Compact"/>
                    <w:jc w:val="right"/>
                    <w:jc w:val="center"/>
                  </w:pPr>
                  <w:r>
                    <w:t xml:space="preserve">7</w:t>
                  </w:r>
                </w:p>
              </w:tc>
            </w:tr>
            <w:tr>
              <w:tc>
                <w:tcPr/>
                <w:p>
                  <w:pPr>
                    <w:pStyle w:val="Compact"/>
                    <w:jc w:val="left"/>
                    <w:jc w:val="center"/>
                  </w:pPr>
                  <w:r>
                    <w:t xml:space="preserve">(0,0.1]</w:t>
                  </w:r>
                </w:p>
              </w:tc>
              <w:tc>
                <w:tcPr/>
                <w:p>
                  <w:pPr>
                    <w:pStyle w:val="Compact"/>
                    <w:jc w:val="right"/>
                    <w:jc w:val="center"/>
                  </w:pPr>
                  <w:r>
                    <w:t xml:space="preserve">10</w:t>
                  </w:r>
                </w:p>
              </w:tc>
              <w:tc>
                <w:tcPr/>
                <w:p>
                  <w:pPr>
                    <w:pStyle w:val="Compact"/>
                    <w:jc w:val="right"/>
                    <w:jc w:val="center"/>
                  </w:pPr>
                  <w:r>
                    <w:t xml:space="preserve">5.5</w:t>
                  </w:r>
                </w:p>
              </w:tc>
              <w:tc>
                <w:tcPr/>
                <w:p>
                  <w:pPr>
                    <w:pStyle w:val="Compact"/>
                    <w:jc w:val="right"/>
                    <w:jc w:val="center"/>
                  </w:pPr>
                  <w:r>
                    <w:t xml:space="preserve">6.5</w:t>
                  </w:r>
                </w:p>
              </w:tc>
              <w:tc>
                <w:tcPr/>
                <w:p>
                  <w:pPr>
                    <w:pStyle w:val="Compact"/>
                    <w:jc w:val="right"/>
                    <w:jc w:val="center"/>
                  </w:pPr>
                  <w:r>
                    <w:t xml:space="preserve">1899</w:t>
                  </w:r>
                </w:p>
              </w:tc>
            </w:tr>
            <w:tr>
              <w:tc>
                <w:tcPr/>
                <w:p>
                  <w:pPr>
                    <w:pStyle w:val="Compact"/>
                    <w:jc w:val="left"/>
                    <w:jc w:val="center"/>
                  </w:pPr>
                  <w:r>
                    <w:t xml:space="preserve">(0.1,0.2]</w:t>
                  </w:r>
                </w:p>
              </w:tc>
              <w:tc>
                <w:tcPr/>
                <w:p>
                  <w:pPr>
                    <w:pStyle w:val="Compact"/>
                    <w:jc w:val="right"/>
                    <w:jc w:val="center"/>
                  </w:pPr>
                  <w:r>
                    <w:t xml:space="preserve">10</w:t>
                  </w:r>
                </w:p>
              </w:tc>
              <w:tc>
                <w:tcPr/>
                <w:p>
                  <w:pPr>
                    <w:pStyle w:val="Compact"/>
                    <w:jc w:val="right"/>
                    <w:jc w:val="center"/>
                  </w:pPr>
                  <w:r>
                    <w:t xml:space="preserve">13.7</w:t>
                  </w:r>
                </w:p>
              </w:tc>
              <w:tc>
                <w:tcPr/>
                <w:p>
                  <w:pPr>
                    <w:pStyle w:val="Compact"/>
                    <w:jc w:val="right"/>
                    <w:jc w:val="center"/>
                  </w:pPr>
                  <w:r>
                    <w:t xml:space="preserve">21.3</w:t>
                  </w:r>
                </w:p>
              </w:tc>
              <w:tc>
                <w:tcPr/>
                <w:p>
                  <w:pPr>
                    <w:pStyle w:val="Compact"/>
                    <w:jc w:val="right"/>
                    <w:jc w:val="center"/>
                  </w:pPr>
                  <w:r>
                    <w:t xml:space="preserve">258</w:t>
                  </w:r>
                </w:p>
              </w:tc>
            </w:tr>
            <w:tr>
              <w:tc>
                <w:tcPr/>
                <w:p>
                  <w:pPr>
                    <w:pStyle w:val="Compact"/>
                    <w:jc w:val="left"/>
                    <w:jc w:val="center"/>
                  </w:pPr>
                  <w:r>
                    <w:t xml:space="preserve">(0.2,0.3]</w:t>
                  </w:r>
                </w:p>
              </w:tc>
              <w:tc>
                <w:tcPr/>
                <w:p>
                  <w:pPr>
                    <w:pStyle w:val="Compact"/>
                    <w:jc w:val="right"/>
                    <w:jc w:val="center"/>
                  </w:pPr>
                  <w:r>
                    <w:t xml:space="preserve">10</w:t>
                  </w:r>
                </w:p>
              </w:tc>
              <w:tc>
                <w:tcPr/>
                <w:p>
                  <w:pPr>
                    <w:pStyle w:val="Compact"/>
                    <w:jc w:val="right"/>
                    <w:jc w:val="center"/>
                  </w:pPr>
                  <w:r>
                    <w:t xml:space="preserve">21.6</w:t>
                  </w:r>
                </w:p>
              </w:tc>
              <w:tc>
                <w:tcPr/>
                <w:p>
                  <w:pPr>
                    <w:pStyle w:val="Compact"/>
                    <w:jc w:val="right"/>
                    <w:jc w:val="center"/>
                  </w:pPr>
                  <w:r>
                    <w:t xml:space="preserve">24.2</w:t>
                  </w:r>
                </w:p>
              </w:tc>
              <w:tc>
                <w:tcPr/>
                <w:p>
                  <w:pPr>
                    <w:pStyle w:val="Compact"/>
                    <w:jc w:val="right"/>
                    <w:jc w:val="center"/>
                  </w:pPr>
                  <w:r>
                    <w:t xml:space="preserve">33</w:t>
                  </w:r>
                </w:p>
              </w:tc>
            </w:tr>
            <w:tr>
              <w:tc>
                <w:tcPr/>
                <w:p>
                  <w:pPr>
                    <w:pStyle w:val="Compact"/>
                    <w:jc w:val="left"/>
                    <w:jc w:val="center"/>
                  </w:pPr>
                  <w:r>
                    <w:t xml:space="preserve">(0,0.1]</w:t>
                  </w:r>
                </w:p>
              </w:tc>
              <w:tc>
                <w:tcPr/>
                <w:p>
                  <w:pPr>
                    <w:pStyle w:val="Compact"/>
                    <w:jc w:val="right"/>
                    <w:jc w:val="center"/>
                  </w:pPr>
                  <w:r>
                    <w:t xml:space="preserve">11</w:t>
                  </w:r>
                </w:p>
              </w:tc>
              <w:tc>
                <w:tcPr/>
                <w:p>
                  <w:pPr>
                    <w:pStyle w:val="Compact"/>
                    <w:jc w:val="right"/>
                    <w:jc w:val="center"/>
                  </w:pPr>
                  <w:r>
                    <w:t xml:space="preserve">8.0</w:t>
                  </w:r>
                </w:p>
              </w:tc>
              <w:tc>
                <w:tcPr/>
                <w:p>
                  <w:pPr>
                    <w:pStyle w:val="Compact"/>
                    <w:jc w:val="right"/>
                    <w:jc w:val="center"/>
                  </w:pPr>
                  <w:r>
                    <w:t xml:space="preserve">2.7</w:t>
                  </w:r>
                </w:p>
              </w:tc>
              <w:tc>
                <w:tcPr/>
                <w:p>
                  <w:pPr>
                    <w:pStyle w:val="Compact"/>
                    <w:jc w:val="right"/>
                    <w:jc w:val="center"/>
                  </w:pPr>
                  <w:r>
                    <w:t xml:space="preserve">1663</w:t>
                  </w:r>
                </w:p>
              </w:tc>
            </w:tr>
            <w:tr>
              <w:tc>
                <w:tcPr/>
                <w:p>
                  <w:pPr>
                    <w:pStyle w:val="Compact"/>
                    <w:jc w:val="left"/>
                    <w:jc w:val="center"/>
                  </w:pPr>
                  <w:r>
                    <w:t xml:space="preserve">(0.1,0.2]</w:t>
                  </w:r>
                </w:p>
              </w:tc>
              <w:tc>
                <w:tcPr/>
                <w:p>
                  <w:pPr>
                    <w:pStyle w:val="Compact"/>
                    <w:jc w:val="right"/>
                    <w:jc w:val="center"/>
                  </w:pPr>
                  <w:r>
                    <w:t xml:space="preserve">11</w:t>
                  </w:r>
                </w:p>
              </w:tc>
              <w:tc>
                <w:tcPr/>
                <w:p>
                  <w:pPr>
                    <w:pStyle w:val="Compact"/>
                    <w:jc w:val="right"/>
                    <w:jc w:val="center"/>
                  </w:pPr>
                  <w:r>
                    <w:t xml:space="preserve">12.4</w:t>
                  </w:r>
                </w:p>
              </w:tc>
              <w:tc>
                <w:tcPr/>
                <w:p>
                  <w:pPr>
                    <w:pStyle w:val="Compact"/>
                    <w:jc w:val="right"/>
                    <w:jc w:val="center"/>
                  </w:pPr>
                  <w:r>
                    <w:t xml:space="preserve">24.2</w:t>
                  </w:r>
                </w:p>
              </w:tc>
              <w:tc>
                <w:tcPr/>
                <w:p>
                  <w:pPr>
                    <w:pStyle w:val="Compact"/>
                    <w:jc w:val="right"/>
                    <w:jc w:val="center"/>
                  </w:pPr>
                  <w:r>
                    <w:t xml:space="preserve">661</w:t>
                  </w:r>
                </w:p>
              </w:tc>
            </w:tr>
            <w:tr>
              <w:tc>
                <w:tcPr/>
                <w:p>
                  <w:pPr>
                    <w:pStyle w:val="Compact"/>
                    <w:jc w:val="left"/>
                    <w:jc w:val="center"/>
                  </w:pPr>
                  <w:r>
                    <w:t xml:space="preserve">(0,0.1]</w:t>
                  </w:r>
                </w:p>
              </w:tc>
              <w:tc>
                <w:tcPr/>
                <w:p>
                  <w:pPr>
                    <w:pStyle w:val="Compact"/>
                    <w:jc w:val="right"/>
                    <w:jc w:val="center"/>
                  </w:pPr>
                  <w:r>
                    <w:t xml:space="preserve">12</w:t>
                  </w:r>
                </w:p>
              </w:tc>
              <w:tc>
                <w:tcPr/>
                <w:p>
                  <w:pPr>
                    <w:pStyle w:val="Compact"/>
                    <w:jc w:val="right"/>
                    <w:jc w:val="center"/>
                  </w:pPr>
                  <w:r>
                    <w:t xml:space="preserve">6.3</w:t>
                  </w:r>
                </w:p>
              </w:tc>
              <w:tc>
                <w:tcPr/>
                <w:p>
                  <w:pPr>
                    <w:pStyle w:val="Compact"/>
                    <w:jc w:val="right"/>
                    <w:jc w:val="center"/>
                  </w:pPr>
                  <w:r>
                    <w:t xml:space="preserve">5.8</w:t>
                  </w:r>
                </w:p>
              </w:tc>
              <w:tc>
                <w:tcPr/>
                <w:p>
                  <w:pPr>
                    <w:pStyle w:val="Compact"/>
                    <w:jc w:val="right"/>
                    <w:jc w:val="center"/>
                  </w:pPr>
                  <w:r>
                    <w:t xml:space="preserve">1793</w:t>
                  </w:r>
                </w:p>
              </w:tc>
            </w:tr>
            <w:tr>
              <w:tc>
                <w:tcPr/>
                <w:p>
                  <w:pPr>
                    <w:pStyle w:val="Compact"/>
                    <w:jc w:val="left"/>
                    <w:jc w:val="center"/>
                  </w:pPr>
                  <w:r>
                    <w:t xml:space="preserve">(0.1,0.2]</w:t>
                  </w:r>
                </w:p>
              </w:tc>
              <w:tc>
                <w:tcPr/>
                <w:p>
                  <w:pPr>
                    <w:pStyle w:val="Compact"/>
                    <w:jc w:val="right"/>
                    <w:jc w:val="center"/>
                  </w:pPr>
                  <w:r>
                    <w:t xml:space="preserve">12</w:t>
                  </w:r>
                </w:p>
              </w:tc>
              <w:tc>
                <w:tcPr/>
                <w:p>
                  <w:pPr>
                    <w:pStyle w:val="Compact"/>
                    <w:jc w:val="right"/>
                    <w:jc w:val="center"/>
                  </w:pPr>
                  <w:r>
                    <w:t xml:space="preserve">12.0</w:t>
                  </w:r>
                </w:p>
              </w:tc>
              <w:tc>
                <w:tcPr/>
                <w:p>
                  <w:pPr>
                    <w:pStyle w:val="Compact"/>
                    <w:jc w:val="right"/>
                    <w:jc w:val="center"/>
                  </w:pPr>
                  <w:r>
                    <w:t xml:space="preserve">15.9</w:t>
                  </w:r>
                </w:p>
              </w:tc>
              <w:tc>
                <w:tcPr/>
                <w:p>
                  <w:pPr>
                    <w:pStyle w:val="Compact"/>
                    <w:jc w:val="right"/>
                    <w:jc w:val="center"/>
                  </w:pPr>
                  <w:r>
                    <w:t xml:space="preserve">496</w:t>
                  </w:r>
                </w:p>
              </w:tc>
            </w:tr>
            <w:tr>
              <w:tc>
                <w:tcPr/>
                <w:p>
                  <w:pPr>
                    <w:pStyle w:val="Compact"/>
                    <w:jc w:val="left"/>
                    <w:jc w:val="center"/>
                  </w:pPr>
                  <w:r>
                    <w:t xml:space="preserve">(0.2,0.3]</w:t>
                  </w:r>
                </w:p>
              </w:tc>
              <w:tc>
                <w:tcPr/>
                <w:p>
                  <w:pPr>
                    <w:pStyle w:val="Compact"/>
                    <w:jc w:val="right"/>
                    <w:jc w:val="center"/>
                  </w:pPr>
                  <w:r>
                    <w:t xml:space="preserve">12</w:t>
                  </w:r>
                </w:p>
              </w:tc>
              <w:tc>
                <w:tcPr/>
                <w:p>
                  <w:pPr>
                    <w:pStyle w:val="Compact"/>
                    <w:jc w:val="right"/>
                    <w:jc w:val="center"/>
                  </w:pPr>
                  <w:r>
                    <w:t xml:space="preserve">20.5</w:t>
                  </w:r>
                </w:p>
              </w:tc>
              <w:tc>
                <w:tcPr/>
                <w:p>
                  <w:pPr>
                    <w:pStyle w:val="Compact"/>
                    <w:jc w:val="right"/>
                    <w:jc w:val="center"/>
                  </w:pPr>
                  <w:r>
                    <w:t xml:space="preserve">0.0</w:t>
                  </w:r>
                </w:p>
              </w:tc>
              <w:tc>
                <w:tcPr/>
                <w:p>
                  <w:pPr>
                    <w:pStyle w:val="Compact"/>
                    <w:jc w:val="right"/>
                    <w:jc w:val="center"/>
                  </w:pPr>
                  <w:r>
                    <w:t xml:space="preserve">1</w:t>
                  </w:r>
                </w:p>
              </w:tc>
            </w:tr>
            <w:tr>
              <w:tc>
                <w:tcPr/>
                <w:p>
                  <w:pPr>
                    <w:pStyle w:val="Compact"/>
                    <w:jc w:val="left"/>
                    <w:jc w:val="center"/>
                  </w:pPr>
                  <w:r>
                    <w:t xml:space="preserve">(0,0.1]</w:t>
                  </w:r>
                </w:p>
              </w:tc>
              <w:tc>
                <w:tcPr/>
                <w:p>
                  <w:pPr>
                    <w:pStyle w:val="Compact"/>
                    <w:jc w:val="right"/>
                    <w:jc w:val="center"/>
                  </w:pPr>
                  <w:r>
                    <w:t xml:space="preserve">13</w:t>
                  </w:r>
                </w:p>
              </w:tc>
              <w:tc>
                <w:tcPr/>
                <w:p>
                  <w:pPr>
                    <w:pStyle w:val="Compact"/>
                    <w:jc w:val="right"/>
                    <w:jc w:val="center"/>
                  </w:pPr>
                  <w:r>
                    <w:t xml:space="preserve">5.8</w:t>
                  </w:r>
                </w:p>
              </w:tc>
              <w:tc>
                <w:tcPr/>
                <w:p>
                  <w:pPr>
                    <w:pStyle w:val="Compact"/>
                    <w:jc w:val="right"/>
                    <w:jc w:val="center"/>
                  </w:pPr>
                  <w:r>
                    <w:t xml:space="preserve">3.9</w:t>
                  </w:r>
                </w:p>
              </w:tc>
              <w:tc>
                <w:tcPr/>
                <w:p>
                  <w:pPr>
                    <w:pStyle w:val="Compact"/>
                    <w:jc w:val="right"/>
                    <w:jc w:val="center"/>
                  </w:pPr>
                  <w:r>
                    <w:t xml:space="preserve">1656</w:t>
                  </w:r>
                </w:p>
              </w:tc>
            </w:tr>
            <w:tr>
              <w:tc>
                <w:tcPr/>
                <w:p>
                  <w:pPr>
                    <w:pStyle w:val="Compact"/>
                    <w:jc w:val="left"/>
                    <w:jc w:val="center"/>
                  </w:pPr>
                  <w:r>
                    <w:t xml:space="preserve">(0.1,0.2]</w:t>
                  </w:r>
                </w:p>
              </w:tc>
              <w:tc>
                <w:tcPr/>
                <w:p>
                  <w:pPr>
                    <w:pStyle w:val="Compact"/>
                    <w:jc w:val="right"/>
                    <w:jc w:val="center"/>
                  </w:pPr>
                  <w:r>
                    <w:t xml:space="preserve">13</w:t>
                  </w:r>
                </w:p>
              </w:tc>
              <w:tc>
                <w:tcPr/>
                <w:p>
                  <w:pPr>
                    <w:pStyle w:val="Compact"/>
                    <w:jc w:val="right"/>
                    <w:jc w:val="center"/>
                  </w:pPr>
                  <w:r>
                    <w:t xml:space="preserve">13.4</w:t>
                  </w:r>
                </w:p>
              </w:tc>
              <w:tc>
                <w:tcPr/>
                <w:p>
                  <w:pPr>
                    <w:pStyle w:val="Compact"/>
                    <w:jc w:val="right"/>
                    <w:jc w:val="center"/>
                  </w:pPr>
                  <w:r>
                    <w:t xml:space="preserve">18.3</w:t>
                  </w:r>
                </w:p>
              </w:tc>
              <w:tc>
                <w:tcPr/>
                <w:p>
                  <w:pPr>
                    <w:pStyle w:val="Compact"/>
                    <w:jc w:val="right"/>
                    <w:jc w:val="center"/>
                  </w:pPr>
                  <w:r>
                    <w:t xml:space="preserve">438</w:t>
                  </w:r>
                </w:p>
              </w:tc>
            </w:tr>
            <w:tr>
              <w:tc>
                <w:tcPr/>
                <w:p>
                  <w:pPr>
                    <w:pStyle w:val="Compact"/>
                    <w:jc w:val="left"/>
                    <w:jc w:val="center"/>
                  </w:pPr>
                  <w:r>
                    <w:t xml:space="preserve">(0.2,0.3]</w:t>
                  </w:r>
                </w:p>
              </w:tc>
              <w:tc>
                <w:tcPr/>
                <w:p>
                  <w:pPr>
                    <w:pStyle w:val="Compact"/>
                    <w:jc w:val="right"/>
                    <w:jc w:val="center"/>
                  </w:pPr>
                  <w:r>
                    <w:t xml:space="preserve">13</w:t>
                  </w:r>
                </w:p>
              </w:tc>
              <w:tc>
                <w:tcPr/>
                <w:p>
                  <w:pPr>
                    <w:pStyle w:val="Compact"/>
                    <w:jc w:val="right"/>
                    <w:jc w:val="center"/>
                  </w:pPr>
                  <w:r>
                    <w:t xml:space="preserve">22.9</w:t>
                  </w:r>
                </w:p>
              </w:tc>
              <w:tc>
                <w:tcPr/>
                <w:p>
                  <w:pPr>
                    <w:pStyle w:val="Compact"/>
                    <w:jc w:val="right"/>
                    <w:jc w:val="center"/>
                  </w:pPr>
                  <w:r>
                    <w:t xml:space="preserve">10.0</w:t>
                  </w:r>
                </w:p>
              </w:tc>
              <w:tc>
                <w:tcPr/>
                <w:p>
                  <w:pPr>
                    <w:pStyle w:val="Compact"/>
                    <w:jc w:val="right"/>
                    <w:jc w:val="center"/>
                  </w:pPr>
                  <w:r>
                    <w:t xml:space="preserve">50</w:t>
                  </w:r>
                </w:p>
              </w:tc>
            </w:tr>
            <w:tr>
              <w:tc>
                <w:tcPr/>
                <w:p>
                  <w:pPr>
                    <w:pStyle w:val="Compact"/>
                    <w:jc w:val="left"/>
                    <w:jc w:val="center"/>
                  </w:pPr>
                  <w:r>
                    <w:t xml:space="preserve">(0,0.1]</w:t>
                  </w:r>
                </w:p>
              </w:tc>
              <w:tc>
                <w:tcPr/>
                <w:p>
                  <w:pPr>
                    <w:pStyle w:val="Compact"/>
                    <w:jc w:val="right"/>
                    <w:jc w:val="center"/>
                  </w:pPr>
                  <w:r>
                    <w:t xml:space="preserve">14</w:t>
                  </w:r>
                </w:p>
              </w:tc>
              <w:tc>
                <w:tcPr/>
                <w:p>
                  <w:pPr>
                    <w:pStyle w:val="Compact"/>
                    <w:jc w:val="right"/>
                    <w:jc w:val="center"/>
                  </w:pPr>
                  <w:r>
                    <w:t xml:space="preserve">5.3</w:t>
                  </w:r>
                </w:p>
              </w:tc>
              <w:tc>
                <w:tcPr/>
                <w:p>
                  <w:pPr>
                    <w:pStyle w:val="Compact"/>
                    <w:jc w:val="right"/>
                    <w:jc w:val="center"/>
                  </w:pPr>
                  <w:r>
                    <w:t xml:space="preserve">5.8</w:t>
                  </w:r>
                </w:p>
              </w:tc>
              <w:tc>
                <w:tcPr/>
                <w:p>
                  <w:pPr>
                    <w:pStyle w:val="Compact"/>
                    <w:jc w:val="right"/>
                    <w:jc w:val="center"/>
                  </w:pPr>
                  <w:r>
                    <w:t xml:space="preserve">1945</w:t>
                  </w:r>
                </w:p>
              </w:tc>
            </w:tr>
            <w:tr>
              <w:tc>
                <w:tcPr/>
                <w:p>
                  <w:pPr>
                    <w:pStyle w:val="Compact"/>
                    <w:jc w:val="left"/>
                    <w:jc w:val="center"/>
                  </w:pPr>
                  <w:r>
                    <w:t xml:space="preserve">(0.1,0.2]</w:t>
                  </w:r>
                </w:p>
              </w:tc>
              <w:tc>
                <w:tcPr/>
                <w:p>
                  <w:pPr>
                    <w:pStyle w:val="Compact"/>
                    <w:jc w:val="right"/>
                    <w:jc w:val="center"/>
                  </w:pPr>
                  <w:r>
                    <w:t xml:space="preserve">14</w:t>
                  </w:r>
                </w:p>
              </w:tc>
              <w:tc>
                <w:tcPr/>
                <w:p>
                  <w:pPr>
                    <w:pStyle w:val="Compact"/>
                    <w:jc w:val="right"/>
                    <w:jc w:val="center"/>
                  </w:pPr>
                  <w:r>
                    <w:t xml:space="preserve">12.6</w:t>
                  </w:r>
                </w:p>
              </w:tc>
              <w:tc>
                <w:tcPr/>
                <w:p>
                  <w:pPr>
                    <w:pStyle w:val="Compact"/>
                    <w:jc w:val="right"/>
                    <w:jc w:val="center"/>
                  </w:pPr>
                  <w:r>
                    <w:t xml:space="preserve">11.5</w:t>
                  </w:r>
                </w:p>
              </w:tc>
              <w:tc>
                <w:tcPr/>
                <w:p>
                  <w:pPr>
                    <w:pStyle w:val="Compact"/>
                    <w:jc w:val="right"/>
                    <w:jc w:val="center"/>
                  </w:pPr>
                  <w:r>
                    <w:t xml:space="preserve">365</w:t>
                  </w:r>
                </w:p>
              </w:tc>
            </w:tr>
            <w:tr>
              <w:tc>
                <w:tcPr/>
                <w:p>
                  <w:pPr>
                    <w:pStyle w:val="Compact"/>
                    <w:jc w:val="left"/>
                    <w:jc w:val="center"/>
                  </w:pPr>
                  <w:r>
                    <w:t xml:space="preserve">(0.2,0.3]</w:t>
                  </w:r>
                </w:p>
              </w:tc>
              <w:tc>
                <w:tcPr/>
                <w:p>
                  <w:pPr>
                    <w:pStyle w:val="Compact"/>
                    <w:jc w:val="right"/>
                    <w:jc w:val="center"/>
                  </w:pPr>
                  <w:r>
                    <w:t xml:space="preserve">14</w:t>
                  </w:r>
                </w:p>
              </w:tc>
              <w:tc>
                <w:tcPr/>
                <w:p>
                  <w:pPr>
                    <w:pStyle w:val="Compact"/>
                    <w:jc w:val="right"/>
                    <w:jc w:val="center"/>
                  </w:pPr>
                  <w:r>
                    <w:t xml:space="preserve">22.0</w:t>
                  </w:r>
                </w:p>
              </w:tc>
              <w:tc>
                <w:tcPr/>
                <w:p>
                  <w:pPr>
                    <w:pStyle w:val="Compact"/>
                    <w:jc w:val="right"/>
                    <w:jc w:val="center"/>
                  </w:pPr>
                  <w:r>
                    <w:t xml:space="preserve">27.3</w:t>
                  </w:r>
                </w:p>
              </w:tc>
              <w:tc>
                <w:tcPr/>
                <w:p>
                  <w:pPr>
                    <w:pStyle w:val="Compact"/>
                    <w:jc w:val="right"/>
                    <w:jc w:val="center"/>
                  </w:pPr>
                  <w:r>
                    <w:t xml:space="preserve">11</w:t>
                  </w:r>
                </w:p>
              </w:tc>
            </w:tr>
            <w:tr>
              <w:tc>
                <w:tcPr/>
                <w:p>
                  <w:pPr>
                    <w:pStyle w:val="Compact"/>
                    <w:jc w:val="left"/>
                    <w:jc w:val="center"/>
                  </w:pPr>
                  <w:r>
                    <w:t xml:space="preserve">(0.3,0.4]</w:t>
                  </w:r>
                </w:p>
              </w:tc>
              <w:tc>
                <w:tcPr/>
                <w:p>
                  <w:pPr>
                    <w:pStyle w:val="Compact"/>
                    <w:jc w:val="right"/>
                    <w:jc w:val="center"/>
                  </w:pPr>
                  <w:r>
                    <w:t xml:space="preserve">14</w:t>
                  </w:r>
                </w:p>
              </w:tc>
              <w:tc>
                <w:tcPr/>
                <w:p>
                  <w:pPr>
                    <w:pStyle w:val="Compact"/>
                    <w:jc w:val="right"/>
                    <w:jc w:val="center"/>
                  </w:pPr>
                  <w:r>
                    <w:t xml:space="preserve">35.6</w:t>
                  </w:r>
                </w:p>
              </w:tc>
              <w:tc>
                <w:tcPr/>
                <w:p>
                  <w:pPr>
                    <w:pStyle w:val="Compact"/>
                    <w:jc w:val="right"/>
                    <w:jc w:val="center"/>
                  </w:pPr>
                  <w:r>
                    <w:t xml:space="preserve">0.0</w:t>
                  </w:r>
                </w:p>
              </w:tc>
              <w:tc>
                <w:tcPr/>
                <w:p>
                  <w:pPr>
                    <w:pStyle w:val="Compact"/>
                    <w:jc w:val="right"/>
                    <w:jc w:val="center"/>
                  </w:pPr>
                  <w:r>
                    <w:t xml:space="preserve">1</w:t>
                  </w:r>
                </w:p>
              </w:tc>
            </w:tr>
            <w:tr>
              <w:tc>
                <w:tcPr/>
                <w:p>
                  <w:pPr>
                    <w:pStyle w:val="Compact"/>
                    <w:jc w:val="left"/>
                    <w:jc w:val="center"/>
                  </w:pPr>
                  <w:r>
                    <w:t xml:space="preserve">(0,0.1]</w:t>
                  </w:r>
                </w:p>
              </w:tc>
              <w:tc>
                <w:tcPr/>
                <w:p>
                  <w:pPr>
                    <w:pStyle w:val="Compact"/>
                    <w:jc w:val="right"/>
                    <w:jc w:val="center"/>
                  </w:pPr>
                  <w:r>
                    <w:t xml:space="preserve">15</w:t>
                  </w:r>
                </w:p>
              </w:tc>
              <w:tc>
                <w:tcPr/>
                <w:p>
                  <w:pPr>
                    <w:pStyle w:val="Compact"/>
                    <w:jc w:val="right"/>
                    <w:jc w:val="center"/>
                  </w:pPr>
                  <w:r>
                    <w:t xml:space="preserve">6.6</w:t>
                  </w:r>
                </w:p>
              </w:tc>
              <w:tc>
                <w:tcPr/>
                <w:p>
                  <w:pPr>
                    <w:pStyle w:val="Compact"/>
                    <w:jc w:val="right"/>
                    <w:jc w:val="center"/>
                  </w:pPr>
                  <w:r>
                    <w:t xml:space="preserve">4.5</w:t>
                  </w:r>
                </w:p>
              </w:tc>
              <w:tc>
                <w:tcPr/>
                <w:p>
                  <w:pPr>
                    <w:pStyle w:val="Compact"/>
                    <w:jc w:val="right"/>
                    <w:jc w:val="center"/>
                  </w:pPr>
                  <w:r>
                    <w:t xml:space="preserve">1930</w:t>
                  </w:r>
                </w:p>
              </w:tc>
            </w:tr>
            <w:tr>
              <w:tc>
                <w:tcPr/>
                <w:p>
                  <w:pPr>
                    <w:pStyle w:val="Compact"/>
                    <w:jc w:val="left"/>
                    <w:jc w:val="center"/>
                  </w:pPr>
                  <w:r>
                    <w:t xml:space="preserve">(0.1,0.2]</w:t>
                  </w:r>
                </w:p>
              </w:tc>
              <w:tc>
                <w:tcPr/>
                <w:p>
                  <w:pPr>
                    <w:pStyle w:val="Compact"/>
                    <w:jc w:val="right"/>
                    <w:jc w:val="center"/>
                  </w:pPr>
                  <w:r>
                    <w:t xml:space="preserve">15</w:t>
                  </w:r>
                </w:p>
              </w:tc>
              <w:tc>
                <w:tcPr/>
                <w:p>
                  <w:pPr>
                    <w:pStyle w:val="Compact"/>
                    <w:jc w:val="right"/>
                    <w:jc w:val="center"/>
                  </w:pPr>
                  <w:r>
                    <w:t xml:space="preserve">12.8</w:t>
                  </w:r>
                </w:p>
              </w:tc>
              <w:tc>
                <w:tcPr/>
                <w:p>
                  <w:pPr>
                    <w:pStyle w:val="Compact"/>
                    <w:jc w:val="right"/>
                    <w:jc w:val="center"/>
                  </w:pPr>
                  <w:r>
                    <w:t xml:space="preserve">14.3</w:t>
                  </w:r>
                </w:p>
              </w:tc>
              <w:tc>
                <w:tcPr/>
                <w:p>
                  <w:pPr>
                    <w:pStyle w:val="Compact"/>
                    <w:jc w:val="right"/>
                    <w:jc w:val="center"/>
                  </w:pPr>
                  <w:r>
                    <w:t xml:space="preserve">419</w:t>
                  </w:r>
                </w:p>
              </w:tc>
            </w:tr>
            <w:tr>
              <w:tc>
                <w:tcPr/>
                <w:p>
                  <w:pPr>
                    <w:pStyle w:val="Compact"/>
                    <w:jc w:val="left"/>
                    <w:jc w:val="center"/>
                  </w:pPr>
                  <w:r>
                    <w:t xml:space="preserve">(0.2,0.3]</w:t>
                  </w:r>
                </w:p>
              </w:tc>
              <w:tc>
                <w:tcPr/>
                <w:p>
                  <w:pPr>
                    <w:pStyle w:val="Compact"/>
                    <w:jc w:val="right"/>
                    <w:jc w:val="center"/>
                  </w:pPr>
                  <w:r>
                    <w:t xml:space="preserve">15</w:t>
                  </w:r>
                </w:p>
              </w:tc>
              <w:tc>
                <w:tcPr/>
                <w:p>
                  <w:pPr>
                    <w:pStyle w:val="Compact"/>
                    <w:jc w:val="right"/>
                    <w:jc w:val="center"/>
                  </w:pPr>
                  <w:r>
                    <w:t xml:space="preserve">22.5</w:t>
                  </w:r>
                </w:p>
              </w:tc>
              <w:tc>
                <w:tcPr/>
                <w:p>
                  <w:pPr>
                    <w:pStyle w:val="Compact"/>
                    <w:jc w:val="right"/>
                    <w:jc w:val="center"/>
                  </w:pPr>
                  <w:r>
                    <w:t xml:space="preserve">28.6</w:t>
                  </w:r>
                </w:p>
              </w:tc>
              <w:tc>
                <w:tcPr/>
                <w:p>
                  <w:pPr>
                    <w:pStyle w:val="Compact"/>
                    <w:jc w:val="right"/>
                    <w:jc w:val="center"/>
                  </w:pPr>
                  <w:r>
                    <w:t xml:space="preserve">7</w:t>
                  </w:r>
                </w:p>
              </w:tc>
            </w:tr>
            <w:tr>
              <w:tc>
                <w:tcPr/>
                <w:p>
                  <w:pPr>
                    <w:pStyle w:val="Compact"/>
                    <w:jc w:val="left"/>
                    <w:jc w:val="center"/>
                  </w:pPr>
                  <w:r>
                    <w:t xml:space="preserve">(0,0.1]</w:t>
                  </w:r>
                </w:p>
              </w:tc>
              <w:tc>
                <w:tcPr/>
                <w:p>
                  <w:pPr>
                    <w:pStyle w:val="Compact"/>
                    <w:jc w:val="right"/>
                    <w:jc w:val="center"/>
                  </w:pPr>
                  <w:r>
                    <w:t xml:space="preserve">16</w:t>
                  </w:r>
                </w:p>
              </w:tc>
              <w:tc>
                <w:tcPr/>
                <w:p>
                  <w:pPr>
                    <w:pStyle w:val="Compact"/>
                    <w:jc w:val="right"/>
                    <w:jc w:val="center"/>
                  </w:pPr>
                  <w:r>
                    <w:t xml:space="preserve">6.5</w:t>
                  </w:r>
                </w:p>
              </w:tc>
              <w:tc>
                <w:tcPr/>
                <w:p>
                  <w:pPr>
                    <w:pStyle w:val="Compact"/>
                    <w:jc w:val="right"/>
                    <w:jc w:val="center"/>
                  </w:pPr>
                  <w:r>
                    <w:t xml:space="preserve">5.4</w:t>
                  </w:r>
                </w:p>
              </w:tc>
              <w:tc>
                <w:tcPr/>
                <w:p>
                  <w:pPr>
                    <w:pStyle w:val="Compact"/>
                    <w:jc w:val="right"/>
                    <w:jc w:val="center"/>
                  </w:pPr>
                  <w:r>
                    <w:t xml:space="preserve">1738</w:t>
                  </w:r>
                </w:p>
              </w:tc>
            </w:tr>
            <w:tr>
              <w:tc>
                <w:tcPr/>
                <w:p>
                  <w:pPr>
                    <w:pStyle w:val="Compact"/>
                    <w:jc w:val="left"/>
                    <w:jc w:val="center"/>
                  </w:pPr>
                  <w:r>
                    <w:t xml:space="preserve">(0.1,0.2]</w:t>
                  </w:r>
                </w:p>
              </w:tc>
              <w:tc>
                <w:tcPr/>
                <w:p>
                  <w:pPr>
                    <w:pStyle w:val="Compact"/>
                    <w:jc w:val="right"/>
                    <w:jc w:val="center"/>
                  </w:pPr>
                  <w:r>
                    <w:t xml:space="preserve">16</w:t>
                  </w:r>
                </w:p>
              </w:tc>
              <w:tc>
                <w:tcPr/>
                <w:p>
                  <w:pPr>
                    <w:pStyle w:val="Compact"/>
                    <w:jc w:val="right"/>
                    <w:jc w:val="center"/>
                  </w:pPr>
                  <w:r>
                    <w:t xml:space="preserve">13.5</w:t>
                  </w:r>
                </w:p>
              </w:tc>
              <w:tc>
                <w:tcPr/>
                <w:p>
                  <w:pPr>
                    <w:pStyle w:val="Compact"/>
                    <w:jc w:val="right"/>
                    <w:jc w:val="center"/>
                  </w:pPr>
                  <w:r>
                    <w:t xml:space="preserve">11.4</w:t>
                  </w:r>
                </w:p>
              </w:tc>
              <w:tc>
                <w:tcPr/>
                <w:p>
                  <w:pPr>
                    <w:pStyle w:val="Compact"/>
                    <w:jc w:val="right"/>
                    <w:jc w:val="center"/>
                  </w:pPr>
                  <w:r>
                    <w:t xml:space="preserve">554</w:t>
                  </w:r>
                </w:p>
              </w:tc>
            </w:tr>
            <w:tr>
              <w:tc>
                <w:tcPr/>
                <w:p>
                  <w:pPr>
                    <w:pStyle w:val="Compact"/>
                    <w:jc w:val="left"/>
                    <w:jc w:val="center"/>
                  </w:pPr>
                  <w:r>
                    <w:t xml:space="preserve">(0.2,0.3]</w:t>
                  </w:r>
                </w:p>
              </w:tc>
              <w:tc>
                <w:tcPr/>
                <w:p>
                  <w:pPr>
                    <w:pStyle w:val="Compact"/>
                    <w:jc w:val="right"/>
                    <w:jc w:val="center"/>
                  </w:pPr>
                  <w:r>
                    <w:t xml:space="preserve">16</w:t>
                  </w:r>
                </w:p>
              </w:tc>
              <w:tc>
                <w:tcPr/>
                <w:p>
                  <w:pPr>
                    <w:pStyle w:val="Compact"/>
                    <w:jc w:val="right"/>
                    <w:jc w:val="center"/>
                  </w:pPr>
                  <w:r>
                    <w:t xml:space="preserve">21.8</w:t>
                  </w:r>
                </w:p>
              </w:tc>
              <w:tc>
                <w:tcPr/>
                <w:p>
                  <w:pPr>
                    <w:pStyle w:val="Compact"/>
                    <w:jc w:val="right"/>
                    <w:jc w:val="center"/>
                  </w:pPr>
                  <w:r>
                    <w:t xml:space="preserve">45.2</w:t>
                  </w:r>
                </w:p>
              </w:tc>
              <w:tc>
                <w:tcPr/>
                <w:p>
                  <w:pPr>
                    <w:pStyle w:val="Compact"/>
                    <w:jc w:val="right"/>
                    <w:jc w:val="center"/>
                  </w:pPr>
                  <w:r>
                    <w:t xml:space="preserve">31</w:t>
                  </w:r>
                </w:p>
              </w:tc>
            </w:tr>
            <w:tr>
              <w:tc>
                <w:tcPr/>
                <w:p>
                  <w:pPr>
                    <w:pStyle w:val="Compact"/>
                    <w:jc w:val="left"/>
                    <w:jc w:val="center"/>
                  </w:pPr>
                  <w:r>
                    <w:t xml:space="preserve">(0,0.1]</w:t>
                  </w:r>
                </w:p>
              </w:tc>
              <w:tc>
                <w:tcPr/>
                <w:p>
                  <w:pPr>
                    <w:pStyle w:val="Compact"/>
                    <w:jc w:val="right"/>
                    <w:jc w:val="center"/>
                  </w:pPr>
                  <w:r>
                    <w:t xml:space="preserve">17</w:t>
                  </w:r>
                </w:p>
              </w:tc>
              <w:tc>
                <w:tcPr/>
                <w:p>
                  <w:pPr>
                    <w:pStyle w:val="Compact"/>
                    <w:jc w:val="right"/>
                    <w:jc w:val="center"/>
                  </w:pPr>
                  <w:r>
                    <w:t xml:space="preserve">4.8</w:t>
                  </w:r>
                </w:p>
              </w:tc>
              <w:tc>
                <w:tcPr/>
                <w:p>
                  <w:pPr>
                    <w:pStyle w:val="Compact"/>
                    <w:jc w:val="right"/>
                    <w:jc w:val="center"/>
                  </w:pPr>
                  <w:r>
                    <w:t xml:space="preserve">6.4</w:t>
                  </w:r>
                </w:p>
              </w:tc>
              <w:tc>
                <w:tcPr/>
                <w:p>
                  <w:pPr>
                    <w:pStyle w:val="Compact"/>
                    <w:jc w:val="right"/>
                    <w:jc w:val="center"/>
                  </w:pPr>
                  <w:r>
                    <w:t xml:space="preserve">1979</w:t>
                  </w:r>
                </w:p>
              </w:tc>
            </w:tr>
            <w:tr>
              <w:tc>
                <w:tcPr/>
                <w:p>
                  <w:pPr>
                    <w:pStyle w:val="Compact"/>
                    <w:jc w:val="left"/>
                    <w:jc w:val="center"/>
                  </w:pPr>
                  <w:r>
                    <w:t xml:space="preserve">(0.1,0.2]</w:t>
                  </w:r>
                </w:p>
              </w:tc>
              <w:tc>
                <w:tcPr/>
                <w:p>
                  <w:pPr>
                    <w:pStyle w:val="Compact"/>
                    <w:jc w:val="right"/>
                    <w:jc w:val="center"/>
                  </w:pPr>
                  <w:r>
                    <w:t xml:space="preserve">17</w:t>
                  </w:r>
                </w:p>
              </w:tc>
              <w:tc>
                <w:tcPr/>
                <w:p>
                  <w:pPr>
                    <w:pStyle w:val="Compact"/>
                    <w:jc w:val="right"/>
                    <w:jc w:val="center"/>
                  </w:pPr>
                  <w:r>
                    <w:t xml:space="preserve">12.6</w:t>
                  </w:r>
                </w:p>
              </w:tc>
              <w:tc>
                <w:tcPr/>
                <w:p>
                  <w:pPr>
                    <w:pStyle w:val="Compact"/>
                    <w:jc w:val="right"/>
                    <w:jc w:val="center"/>
                  </w:pPr>
                  <w:r>
                    <w:t xml:space="preserve">20.8</w:t>
                  </w:r>
                </w:p>
              </w:tc>
              <w:tc>
                <w:tcPr/>
                <w:p>
                  <w:pPr>
                    <w:pStyle w:val="Compact"/>
                    <w:jc w:val="right"/>
                    <w:jc w:val="center"/>
                  </w:pPr>
                  <w:r>
                    <w:t xml:space="preserve">216</w:t>
                  </w:r>
                </w:p>
              </w:tc>
            </w:tr>
            <w:tr>
              <w:tc>
                <w:tcPr/>
                <w:p>
                  <w:pPr>
                    <w:pStyle w:val="Compact"/>
                    <w:jc w:val="left"/>
                    <w:jc w:val="center"/>
                  </w:pPr>
                  <w:r>
                    <w:t xml:space="preserve">(0.2,0.3]</w:t>
                  </w:r>
                </w:p>
              </w:tc>
              <w:tc>
                <w:tcPr/>
                <w:p>
                  <w:pPr>
                    <w:pStyle w:val="Compact"/>
                    <w:jc w:val="right"/>
                    <w:jc w:val="center"/>
                  </w:pPr>
                  <w:r>
                    <w:t xml:space="preserve">17</w:t>
                  </w:r>
                </w:p>
              </w:tc>
              <w:tc>
                <w:tcPr/>
                <w:p>
                  <w:pPr>
                    <w:pStyle w:val="Compact"/>
                    <w:jc w:val="right"/>
                    <w:jc w:val="center"/>
                  </w:pPr>
                  <w:r>
                    <w:t xml:space="preserve">23.4</w:t>
                  </w:r>
                </w:p>
              </w:tc>
              <w:tc>
                <w:tcPr/>
                <w:p>
                  <w:pPr>
                    <w:pStyle w:val="Compact"/>
                    <w:jc w:val="right"/>
                    <w:jc w:val="center"/>
                  </w:pPr>
                  <w:r>
                    <w:t xml:space="preserve">46.3</w:t>
                  </w:r>
                </w:p>
              </w:tc>
              <w:tc>
                <w:tcPr/>
                <w:p>
                  <w:pPr>
                    <w:pStyle w:val="Compact"/>
                    <w:jc w:val="right"/>
                    <w:jc w:val="center"/>
                  </w:pPr>
                  <w:r>
                    <w:t xml:space="preserve">41</w:t>
                  </w:r>
                </w:p>
              </w:tc>
            </w:tr>
            <w:tr>
              <w:tc>
                <w:tcPr/>
                <w:p>
                  <w:pPr>
                    <w:pStyle w:val="Compact"/>
                    <w:jc w:val="left"/>
                    <w:jc w:val="center"/>
                  </w:pPr>
                  <w:r>
                    <w:t xml:space="preserve">(0.3,0.4]</w:t>
                  </w:r>
                </w:p>
              </w:tc>
              <w:tc>
                <w:tcPr/>
                <w:p>
                  <w:pPr>
                    <w:pStyle w:val="Compact"/>
                    <w:jc w:val="right"/>
                    <w:jc w:val="center"/>
                  </w:pPr>
                  <w:r>
                    <w:t xml:space="preserve">17</w:t>
                  </w:r>
                </w:p>
              </w:tc>
              <w:tc>
                <w:tcPr/>
                <w:p>
                  <w:pPr>
                    <w:pStyle w:val="Compact"/>
                    <w:jc w:val="right"/>
                    <w:jc w:val="center"/>
                  </w:pPr>
                  <w:r>
                    <w:t xml:space="preserve">30.5</w:t>
                  </w:r>
                </w:p>
              </w:tc>
              <w:tc>
                <w:tcPr/>
                <w:p>
                  <w:pPr>
                    <w:pStyle w:val="Compact"/>
                    <w:jc w:val="right"/>
                    <w:jc w:val="center"/>
                  </w:pPr>
                  <w:r>
                    <w:t xml:space="preserve">100.0</w:t>
                  </w:r>
                </w:p>
              </w:tc>
              <w:tc>
                <w:tcPr/>
                <w:p>
                  <w:pPr>
                    <w:pStyle w:val="Compact"/>
                    <w:jc w:val="right"/>
                    <w:jc w:val="center"/>
                  </w:pPr>
                  <w:r>
                    <w:t xml:space="preserve">1</w:t>
                  </w:r>
                </w:p>
              </w:tc>
            </w:tr>
            <w:tr>
              <w:tc>
                <w:tcPr/>
                <w:p>
                  <w:pPr>
                    <w:pStyle w:val="Compact"/>
                    <w:jc w:val="left"/>
                    <w:jc w:val="center"/>
                  </w:pPr>
                  <w:r>
                    <w:t xml:space="preserve">(0,0.1]</w:t>
                  </w:r>
                </w:p>
              </w:tc>
              <w:tc>
                <w:tcPr/>
                <w:p>
                  <w:pPr>
                    <w:pStyle w:val="Compact"/>
                    <w:jc w:val="right"/>
                    <w:jc w:val="center"/>
                  </w:pPr>
                  <w:r>
                    <w:t xml:space="preserve">18</w:t>
                  </w:r>
                </w:p>
              </w:tc>
              <w:tc>
                <w:tcPr/>
                <w:p>
                  <w:pPr>
                    <w:pStyle w:val="Compact"/>
                    <w:jc w:val="right"/>
                    <w:jc w:val="center"/>
                  </w:pPr>
                  <w:r>
                    <w:t xml:space="preserve">5.9</w:t>
                  </w:r>
                </w:p>
              </w:tc>
              <w:tc>
                <w:tcPr/>
                <w:p>
                  <w:pPr>
                    <w:pStyle w:val="Compact"/>
                    <w:jc w:val="right"/>
                    <w:jc w:val="center"/>
                  </w:pPr>
                  <w:r>
                    <w:t xml:space="preserve">6.7</w:t>
                  </w:r>
                </w:p>
              </w:tc>
              <w:tc>
                <w:tcPr/>
                <w:p>
                  <w:pPr>
                    <w:pStyle w:val="Compact"/>
                    <w:jc w:val="right"/>
                    <w:jc w:val="center"/>
                  </w:pPr>
                  <w:r>
                    <w:t xml:space="preserve">1576</w:t>
                  </w:r>
                </w:p>
              </w:tc>
            </w:tr>
            <w:tr>
              <w:tc>
                <w:tcPr/>
                <w:p>
                  <w:pPr>
                    <w:pStyle w:val="Compact"/>
                    <w:jc w:val="left"/>
                    <w:jc w:val="center"/>
                  </w:pPr>
                  <w:r>
                    <w:t xml:space="preserve">(0.1,0.2]</w:t>
                  </w:r>
                </w:p>
              </w:tc>
              <w:tc>
                <w:tcPr/>
                <w:p>
                  <w:pPr>
                    <w:pStyle w:val="Compact"/>
                    <w:jc w:val="right"/>
                    <w:jc w:val="center"/>
                  </w:pPr>
                  <w:r>
                    <w:t xml:space="preserve">18</w:t>
                  </w:r>
                </w:p>
              </w:tc>
              <w:tc>
                <w:tcPr/>
                <w:p>
                  <w:pPr>
                    <w:pStyle w:val="Compact"/>
                    <w:jc w:val="right"/>
                    <w:jc w:val="center"/>
                  </w:pPr>
                  <w:r>
                    <w:t xml:space="preserve">13.5</w:t>
                  </w:r>
                </w:p>
              </w:tc>
              <w:tc>
                <w:tcPr/>
                <w:p>
                  <w:pPr>
                    <w:pStyle w:val="Compact"/>
                    <w:jc w:val="right"/>
                    <w:jc w:val="center"/>
                  </w:pPr>
                  <w:r>
                    <w:t xml:space="preserve">12.6</w:t>
                  </w:r>
                </w:p>
              </w:tc>
              <w:tc>
                <w:tcPr/>
                <w:p>
                  <w:pPr>
                    <w:pStyle w:val="Compact"/>
                    <w:jc w:val="right"/>
                    <w:jc w:val="center"/>
                  </w:pPr>
                  <w:r>
                    <w:t xml:space="preserve">563</w:t>
                  </w:r>
                </w:p>
              </w:tc>
            </w:tr>
            <w:tr>
              <w:tc>
                <w:tcPr/>
                <w:p>
                  <w:pPr>
                    <w:pStyle w:val="Compact"/>
                    <w:jc w:val="left"/>
                    <w:jc w:val="center"/>
                  </w:pPr>
                  <w:r>
                    <w:t xml:space="preserve">(0.2,0.3]</w:t>
                  </w:r>
                </w:p>
              </w:tc>
              <w:tc>
                <w:tcPr/>
                <w:p>
                  <w:pPr>
                    <w:pStyle w:val="Compact"/>
                    <w:jc w:val="right"/>
                    <w:jc w:val="center"/>
                  </w:pPr>
                  <w:r>
                    <w:t xml:space="preserve">18</w:t>
                  </w:r>
                </w:p>
              </w:tc>
              <w:tc>
                <w:tcPr/>
                <w:p>
                  <w:pPr>
                    <w:pStyle w:val="Compact"/>
                    <w:jc w:val="right"/>
                    <w:jc w:val="center"/>
                  </w:pPr>
                  <w:r>
                    <w:t xml:space="preserve">24.0</w:t>
                  </w:r>
                </w:p>
              </w:tc>
              <w:tc>
                <w:tcPr/>
                <w:p>
                  <w:pPr>
                    <w:pStyle w:val="Compact"/>
                    <w:jc w:val="right"/>
                    <w:jc w:val="center"/>
                  </w:pPr>
                  <w:r>
                    <w:t xml:space="preserve">15.0</w:t>
                  </w:r>
                </w:p>
              </w:tc>
              <w:tc>
                <w:tcPr/>
                <w:p>
                  <w:pPr>
                    <w:pStyle w:val="Compact"/>
                    <w:jc w:val="right"/>
                    <w:jc w:val="center"/>
                  </w:pPr>
                  <w:r>
                    <w:t xml:space="preserve">60</w:t>
                  </w:r>
                </w:p>
              </w:tc>
            </w:tr>
            <w:tr>
              <w:tc>
                <w:tcPr/>
                <w:p>
                  <w:pPr>
                    <w:pStyle w:val="Compact"/>
                    <w:jc w:val="left"/>
                    <w:jc w:val="center"/>
                  </w:pPr>
                  <w:r>
                    <w:t xml:space="preserve">(0.3,0.4]</w:t>
                  </w:r>
                </w:p>
              </w:tc>
              <w:tc>
                <w:tcPr/>
                <w:p>
                  <w:pPr>
                    <w:pStyle w:val="Compact"/>
                    <w:jc w:val="right"/>
                    <w:jc w:val="center"/>
                  </w:pPr>
                  <w:r>
                    <w:t xml:space="preserve">18</w:t>
                  </w:r>
                </w:p>
              </w:tc>
              <w:tc>
                <w:tcPr/>
                <w:p>
                  <w:pPr>
                    <w:pStyle w:val="Compact"/>
                    <w:jc w:val="right"/>
                    <w:jc w:val="center"/>
                  </w:pPr>
                  <w:r>
                    <w:t xml:space="preserve">32.2</w:t>
                  </w:r>
                </w:p>
              </w:tc>
              <w:tc>
                <w:tcPr/>
                <w:p>
                  <w:pPr>
                    <w:pStyle w:val="Compact"/>
                    <w:jc w:val="right"/>
                    <w:jc w:val="center"/>
                  </w:pPr>
                  <w:r>
                    <w:t xml:space="preserve">10.5</w:t>
                  </w:r>
                </w:p>
              </w:tc>
              <w:tc>
                <w:tcPr/>
                <w:p>
                  <w:pPr>
                    <w:pStyle w:val="Compact"/>
                    <w:jc w:val="right"/>
                    <w:jc w:val="center"/>
                  </w:pPr>
                  <w:r>
                    <w:t xml:space="preserve">19</w:t>
                  </w:r>
                </w:p>
              </w:tc>
            </w:tr>
            <w:tr>
              <w:tc>
                <w:tcPr/>
                <w:p>
                  <w:pPr>
                    <w:pStyle w:val="Compact"/>
                    <w:jc w:val="left"/>
                    <w:jc w:val="center"/>
                  </w:pPr>
                  <w:r>
                    <w:t xml:space="preserve">(0,0.1]</w:t>
                  </w:r>
                </w:p>
              </w:tc>
              <w:tc>
                <w:tcPr/>
                <w:p>
                  <w:pPr>
                    <w:pStyle w:val="Compact"/>
                    <w:jc w:val="right"/>
                    <w:jc w:val="center"/>
                  </w:pPr>
                  <w:r>
                    <w:t xml:space="preserve">19</w:t>
                  </w:r>
                </w:p>
              </w:tc>
              <w:tc>
                <w:tcPr/>
                <w:p>
                  <w:pPr>
                    <w:pStyle w:val="Compact"/>
                    <w:jc w:val="right"/>
                    <w:jc w:val="center"/>
                  </w:pPr>
                  <w:r>
                    <w:t xml:space="preserve">8.2</w:t>
                  </w:r>
                </w:p>
              </w:tc>
              <w:tc>
                <w:tcPr/>
                <w:p>
                  <w:pPr>
                    <w:pStyle w:val="Compact"/>
                    <w:jc w:val="right"/>
                    <w:jc w:val="center"/>
                  </w:pPr>
                  <w:r>
                    <w:t xml:space="preserve">1.9</w:t>
                  </w:r>
                </w:p>
              </w:tc>
              <w:tc>
                <w:tcPr/>
                <w:p>
                  <w:pPr>
                    <w:pStyle w:val="Compact"/>
                    <w:jc w:val="right"/>
                    <w:jc w:val="center"/>
                  </w:pPr>
                  <w:r>
                    <w:t xml:space="preserve">1510</w:t>
                  </w:r>
                </w:p>
              </w:tc>
            </w:tr>
            <w:tr>
              <w:tc>
                <w:tcPr/>
                <w:p>
                  <w:pPr>
                    <w:pStyle w:val="Compact"/>
                    <w:jc w:val="left"/>
                    <w:jc w:val="center"/>
                  </w:pPr>
                  <w:r>
                    <w:t xml:space="preserve">(0.1,0.2]</w:t>
                  </w:r>
                </w:p>
              </w:tc>
              <w:tc>
                <w:tcPr/>
                <w:p>
                  <w:pPr>
                    <w:pStyle w:val="Compact"/>
                    <w:jc w:val="right"/>
                    <w:jc w:val="center"/>
                  </w:pPr>
                  <w:r>
                    <w:t xml:space="preserve">19</w:t>
                  </w:r>
                </w:p>
              </w:tc>
              <w:tc>
                <w:tcPr/>
                <w:p>
                  <w:pPr>
                    <w:pStyle w:val="Compact"/>
                    <w:jc w:val="right"/>
                    <w:jc w:val="center"/>
                  </w:pPr>
                  <w:r>
                    <w:t xml:space="preserve">12.1</w:t>
                  </w:r>
                </w:p>
              </w:tc>
              <w:tc>
                <w:tcPr/>
                <w:p>
                  <w:pPr>
                    <w:pStyle w:val="Compact"/>
                    <w:jc w:val="right"/>
                    <w:jc w:val="center"/>
                  </w:pPr>
                  <w:r>
                    <w:t xml:space="preserve">16.0</w:t>
                  </w:r>
                </w:p>
              </w:tc>
              <w:tc>
                <w:tcPr/>
                <w:p>
                  <w:pPr>
                    <w:pStyle w:val="Compact"/>
                    <w:jc w:val="right"/>
                    <w:jc w:val="center"/>
                  </w:pPr>
                  <w:r>
                    <w:t xml:space="preserve">851</w:t>
                  </w:r>
                </w:p>
              </w:tc>
            </w:tr>
            <w:tr>
              <w:tc>
                <w:tcPr/>
                <w:p>
                  <w:pPr>
                    <w:pStyle w:val="Compact"/>
                    <w:jc w:val="left"/>
                    <w:jc w:val="center"/>
                  </w:pPr>
                  <w:r>
                    <w:t xml:space="preserve">(0,0.1]</w:t>
                  </w:r>
                </w:p>
              </w:tc>
              <w:tc>
                <w:tcPr/>
                <w:p>
                  <w:pPr>
                    <w:pStyle w:val="Compact"/>
                    <w:jc w:val="right"/>
                    <w:jc w:val="center"/>
                  </w:pPr>
                  <w:r>
                    <w:t xml:space="preserve">20</w:t>
                  </w:r>
                </w:p>
              </w:tc>
              <w:tc>
                <w:tcPr/>
                <w:p>
                  <w:pPr>
                    <w:pStyle w:val="Compact"/>
                    <w:jc w:val="right"/>
                    <w:jc w:val="center"/>
                  </w:pPr>
                  <w:r>
                    <w:t xml:space="preserve">4.3</w:t>
                  </w:r>
                </w:p>
              </w:tc>
              <w:tc>
                <w:tcPr/>
                <w:p>
                  <w:pPr>
                    <w:pStyle w:val="Compact"/>
                    <w:jc w:val="right"/>
                    <w:jc w:val="center"/>
                  </w:pPr>
                  <w:r>
                    <w:t xml:space="preserve">3.6</w:t>
                  </w:r>
                </w:p>
              </w:tc>
              <w:tc>
                <w:tcPr/>
                <w:p>
                  <w:pPr>
                    <w:pStyle w:val="Compact"/>
                    <w:jc w:val="right"/>
                    <w:jc w:val="center"/>
                  </w:pPr>
                  <w:r>
                    <w:t xml:space="preserve">1838</w:t>
                  </w:r>
                </w:p>
              </w:tc>
            </w:tr>
            <w:tr>
              <w:tc>
                <w:tcPr/>
                <w:p>
                  <w:pPr>
                    <w:pStyle w:val="Compact"/>
                    <w:jc w:val="left"/>
                    <w:jc w:val="center"/>
                  </w:pPr>
                  <w:r>
                    <w:t xml:space="preserve">(0.1,0.2]</w:t>
                  </w:r>
                </w:p>
              </w:tc>
              <w:tc>
                <w:tcPr/>
                <w:p>
                  <w:pPr>
                    <w:pStyle w:val="Compact"/>
                    <w:jc w:val="right"/>
                    <w:jc w:val="center"/>
                  </w:pPr>
                  <w:r>
                    <w:t xml:space="preserve">20</w:t>
                  </w:r>
                </w:p>
              </w:tc>
              <w:tc>
                <w:tcPr/>
                <w:p>
                  <w:pPr>
                    <w:pStyle w:val="Compact"/>
                    <w:jc w:val="right"/>
                    <w:jc w:val="center"/>
                  </w:pPr>
                  <w:r>
                    <w:t xml:space="preserve">13.7</w:t>
                  </w:r>
                </w:p>
              </w:tc>
              <w:tc>
                <w:tcPr/>
                <w:p>
                  <w:pPr>
                    <w:pStyle w:val="Compact"/>
                    <w:jc w:val="right"/>
                    <w:jc w:val="center"/>
                  </w:pPr>
                  <w:r>
                    <w:t xml:space="preserve">13.8</w:t>
                  </w:r>
                </w:p>
              </w:tc>
              <w:tc>
                <w:tcPr/>
                <w:p>
                  <w:pPr>
                    <w:pStyle w:val="Compact"/>
                    <w:jc w:val="right"/>
                    <w:jc w:val="center"/>
                  </w:pPr>
                  <w:r>
                    <w:t xml:space="preserve">406</w:t>
                  </w:r>
                </w:p>
              </w:tc>
            </w:tr>
            <w:tr>
              <w:tc>
                <w:tcPr/>
                <w:p>
                  <w:pPr>
                    <w:pStyle w:val="Compact"/>
                    <w:jc w:val="left"/>
                    <w:jc w:val="center"/>
                  </w:pPr>
                  <w:r>
                    <w:t xml:space="preserve">(0.2,0.3]</w:t>
                  </w:r>
                </w:p>
              </w:tc>
              <w:tc>
                <w:tcPr/>
                <w:p>
                  <w:pPr>
                    <w:pStyle w:val="Compact"/>
                    <w:jc w:val="right"/>
                    <w:jc w:val="center"/>
                  </w:pPr>
                  <w:r>
                    <w:t xml:space="preserve">20</w:t>
                  </w:r>
                </w:p>
              </w:tc>
              <w:tc>
                <w:tcPr/>
                <w:p>
                  <w:pPr>
                    <w:pStyle w:val="Compact"/>
                    <w:jc w:val="right"/>
                    <w:jc w:val="center"/>
                  </w:pPr>
                  <w:r>
                    <w:t xml:space="preserve">24.8</w:t>
                  </w:r>
                </w:p>
              </w:tc>
              <w:tc>
                <w:tcPr/>
                <w:p>
                  <w:pPr>
                    <w:pStyle w:val="Compact"/>
                    <w:jc w:val="right"/>
                    <w:jc w:val="center"/>
                  </w:pPr>
                  <w:r>
                    <w:t xml:space="preserve">9.1</w:t>
                  </w:r>
                </w:p>
              </w:tc>
              <w:tc>
                <w:tcPr/>
                <w:p>
                  <w:pPr>
                    <w:pStyle w:val="Compact"/>
                    <w:jc w:val="right"/>
                    <w:jc w:val="center"/>
                  </w:pPr>
                  <w:r>
                    <w:t xml:space="preserve">44</w:t>
                  </w:r>
                </w:p>
              </w:tc>
            </w:tr>
            <w:tr>
              <w:tc>
                <w:tcPr/>
                <w:p>
                  <w:pPr>
                    <w:pStyle w:val="Compact"/>
                    <w:jc w:val="left"/>
                    <w:jc w:val="center"/>
                  </w:pPr>
                  <w:r>
                    <w:t xml:space="preserve">(0.3,0.4]</w:t>
                  </w:r>
                </w:p>
              </w:tc>
              <w:tc>
                <w:tcPr/>
                <w:p>
                  <w:pPr>
                    <w:pStyle w:val="Compact"/>
                    <w:jc w:val="right"/>
                    <w:jc w:val="center"/>
                  </w:pPr>
                  <w:r>
                    <w:t xml:space="preserve">20</w:t>
                  </w:r>
                </w:p>
              </w:tc>
              <w:tc>
                <w:tcPr/>
                <w:p>
                  <w:pPr>
                    <w:pStyle w:val="Compact"/>
                    <w:jc w:val="right"/>
                    <w:jc w:val="center"/>
                  </w:pPr>
                  <w:r>
                    <w:t xml:space="preserve">31.5</w:t>
                  </w:r>
                </w:p>
              </w:tc>
              <w:tc>
                <w:tcPr/>
                <w:p>
                  <w:pPr>
                    <w:pStyle w:val="Compact"/>
                    <w:jc w:val="right"/>
                    <w:jc w:val="center"/>
                  </w:pPr>
                  <w:r>
                    <w:t xml:space="preserve">50.0</w:t>
                  </w:r>
                </w:p>
              </w:tc>
              <w:tc>
                <w:tcPr/>
                <w:p>
                  <w:pPr>
                    <w:pStyle w:val="Compact"/>
                    <w:jc w:val="right"/>
                    <w:jc w:val="center"/>
                  </w:pPr>
                  <w:r>
                    <w:t xml:space="preserve">8</w:t>
                  </w:r>
                </w:p>
              </w:tc>
            </w:tr>
            <w:tr>
              <w:tc>
                <w:tcPr/>
                <w:p>
                  <w:pPr>
                    <w:pStyle w:val="Compact"/>
                    <w:jc w:val="left"/>
                    <w:jc w:val="center"/>
                  </w:pPr>
                  <w:r>
                    <w:t xml:space="preserve">(0.4,0.5]</w:t>
                  </w:r>
                </w:p>
              </w:tc>
              <w:tc>
                <w:tcPr/>
                <w:p>
                  <w:pPr>
                    <w:pStyle w:val="Compact"/>
                    <w:jc w:val="right"/>
                    <w:jc w:val="center"/>
                  </w:pPr>
                  <w:r>
                    <w:t xml:space="preserve">20</w:t>
                  </w:r>
                </w:p>
              </w:tc>
              <w:tc>
                <w:tcPr/>
                <w:p>
                  <w:pPr>
                    <w:pStyle w:val="Compact"/>
                    <w:jc w:val="right"/>
                    <w:jc w:val="center"/>
                  </w:pPr>
                  <w:r>
                    <w:t xml:space="preserve">40.0</w:t>
                  </w:r>
                </w:p>
              </w:tc>
              <w:tc>
                <w:tcPr/>
                <w:p>
                  <w:pPr>
                    <w:pStyle w:val="Compact"/>
                    <w:jc w:val="right"/>
                    <w:jc w:val="center"/>
                  </w:pPr>
                  <w:r>
                    <w:t xml:space="preserve">0.0</w:t>
                  </w:r>
                </w:p>
              </w:tc>
              <w:tc>
                <w:tcPr/>
                <w:p>
                  <w:pPr>
                    <w:pStyle w:val="Compact"/>
                    <w:jc w:val="right"/>
                    <w:jc w:val="center"/>
                  </w:pPr>
                  <w:r>
                    <w:t xml:space="preserve">1</w:t>
                  </w:r>
                </w:p>
              </w:tc>
            </w:tr>
            <w:tr>
              <w:tc>
                <w:tcPr/>
                <w:p>
                  <w:pPr>
                    <w:pStyle w:val="Compact"/>
                    <w:jc w:val="left"/>
                    <w:jc w:val="center"/>
                  </w:pPr>
                  <w:r>
                    <w:t xml:space="preserve">(0,0.1]</w:t>
                  </w:r>
                </w:p>
              </w:tc>
              <w:tc>
                <w:tcPr/>
                <w:p>
                  <w:pPr>
                    <w:pStyle w:val="Compact"/>
                    <w:jc w:val="right"/>
                    <w:jc w:val="center"/>
                  </w:pPr>
                  <w:r>
                    <w:t xml:space="preserve">21</w:t>
                  </w:r>
                </w:p>
              </w:tc>
              <w:tc>
                <w:tcPr/>
                <w:p>
                  <w:pPr>
                    <w:pStyle w:val="Compact"/>
                    <w:jc w:val="right"/>
                    <w:jc w:val="center"/>
                  </w:pPr>
                  <w:r>
                    <w:t xml:space="preserve">4.9</w:t>
                  </w:r>
                </w:p>
              </w:tc>
              <w:tc>
                <w:tcPr/>
                <w:p>
                  <w:pPr>
                    <w:pStyle w:val="Compact"/>
                    <w:jc w:val="right"/>
                    <w:jc w:val="center"/>
                  </w:pPr>
                  <w:r>
                    <w:t xml:space="preserve">6.3</w:t>
                  </w:r>
                </w:p>
              </w:tc>
              <w:tc>
                <w:tcPr/>
                <w:p>
                  <w:pPr>
                    <w:pStyle w:val="Compact"/>
                    <w:jc w:val="right"/>
                    <w:jc w:val="center"/>
                  </w:pPr>
                  <w:r>
                    <w:t xml:space="preserve">1954</w:t>
                  </w:r>
                </w:p>
              </w:tc>
            </w:tr>
            <w:tr>
              <w:tc>
                <w:tcPr/>
                <w:p>
                  <w:pPr>
                    <w:pStyle w:val="Compact"/>
                    <w:jc w:val="left"/>
                    <w:jc w:val="center"/>
                  </w:pPr>
                  <w:r>
                    <w:t xml:space="preserve">(0.1,0.2]</w:t>
                  </w:r>
                </w:p>
              </w:tc>
              <w:tc>
                <w:tcPr/>
                <w:p>
                  <w:pPr>
                    <w:pStyle w:val="Compact"/>
                    <w:jc w:val="right"/>
                    <w:jc w:val="center"/>
                  </w:pPr>
                  <w:r>
                    <w:t xml:space="preserve">21</w:t>
                  </w:r>
                </w:p>
              </w:tc>
              <w:tc>
                <w:tcPr/>
                <w:p>
                  <w:pPr>
                    <w:pStyle w:val="Compact"/>
                    <w:jc w:val="right"/>
                    <w:jc w:val="center"/>
                  </w:pPr>
                  <w:r>
                    <w:t xml:space="preserve">14.1</w:t>
                  </w:r>
                </w:p>
              </w:tc>
              <w:tc>
                <w:tcPr/>
                <w:p>
                  <w:pPr>
                    <w:pStyle w:val="Compact"/>
                    <w:jc w:val="right"/>
                    <w:jc w:val="center"/>
                  </w:pPr>
                  <w:r>
                    <w:t xml:space="preserve">15.5</w:t>
                  </w:r>
                </w:p>
              </w:tc>
              <w:tc>
                <w:tcPr/>
                <w:p>
                  <w:pPr>
                    <w:pStyle w:val="Compact"/>
                    <w:jc w:val="right"/>
                    <w:jc w:val="center"/>
                  </w:pPr>
                  <w:r>
                    <w:t xml:space="preserve">304</w:t>
                  </w:r>
                </w:p>
              </w:tc>
            </w:tr>
            <w:tr>
              <w:tc>
                <w:tcPr/>
                <w:p>
                  <w:pPr>
                    <w:pStyle w:val="Compact"/>
                    <w:jc w:val="left"/>
                    <w:jc w:val="center"/>
                  </w:pPr>
                  <w:r>
                    <w:t xml:space="preserve">(0.2,0.3]</w:t>
                  </w:r>
                </w:p>
              </w:tc>
              <w:tc>
                <w:tcPr/>
                <w:p>
                  <w:pPr>
                    <w:pStyle w:val="Compact"/>
                    <w:jc w:val="right"/>
                    <w:jc w:val="center"/>
                  </w:pPr>
                  <w:r>
                    <w:t xml:space="preserve">21</w:t>
                  </w:r>
                </w:p>
              </w:tc>
              <w:tc>
                <w:tcPr/>
                <w:p>
                  <w:pPr>
                    <w:pStyle w:val="Compact"/>
                    <w:jc w:val="right"/>
                    <w:jc w:val="center"/>
                  </w:pPr>
                  <w:r>
                    <w:t xml:space="preserve">22.5</w:t>
                  </w:r>
                </w:p>
              </w:tc>
              <w:tc>
                <w:tcPr/>
                <w:p>
                  <w:pPr>
                    <w:pStyle w:val="Compact"/>
                    <w:jc w:val="right"/>
                    <w:jc w:val="center"/>
                  </w:pPr>
                  <w:r>
                    <w:t xml:space="preserve">15.6</w:t>
                  </w:r>
                </w:p>
              </w:tc>
              <w:tc>
                <w:tcPr/>
                <w:p>
                  <w:pPr>
                    <w:pStyle w:val="Compact"/>
                    <w:jc w:val="right"/>
                    <w:jc w:val="center"/>
                  </w:pPr>
                  <w:r>
                    <w:t xml:space="preserve">45</w:t>
                  </w:r>
                </w:p>
              </w:tc>
            </w:tr>
            <w:tr>
              <w:tc>
                <w:tcPr/>
                <w:p>
                  <w:pPr>
                    <w:pStyle w:val="Compact"/>
                    <w:jc w:val="left"/>
                    <w:jc w:val="center"/>
                  </w:pPr>
                  <w:r>
                    <w:t xml:space="preserve">(0,0.1]</w:t>
                  </w:r>
                </w:p>
              </w:tc>
              <w:tc>
                <w:tcPr/>
                <w:p>
                  <w:pPr>
                    <w:pStyle w:val="Compact"/>
                    <w:jc w:val="right"/>
                    <w:jc w:val="center"/>
                  </w:pPr>
                  <w:r>
                    <w:t xml:space="preserve">22</w:t>
                  </w:r>
                </w:p>
              </w:tc>
              <w:tc>
                <w:tcPr/>
                <w:p>
                  <w:pPr>
                    <w:pStyle w:val="Compact"/>
                    <w:jc w:val="right"/>
                    <w:jc w:val="center"/>
                  </w:pPr>
                  <w:r>
                    <w:t xml:space="preserve">5.2</w:t>
                  </w:r>
                </w:p>
              </w:tc>
              <w:tc>
                <w:tcPr/>
                <w:p>
                  <w:pPr>
                    <w:pStyle w:val="Compact"/>
                    <w:jc w:val="right"/>
                    <w:jc w:val="center"/>
                  </w:pPr>
                  <w:r>
                    <w:t xml:space="preserve">4.7</w:t>
                  </w:r>
                </w:p>
              </w:tc>
              <w:tc>
                <w:tcPr/>
                <w:p>
                  <w:pPr>
                    <w:pStyle w:val="Compact"/>
                    <w:jc w:val="right"/>
                    <w:jc w:val="center"/>
                  </w:pPr>
                  <w:r>
                    <w:t xml:space="preserve">2014</w:t>
                  </w:r>
                </w:p>
              </w:tc>
            </w:tr>
            <w:tr>
              <w:tc>
                <w:tcPr/>
                <w:p>
                  <w:pPr>
                    <w:pStyle w:val="Compact"/>
                    <w:jc w:val="left"/>
                    <w:jc w:val="center"/>
                  </w:pPr>
                  <w:r>
                    <w:t xml:space="preserve">(0.1,0.2]</w:t>
                  </w:r>
                </w:p>
              </w:tc>
              <w:tc>
                <w:tcPr/>
                <w:p>
                  <w:pPr>
                    <w:pStyle w:val="Compact"/>
                    <w:jc w:val="right"/>
                    <w:jc w:val="center"/>
                  </w:pPr>
                  <w:r>
                    <w:t xml:space="preserve">22</w:t>
                  </w:r>
                </w:p>
              </w:tc>
              <w:tc>
                <w:tcPr/>
                <w:p>
                  <w:pPr>
                    <w:pStyle w:val="Compact"/>
                    <w:jc w:val="right"/>
                    <w:jc w:val="center"/>
                  </w:pPr>
                  <w:r>
                    <w:t xml:space="preserve">13.2</w:t>
                  </w:r>
                </w:p>
              </w:tc>
              <w:tc>
                <w:tcPr/>
                <w:p>
                  <w:pPr>
                    <w:pStyle w:val="Compact"/>
                    <w:jc w:val="right"/>
                    <w:jc w:val="center"/>
                  </w:pPr>
                  <w:r>
                    <w:t xml:space="preserve">15.6</w:t>
                  </w:r>
                </w:p>
              </w:tc>
              <w:tc>
                <w:tcPr/>
                <w:p>
                  <w:pPr>
                    <w:pStyle w:val="Compact"/>
                    <w:jc w:val="right"/>
                    <w:jc w:val="center"/>
                  </w:pPr>
                  <w:r>
                    <w:t xml:space="preserve">282</w:t>
                  </w:r>
                </w:p>
              </w:tc>
            </w:tr>
            <w:tr>
              <w:tc>
                <w:tcPr/>
                <w:p>
                  <w:pPr>
                    <w:pStyle w:val="Compact"/>
                    <w:jc w:val="left"/>
                    <w:jc w:val="center"/>
                  </w:pPr>
                  <w:r>
                    <w:t xml:space="preserve">(0.2,0.3]</w:t>
                  </w:r>
                </w:p>
              </w:tc>
              <w:tc>
                <w:tcPr/>
                <w:p>
                  <w:pPr>
                    <w:pStyle w:val="Compact"/>
                    <w:jc w:val="right"/>
                    <w:jc w:val="center"/>
                  </w:pPr>
                  <w:r>
                    <w:t xml:space="preserve">22</w:t>
                  </w:r>
                </w:p>
              </w:tc>
              <w:tc>
                <w:tcPr/>
                <w:p>
                  <w:pPr>
                    <w:pStyle w:val="Compact"/>
                    <w:jc w:val="right"/>
                    <w:jc w:val="center"/>
                  </w:pPr>
                  <w:r>
                    <w:t xml:space="preserve">24.0</w:t>
                  </w:r>
                </w:p>
              </w:tc>
              <w:tc>
                <w:tcPr/>
                <w:p>
                  <w:pPr>
                    <w:pStyle w:val="Compact"/>
                    <w:jc w:val="right"/>
                    <w:jc w:val="center"/>
                  </w:pPr>
                  <w:r>
                    <w:t xml:space="preserve">11.8</w:t>
                  </w:r>
                </w:p>
              </w:tc>
              <w:tc>
                <w:tcPr/>
                <w:p>
                  <w:pPr>
                    <w:pStyle w:val="Compact"/>
                    <w:jc w:val="right"/>
                    <w:jc w:val="center"/>
                  </w:pPr>
                  <w:r>
                    <w:t xml:space="preserve">51</w:t>
                  </w:r>
                </w:p>
              </w:tc>
            </w:tr>
            <w:tr>
              <w:tc>
                <w:tcPr/>
                <w:p>
                  <w:pPr>
                    <w:pStyle w:val="Compact"/>
                    <w:jc w:val="left"/>
                    <w:jc w:val="center"/>
                  </w:pPr>
                  <w:r>
                    <w:t xml:space="preserve">(0.3,0.4]</w:t>
                  </w:r>
                </w:p>
              </w:tc>
              <w:tc>
                <w:tcPr/>
                <w:p>
                  <w:pPr>
                    <w:pStyle w:val="Compact"/>
                    <w:jc w:val="right"/>
                    <w:jc w:val="center"/>
                  </w:pPr>
                  <w:r>
                    <w:t xml:space="preserve">22</w:t>
                  </w:r>
                </w:p>
              </w:tc>
              <w:tc>
                <w:tcPr/>
                <w:p>
                  <w:pPr>
                    <w:pStyle w:val="Compact"/>
                    <w:jc w:val="right"/>
                    <w:jc w:val="center"/>
                  </w:pPr>
                  <w:r>
                    <w:t xml:space="preserve">32.4</w:t>
                  </w:r>
                </w:p>
              </w:tc>
              <w:tc>
                <w:tcPr/>
                <w:p>
                  <w:pPr>
                    <w:pStyle w:val="Compact"/>
                    <w:jc w:val="right"/>
                    <w:jc w:val="center"/>
                  </w:pPr>
                  <w:r>
                    <w:t xml:space="preserve">27.3</w:t>
                  </w:r>
                </w:p>
              </w:tc>
              <w:tc>
                <w:tcPr/>
                <w:p>
                  <w:pPr>
                    <w:pStyle w:val="Compact"/>
                    <w:jc w:val="right"/>
                    <w:jc w:val="center"/>
                  </w:pPr>
                  <w:r>
                    <w:t xml:space="preserve">11</w:t>
                  </w:r>
                </w:p>
              </w:tc>
            </w:tr>
            <w:tr>
              <w:tc>
                <w:tcPr/>
                <w:p>
                  <w:pPr>
                    <w:pStyle w:val="Compact"/>
                    <w:jc w:val="left"/>
                    <w:jc w:val="center"/>
                  </w:pPr>
                  <w:r>
                    <w:t xml:space="preserve">(0,0.1]</w:t>
                  </w:r>
                </w:p>
              </w:tc>
              <w:tc>
                <w:tcPr/>
                <w:p>
                  <w:pPr>
                    <w:pStyle w:val="Compact"/>
                    <w:jc w:val="right"/>
                    <w:jc w:val="center"/>
                  </w:pPr>
                  <w:r>
                    <w:t xml:space="preserve">23</w:t>
                  </w:r>
                </w:p>
              </w:tc>
              <w:tc>
                <w:tcPr/>
                <w:p>
                  <w:pPr>
                    <w:pStyle w:val="Compact"/>
                    <w:jc w:val="right"/>
                    <w:jc w:val="center"/>
                  </w:pPr>
                  <w:r>
                    <w:t xml:space="preserve">6.2</w:t>
                  </w:r>
                </w:p>
              </w:tc>
              <w:tc>
                <w:tcPr/>
                <w:p>
                  <w:pPr>
                    <w:pStyle w:val="Compact"/>
                    <w:jc w:val="right"/>
                    <w:jc w:val="center"/>
                  </w:pPr>
                  <w:r>
                    <w:t xml:space="preserve">4.2</w:t>
                  </w:r>
                </w:p>
              </w:tc>
              <w:tc>
                <w:tcPr/>
                <w:p>
                  <w:pPr>
                    <w:pStyle w:val="Compact"/>
                    <w:jc w:val="right"/>
                    <w:jc w:val="center"/>
                  </w:pPr>
                  <w:r>
                    <w:t xml:space="preserve">1865</w:t>
                  </w:r>
                </w:p>
              </w:tc>
            </w:tr>
            <w:tr>
              <w:tc>
                <w:tcPr/>
                <w:p>
                  <w:pPr>
                    <w:pStyle w:val="Compact"/>
                    <w:jc w:val="left"/>
                    <w:jc w:val="center"/>
                  </w:pPr>
                  <w:r>
                    <w:t xml:space="preserve">(0.1,0.2]</w:t>
                  </w:r>
                </w:p>
              </w:tc>
              <w:tc>
                <w:tcPr/>
                <w:p>
                  <w:pPr>
                    <w:pStyle w:val="Compact"/>
                    <w:jc w:val="right"/>
                    <w:jc w:val="center"/>
                  </w:pPr>
                  <w:r>
                    <w:t xml:space="preserve">23</w:t>
                  </w:r>
                </w:p>
              </w:tc>
              <w:tc>
                <w:tcPr/>
                <w:p>
                  <w:pPr>
                    <w:pStyle w:val="Compact"/>
                    <w:jc w:val="right"/>
                    <w:jc w:val="center"/>
                  </w:pPr>
                  <w:r>
                    <w:t xml:space="preserve">12.5</w:t>
                  </w:r>
                </w:p>
              </w:tc>
              <w:tc>
                <w:tcPr/>
                <w:p>
                  <w:pPr>
                    <w:pStyle w:val="Compact"/>
                    <w:jc w:val="right"/>
                    <w:jc w:val="center"/>
                  </w:pPr>
                  <w:r>
                    <w:t xml:space="preserve">14.6</w:t>
                  </w:r>
                </w:p>
              </w:tc>
              <w:tc>
                <w:tcPr/>
                <w:p>
                  <w:pPr>
                    <w:pStyle w:val="Compact"/>
                    <w:jc w:val="right"/>
                    <w:jc w:val="center"/>
                  </w:pPr>
                  <w:r>
                    <w:t xml:space="preserve">295</w:t>
                  </w:r>
                </w:p>
              </w:tc>
            </w:tr>
            <w:tr>
              <w:tc>
                <w:tcPr/>
                <w:p>
                  <w:pPr>
                    <w:pStyle w:val="Compact"/>
                    <w:jc w:val="left"/>
                    <w:jc w:val="center"/>
                  </w:pPr>
                  <w:r>
                    <w:t xml:space="preserve">(0.2,0.3]</w:t>
                  </w:r>
                </w:p>
              </w:tc>
              <w:tc>
                <w:tcPr/>
                <w:p>
                  <w:pPr>
                    <w:pStyle w:val="Compact"/>
                    <w:jc w:val="right"/>
                    <w:jc w:val="center"/>
                  </w:pPr>
                  <w:r>
                    <w:t xml:space="preserve">23</w:t>
                  </w:r>
                </w:p>
              </w:tc>
              <w:tc>
                <w:tcPr/>
                <w:p>
                  <w:pPr>
                    <w:pStyle w:val="Compact"/>
                    <w:jc w:val="right"/>
                    <w:jc w:val="center"/>
                  </w:pPr>
                  <w:r>
                    <w:t xml:space="preserve">21.6</w:t>
                  </w:r>
                </w:p>
              </w:tc>
              <w:tc>
                <w:tcPr/>
                <w:p>
                  <w:pPr>
                    <w:pStyle w:val="Compact"/>
                    <w:jc w:val="right"/>
                    <w:jc w:val="center"/>
                  </w:pPr>
                  <w:r>
                    <w:t xml:space="preserve">0.0</w:t>
                  </w:r>
                </w:p>
              </w:tc>
              <w:tc>
                <w:tcPr/>
                <w:p>
                  <w:pPr>
                    <w:pStyle w:val="Compact"/>
                    <w:jc w:val="right"/>
                    <w:jc w:val="center"/>
                  </w:pPr>
                  <w:r>
                    <w:t xml:space="preserve">5</w:t>
                  </w:r>
                </w:p>
              </w:tc>
            </w:tr>
            <w:tr>
              <w:tc>
                <w:tcPr/>
                <w:p>
                  <w:pPr>
                    <w:pStyle w:val="Compact"/>
                    <w:jc w:val="left"/>
                    <w:jc w:val="center"/>
                  </w:pPr>
                  <w:r>
                    <w:t xml:space="preserve">(0,0.1]</w:t>
                  </w:r>
                </w:p>
              </w:tc>
              <w:tc>
                <w:tcPr/>
                <w:p>
                  <w:pPr>
                    <w:pStyle w:val="Compact"/>
                    <w:jc w:val="right"/>
                    <w:jc w:val="center"/>
                  </w:pPr>
                  <w:r>
                    <w:t xml:space="preserve">24</w:t>
                  </w:r>
                </w:p>
              </w:tc>
              <w:tc>
                <w:tcPr/>
                <w:p>
                  <w:pPr>
                    <w:pStyle w:val="Compact"/>
                    <w:jc w:val="right"/>
                    <w:jc w:val="center"/>
                  </w:pPr>
                  <w:r>
                    <w:t xml:space="preserve">6.8</w:t>
                  </w:r>
                </w:p>
              </w:tc>
              <w:tc>
                <w:tcPr/>
                <w:p>
                  <w:pPr>
                    <w:pStyle w:val="Compact"/>
                    <w:jc w:val="right"/>
                    <w:jc w:val="center"/>
                  </w:pPr>
                  <w:r>
                    <w:t xml:space="preserve">3.2</w:t>
                  </w:r>
                </w:p>
              </w:tc>
              <w:tc>
                <w:tcPr/>
                <w:p>
                  <w:pPr>
                    <w:pStyle w:val="Compact"/>
                    <w:jc w:val="right"/>
                    <w:jc w:val="center"/>
                  </w:pPr>
                  <w:r>
                    <w:t xml:space="preserve">1263</w:t>
                  </w:r>
                </w:p>
              </w:tc>
            </w:tr>
            <w:tr>
              <w:tc>
                <w:tcPr/>
                <w:p>
                  <w:pPr>
                    <w:pStyle w:val="Compact"/>
                    <w:jc w:val="left"/>
                    <w:jc w:val="center"/>
                  </w:pPr>
                  <w:r>
                    <w:t xml:space="preserve">(0.1,0.2]</w:t>
                  </w:r>
                </w:p>
              </w:tc>
              <w:tc>
                <w:tcPr/>
                <w:p>
                  <w:pPr>
                    <w:pStyle w:val="Compact"/>
                    <w:jc w:val="right"/>
                    <w:jc w:val="center"/>
                  </w:pPr>
                  <w:r>
                    <w:t xml:space="preserve">24</w:t>
                  </w:r>
                </w:p>
              </w:tc>
              <w:tc>
                <w:tcPr/>
                <w:p>
                  <w:pPr>
                    <w:pStyle w:val="Compact"/>
                    <w:jc w:val="right"/>
                    <w:jc w:val="center"/>
                  </w:pPr>
                  <w:r>
                    <w:t xml:space="preserve">13.4</w:t>
                  </w:r>
                </w:p>
              </w:tc>
              <w:tc>
                <w:tcPr/>
                <w:p>
                  <w:pPr>
                    <w:pStyle w:val="Compact"/>
                    <w:jc w:val="right"/>
                    <w:jc w:val="center"/>
                  </w:pPr>
                  <w:r>
                    <w:t xml:space="preserve">14.7</w:t>
                  </w:r>
                </w:p>
              </w:tc>
              <w:tc>
                <w:tcPr/>
                <w:p>
                  <w:pPr>
                    <w:pStyle w:val="Compact"/>
                    <w:jc w:val="right"/>
                    <w:jc w:val="center"/>
                  </w:pPr>
                  <w:r>
                    <w:t xml:space="preserve">919</w:t>
                  </w:r>
                </w:p>
              </w:tc>
            </w:tr>
            <w:tr>
              <w:tc>
                <w:tcPr/>
                <w:p>
                  <w:pPr>
                    <w:pStyle w:val="Compact"/>
                    <w:jc w:val="left"/>
                    <w:jc w:val="center"/>
                  </w:pPr>
                  <w:r>
                    <w:t xml:space="preserve">(0.2,0.3]</w:t>
                  </w:r>
                </w:p>
              </w:tc>
              <w:tc>
                <w:tcPr/>
                <w:p>
                  <w:pPr>
                    <w:pStyle w:val="Compact"/>
                    <w:jc w:val="right"/>
                    <w:jc w:val="center"/>
                  </w:pPr>
                  <w:r>
                    <w:t xml:space="preserve">24</w:t>
                  </w:r>
                </w:p>
              </w:tc>
              <w:tc>
                <w:tcPr/>
                <w:p>
                  <w:pPr>
                    <w:pStyle w:val="Compact"/>
                    <w:jc w:val="right"/>
                    <w:jc w:val="center"/>
                  </w:pPr>
                  <w:r>
                    <w:t xml:space="preserve">23.6</w:t>
                  </w:r>
                </w:p>
              </w:tc>
              <w:tc>
                <w:tcPr/>
                <w:p>
                  <w:pPr>
                    <w:pStyle w:val="Compact"/>
                    <w:jc w:val="right"/>
                    <w:jc w:val="center"/>
                  </w:pPr>
                  <w:r>
                    <w:t xml:space="preserve">29.7</w:t>
                  </w:r>
                </w:p>
              </w:tc>
              <w:tc>
                <w:tcPr/>
                <w:p>
                  <w:pPr>
                    <w:pStyle w:val="Compact"/>
                    <w:jc w:val="right"/>
                    <w:jc w:val="center"/>
                  </w:pPr>
                  <w:r>
                    <w:t xml:space="preserve">101</w:t>
                  </w:r>
                </w:p>
              </w:tc>
            </w:tr>
            <w:tr>
              <w:tc>
                <w:tcPr/>
                <w:p>
                  <w:pPr>
                    <w:pStyle w:val="Compact"/>
                    <w:jc w:val="left"/>
                    <w:jc w:val="center"/>
                  </w:pPr>
                  <w:r>
                    <w:t xml:space="preserve">(0.3,0.4]</w:t>
                  </w:r>
                </w:p>
              </w:tc>
              <w:tc>
                <w:tcPr/>
                <w:p>
                  <w:pPr>
                    <w:pStyle w:val="Compact"/>
                    <w:jc w:val="right"/>
                    <w:jc w:val="center"/>
                  </w:pPr>
                  <w:r>
                    <w:t xml:space="preserve">24</w:t>
                  </w:r>
                </w:p>
              </w:tc>
              <w:tc>
                <w:tcPr/>
                <w:p>
                  <w:pPr>
                    <w:pStyle w:val="Compact"/>
                    <w:jc w:val="right"/>
                    <w:jc w:val="center"/>
                  </w:pPr>
                  <w:r>
                    <w:t xml:space="preserve">32.8</w:t>
                  </w:r>
                </w:p>
              </w:tc>
              <w:tc>
                <w:tcPr/>
                <w:p>
                  <w:pPr>
                    <w:pStyle w:val="Compact"/>
                    <w:jc w:val="right"/>
                    <w:jc w:val="center"/>
                  </w:pPr>
                  <w:r>
                    <w:t xml:space="preserve">0.0</w:t>
                  </w:r>
                </w:p>
              </w:tc>
              <w:tc>
                <w:tcPr/>
                <w:p>
                  <w:pPr>
                    <w:pStyle w:val="Compact"/>
                    <w:jc w:val="right"/>
                    <w:jc w:val="center"/>
                  </w:pPr>
                  <w:r>
                    <w:t xml:space="preserve">6</w:t>
                  </w:r>
                </w:p>
              </w:tc>
            </w:tr>
            <w:tr>
              <w:tc>
                <w:tcPr/>
                <w:p>
                  <w:pPr>
                    <w:pStyle w:val="Compact"/>
                    <w:jc w:val="left"/>
                    <w:jc w:val="center"/>
                  </w:pPr>
                  <w:r>
                    <w:t xml:space="preserve">(0,0.1]</w:t>
                  </w:r>
                </w:p>
              </w:tc>
              <w:tc>
                <w:tcPr/>
                <w:p>
                  <w:pPr>
                    <w:pStyle w:val="Compact"/>
                    <w:jc w:val="right"/>
                    <w:jc w:val="center"/>
                  </w:pPr>
                  <w:r>
                    <w:t xml:space="preserve">25</w:t>
                  </w:r>
                </w:p>
              </w:tc>
              <w:tc>
                <w:tcPr/>
                <w:p>
                  <w:pPr>
                    <w:pStyle w:val="Compact"/>
                    <w:jc w:val="right"/>
                    <w:jc w:val="center"/>
                  </w:pPr>
                  <w:r>
                    <w:t xml:space="preserve">7.8</w:t>
                  </w:r>
                </w:p>
              </w:tc>
              <w:tc>
                <w:tcPr/>
                <w:p>
                  <w:pPr>
                    <w:pStyle w:val="Compact"/>
                    <w:jc w:val="right"/>
                    <w:jc w:val="center"/>
                  </w:pPr>
                  <w:r>
                    <w:t xml:space="preserve">7.0</w:t>
                  </w:r>
                </w:p>
              </w:tc>
              <w:tc>
                <w:tcPr/>
                <w:p>
                  <w:pPr>
                    <w:pStyle w:val="Compact"/>
                    <w:jc w:val="right"/>
                    <w:jc w:val="center"/>
                  </w:pPr>
                  <w:r>
                    <w:t xml:space="preserve">1597</w:t>
                  </w:r>
                </w:p>
              </w:tc>
            </w:tr>
            <w:tr>
              <w:tc>
                <w:tcPr/>
                <w:p>
                  <w:pPr>
                    <w:pStyle w:val="Compact"/>
                    <w:jc w:val="left"/>
                    <w:jc w:val="center"/>
                  </w:pPr>
                  <w:r>
                    <w:t xml:space="preserve">(0.1,0.2]</w:t>
                  </w:r>
                </w:p>
              </w:tc>
              <w:tc>
                <w:tcPr/>
                <w:p>
                  <w:pPr>
                    <w:pStyle w:val="Compact"/>
                    <w:jc w:val="right"/>
                    <w:jc w:val="center"/>
                  </w:pPr>
                  <w:r>
                    <w:t xml:space="preserve">25</w:t>
                  </w:r>
                </w:p>
              </w:tc>
              <w:tc>
                <w:tcPr/>
                <w:p>
                  <w:pPr>
                    <w:pStyle w:val="Compact"/>
                    <w:jc w:val="right"/>
                    <w:jc w:val="center"/>
                  </w:pPr>
                  <w:r>
                    <w:t xml:space="preserve">12.4</w:t>
                  </w:r>
                </w:p>
              </w:tc>
              <w:tc>
                <w:tcPr/>
                <w:p>
                  <w:pPr>
                    <w:pStyle w:val="Compact"/>
                    <w:jc w:val="right"/>
                    <w:jc w:val="center"/>
                  </w:pPr>
                  <w:r>
                    <w:t xml:space="preserve">11.2</w:t>
                  </w:r>
                </w:p>
              </w:tc>
              <w:tc>
                <w:tcPr/>
                <w:p>
                  <w:pPr>
                    <w:pStyle w:val="Compact"/>
                    <w:jc w:val="right"/>
                    <w:jc w:val="center"/>
                  </w:pPr>
                  <w:r>
                    <w:t xml:space="preserve">724</w:t>
                  </w:r>
                </w:p>
              </w:tc>
            </w:tr>
            <w:tr>
              <w:tc>
                <w:tcPr/>
                <w:p>
                  <w:pPr>
                    <w:pStyle w:val="Compact"/>
                    <w:jc w:val="left"/>
                    <w:jc w:val="center"/>
                  </w:pPr>
                  <w:r>
                    <w:t xml:space="preserve">(0,0.1]</w:t>
                  </w:r>
                </w:p>
              </w:tc>
              <w:tc>
                <w:tcPr/>
                <w:p>
                  <w:pPr>
                    <w:pStyle w:val="Compact"/>
                    <w:jc w:val="right"/>
                    <w:jc w:val="center"/>
                  </w:pPr>
                  <w:r>
                    <w:t xml:space="preserve">26</w:t>
                  </w:r>
                </w:p>
              </w:tc>
              <w:tc>
                <w:tcPr/>
                <w:p>
                  <w:pPr>
                    <w:pStyle w:val="Compact"/>
                    <w:jc w:val="right"/>
                    <w:jc w:val="center"/>
                  </w:pPr>
                  <w:r>
                    <w:t xml:space="preserve">7.5</w:t>
                  </w:r>
                </w:p>
              </w:tc>
              <w:tc>
                <w:tcPr/>
                <w:p>
                  <w:pPr>
                    <w:pStyle w:val="Compact"/>
                    <w:jc w:val="right"/>
                    <w:jc w:val="center"/>
                  </w:pPr>
                  <w:r>
                    <w:t xml:space="preserve">3.1</w:t>
                  </w:r>
                </w:p>
              </w:tc>
              <w:tc>
                <w:tcPr/>
                <w:p>
                  <w:pPr>
                    <w:pStyle w:val="Compact"/>
                    <w:jc w:val="right"/>
                    <w:jc w:val="center"/>
                  </w:pPr>
                  <w:r>
                    <w:t xml:space="preserve">1402</w:t>
                  </w:r>
                </w:p>
              </w:tc>
            </w:tr>
            <w:tr>
              <w:tc>
                <w:tcPr/>
                <w:p>
                  <w:pPr>
                    <w:pStyle w:val="Compact"/>
                    <w:jc w:val="left"/>
                    <w:jc w:val="center"/>
                  </w:pPr>
                  <w:r>
                    <w:t xml:space="preserve">(0.1,0.2]</w:t>
                  </w:r>
                </w:p>
              </w:tc>
              <w:tc>
                <w:tcPr/>
                <w:p>
                  <w:pPr>
                    <w:pStyle w:val="Compact"/>
                    <w:jc w:val="right"/>
                    <w:jc w:val="center"/>
                  </w:pPr>
                  <w:r>
                    <w:t xml:space="preserve">26</w:t>
                  </w:r>
                </w:p>
              </w:tc>
              <w:tc>
                <w:tcPr/>
                <w:p>
                  <w:pPr>
                    <w:pStyle w:val="Compact"/>
                    <w:jc w:val="right"/>
                    <w:jc w:val="center"/>
                  </w:pPr>
                  <w:r>
                    <w:t xml:space="preserve">12.6</w:t>
                  </w:r>
                </w:p>
              </w:tc>
              <w:tc>
                <w:tcPr/>
                <w:p>
                  <w:pPr>
                    <w:pStyle w:val="Compact"/>
                    <w:jc w:val="right"/>
                    <w:jc w:val="center"/>
                  </w:pPr>
                  <w:r>
                    <w:t xml:space="preserve">12.2</w:t>
                  </w:r>
                </w:p>
              </w:tc>
              <w:tc>
                <w:tcPr/>
                <w:p>
                  <w:pPr>
                    <w:pStyle w:val="Compact"/>
                    <w:jc w:val="right"/>
                    <w:jc w:val="center"/>
                  </w:pPr>
                  <w:r>
                    <w:t xml:space="preserve">882</w:t>
                  </w:r>
                </w:p>
              </w:tc>
            </w:tr>
            <w:tr>
              <w:tc>
                <w:tcPr/>
                <w:p>
                  <w:pPr>
                    <w:pStyle w:val="Compact"/>
                    <w:jc w:val="left"/>
                    <w:jc w:val="center"/>
                  </w:pPr>
                  <w:r>
                    <w:t xml:space="preserve">(0.2,0.3]</w:t>
                  </w:r>
                </w:p>
              </w:tc>
              <w:tc>
                <w:tcPr/>
                <w:p>
                  <w:pPr>
                    <w:pStyle w:val="Compact"/>
                    <w:jc w:val="right"/>
                    <w:jc w:val="center"/>
                  </w:pPr>
                  <w:r>
                    <w:t xml:space="preserve">26</w:t>
                  </w:r>
                </w:p>
              </w:tc>
              <w:tc>
                <w:tcPr/>
                <w:p>
                  <w:pPr>
                    <w:pStyle w:val="Compact"/>
                    <w:jc w:val="right"/>
                    <w:jc w:val="center"/>
                  </w:pPr>
                  <w:r>
                    <w:t xml:space="preserve">20.7</w:t>
                  </w:r>
                </w:p>
              </w:tc>
              <w:tc>
                <w:tcPr/>
                <w:p>
                  <w:pPr>
                    <w:pStyle w:val="Compact"/>
                    <w:jc w:val="right"/>
                    <w:jc w:val="center"/>
                  </w:pPr>
                  <w:r>
                    <w:t xml:space="preserve">0.0</w:t>
                  </w:r>
                </w:p>
              </w:tc>
              <w:tc>
                <w:tcPr/>
                <w:p>
                  <w:pPr>
                    <w:pStyle w:val="Compact"/>
                    <w:jc w:val="right"/>
                    <w:jc w:val="center"/>
                  </w:pPr>
                  <w:r>
                    <w:t xml:space="preserve">2</w:t>
                  </w:r>
                </w:p>
              </w:tc>
            </w:tr>
            <w:tr>
              <w:tc>
                <w:tcPr/>
                <w:p>
                  <w:pPr>
                    <w:pStyle w:val="Compact"/>
                    <w:jc w:val="left"/>
                    <w:jc w:val="center"/>
                  </w:pPr>
                  <w:r>
                    <w:t xml:space="preserve">(0,0.1]</w:t>
                  </w:r>
                </w:p>
              </w:tc>
              <w:tc>
                <w:tcPr/>
                <w:p>
                  <w:pPr>
                    <w:pStyle w:val="Compact"/>
                    <w:jc w:val="right"/>
                    <w:jc w:val="center"/>
                  </w:pPr>
                  <w:r>
                    <w:t xml:space="preserve">27</w:t>
                  </w:r>
                </w:p>
              </w:tc>
              <w:tc>
                <w:tcPr/>
                <w:p>
                  <w:pPr>
                    <w:pStyle w:val="Compact"/>
                    <w:jc w:val="right"/>
                    <w:jc w:val="center"/>
                  </w:pPr>
                  <w:r>
                    <w:t xml:space="preserve">8.4</w:t>
                  </w:r>
                </w:p>
              </w:tc>
              <w:tc>
                <w:tcPr/>
                <w:p>
                  <w:pPr>
                    <w:pStyle w:val="Compact"/>
                    <w:jc w:val="right"/>
                    <w:jc w:val="center"/>
                  </w:pPr>
                  <w:r>
                    <w:t xml:space="preserve">2.7</w:t>
                  </w:r>
                </w:p>
              </w:tc>
              <w:tc>
                <w:tcPr/>
                <w:p>
                  <w:pPr>
                    <w:pStyle w:val="Compact"/>
                    <w:jc w:val="right"/>
                    <w:jc w:val="center"/>
                  </w:pPr>
                  <w:r>
                    <w:t xml:space="preserve">1690</w:t>
                  </w:r>
                </w:p>
              </w:tc>
            </w:tr>
            <w:tr>
              <w:tc>
                <w:tcPr/>
                <w:p>
                  <w:pPr>
                    <w:pStyle w:val="Compact"/>
                    <w:jc w:val="left"/>
                    <w:jc w:val="center"/>
                  </w:pPr>
                  <w:r>
                    <w:t xml:space="preserve">(0.1,0.2]</w:t>
                  </w:r>
                </w:p>
              </w:tc>
              <w:tc>
                <w:tcPr/>
                <w:p>
                  <w:pPr>
                    <w:pStyle w:val="Compact"/>
                    <w:jc w:val="right"/>
                    <w:jc w:val="center"/>
                  </w:pPr>
                  <w:r>
                    <w:t xml:space="preserve">27</w:t>
                  </w:r>
                </w:p>
              </w:tc>
              <w:tc>
                <w:tcPr/>
                <w:p>
                  <w:pPr>
                    <w:pStyle w:val="Compact"/>
                    <w:jc w:val="right"/>
                    <w:jc w:val="center"/>
                  </w:pPr>
                  <w:r>
                    <w:t xml:space="preserve">11.6</w:t>
                  </w:r>
                </w:p>
              </w:tc>
              <w:tc>
                <w:tcPr/>
                <w:p>
                  <w:pPr>
                    <w:pStyle w:val="Compact"/>
                    <w:jc w:val="right"/>
                    <w:jc w:val="center"/>
                  </w:pPr>
                  <w:r>
                    <w:t xml:space="preserve">14.8</w:t>
                  </w:r>
                </w:p>
              </w:tc>
              <w:tc>
                <w:tcPr/>
                <w:p>
                  <w:pPr>
                    <w:pStyle w:val="Compact"/>
                    <w:jc w:val="right"/>
                    <w:jc w:val="center"/>
                  </w:pPr>
                  <w:r>
                    <w:t xml:space="preserve">522</w:t>
                  </w:r>
                </w:p>
              </w:tc>
            </w:tr>
            <w:tr>
              <w:tc>
                <w:tcPr/>
                <w:p>
                  <w:pPr>
                    <w:pStyle w:val="Compact"/>
                    <w:jc w:val="left"/>
                    <w:jc w:val="center"/>
                  </w:pPr>
                  <w:r>
                    <w:t xml:space="preserve">(0,0.1]</w:t>
                  </w:r>
                </w:p>
              </w:tc>
              <w:tc>
                <w:tcPr/>
                <w:p>
                  <w:pPr>
                    <w:pStyle w:val="Compact"/>
                    <w:jc w:val="right"/>
                    <w:jc w:val="center"/>
                  </w:pPr>
                  <w:r>
                    <w:t xml:space="preserve">28</w:t>
                  </w:r>
                </w:p>
              </w:tc>
              <w:tc>
                <w:tcPr/>
                <w:p>
                  <w:pPr>
                    <w:pStyle w:val="Compact"/>
                    <w:jc w:val="right"/>
                    <w:jc w:val="center"/>
                  </w:pPr>
                  <w:r>
                    <w:t xml:space="preserve">6.8</w:t>
                  </w:r>
                </w:p>
              </w:tc>
              <w:tc>
                <w:tcPr/>
                <w:p>
                  <w:pPr>
                    <w:pStyle w:val="Compact"/>
                    <w:jc w:val="right"/>
                    <w:jc w:val="center"/>
                  </w:pPr>
                  <w:r>
                    <w:t xml:space="preserve">4.6</w:t>
                  </w:r>
                </w:p>
              </w:tc>
              <w:tc>
                <w:tcPr/>
                <w:p>
                  <w:pPr>
                    <w:pStyle w:val="Compact"/>
                    <w:jc w:val="right"/>
                    <w:jc w:val="center"/>
                  </w:pPr>
                  <w:r>
                    <w:t xml:space="preserve">1854</w:t>
                  </w:r>
                </w:p>
              </w:tc>
            </w:tr>
            <w:tr>
              <w:tc>
                <w:tcPr/>
                <w:p>
                  <w:pPr>
                    <w:pStyle w:val="Compact"/>
                    <w:jc w:val="left"/>
                    <w:jc w:val="center"/>
                  </w:pPr>
                  <w:r>
                    <w:t xml:space="preserve">(0.1,0.2]</w:t>
                  </w:r>
                </w:p>
              </w:tc>
              <w:tc>
                <w:tcPr/>
                <w:p>
                  <w:pPr>
                    <w:pStyle w:val="Compact"/>
                    <w:jc w:val="right"/>
                    <w:jc w:val="center"/>
                  </w:pPr>
                  <w:r>
                    <w:t xml:space="preserve">28</w:t>
                  </w:r>
                </w:p>
              </w:tc>
              <w:tc>
                <w:tcPr/>
                <w:p>
                  <w:pPr>
                    <w:pStyle w:val="Compact"/>
                    <w:jc w:val="right"/>
                    <w:jc w:val="center"/>
                  </w:pPr>
                  <w:r>
                    <w:t xml:space="preserve">12.2</w:t>
                  </w:r>
                </w:p>
              </w:tc>
              <w:tc>
                <w:tcPr/>
                <w:p>
                  <w:pPr>
                    <w:pStyle w:val="Compact"/>
                    <w:jc w:val="right"/>
                    <w:jc w:val="center"/>
                  </w:pPr>
                  <w:r>
                    <w:t xml:space="preserve">22.6</w:t>
                  </w:r>
                </w:p>
              </w:tc>
              <w:tc>
                <w:tcPr/>
                <w:p>
                  <w:pPr>
                    <w:pStyle w:val="Compact"/>
                    <w:jc w:val="right"/>
                    <w:jc w:val="center"/>
                  </w:pPr>
                  <w:r>
                    <w:t xml:space="preserve">430</w:t>
                  </w:r>
                </w:p>
              </w:tc>
            </w:tr>
            <w:tr>
              <w:tc>
                <w:tcPr/>
                <w:p>
                  <w:pPr>
                    <w:pStyle w:val="Compact"/>
                    <w:jc w:val="left"/>
                    <w:jc w:val="center"/>
                  </w:pPr>
                  <w:r>
                    <w:t xml:space="preserve">(0,0.1]</w:t>
                  </w:r>
                </w:p>
              </w:tc>
              <w:tc>
                <w:tcPr/>
                <w:p>
                  <w:pPr>
                    <w:pStyle w:val="Compact"/>
                    <w:jc w:val="right"/>
                    <w:jc w:val="center"/>
                  </w:pPr>
                  <w:r>
                    <w:t xml:space="preserve">29</w:t>
                  </w:r>
                </w:p>
              </w:tc>
              <w:tc>
                <w:tcPr/>
                <w:p>
                  <w:pPr>
                    <w:pStyle w:val="Compact"/>
                    <w:jc w:val="right"/>
                    <w:jc w:val="center"/>
                  </w:pPr>
                  <w:r>
                    <w:t xml:space="preserve">6.2</w:t>
                  </w:r>
                </w:p>
              </w:tc>
              <w:tc>
                <w:tcPr/>
                <w:p>
                  <w:pPr>
                    <w:pStyle w:val="Compact"/>
                    <w:jc w:val="right"/>
                    <w:jc w:val="center"/>
                  </w:pPr>
                  <w:r>
                    <w:t xml:space="preserve">7.1</w:t>
                  </w:r>
                </w:p>
              </w:tc>
              <w:tc>
                <w:tcPr/>
                <w:p>
                  <w:pPr>
                    <w:pStyle w:val="Compact"/>
                    <w:jc w:val="right"/>
                    <w:jc w:val="center"/>
                  </w:pPr>
                  <w:r>
                    <w:t xml:space="preserve">1936</w:t>
                  </w:r>
                </w:p>
              </w:tc>
            </w:tr>
            <w:tr>
              <w:tc>
                <w:tcPr/>
                <w:p>
                  <w:pPr>
                    <w:pStyle w:val="Compact"/>
                    <w:jc w:val="left"/>
                    <w:jc w:val="center"/>
                  </w:pPr>
                  <w:r>
                    <w:t xml:space="preserve">(0.1,0.2]</w:t>
                  </w:r>
                </w:p>
              </w:tc>
              <w:tc>
                <w:tcPr/>
                <w:p>
                  <w:pPr>
                    <w:pStyle w:val="Compact"/>
                    <w:jc w:val="right"/>
                    <w:jc w:val="center"/>
                  </w:pPr>
                  <w:r>
                    <w:t xml:space="preserve">29</w:t>
                  </w:r>
                </w:p>
              </w:tc>
              <w:tc>
                <w:tcPr/>
                <w:p>
                  <w:pPr>
                    <w:pStyle w:val="Compact"/>
                    <w:jc w:val="right"/>
                    <w:jc w:val="center"/>
                  </w:pPr>
                  <w:r>
                    <w:t xml:space="preserve">12.1</w:t>
                  </w:r>
                </w:p>
              </w:tc>
              <w:tc>
                <w:tcPr/>
                <w:p>
                  <w:pPr>
                    <w:pStyle w:val="Compact"/>
                    <w:jc w:val="right"/>
                    <w:jc w:val="center"/>
                  </w:pPr>
                  <w:r>
                    <w:t xml:space="preserve">15.9</w:t>
                  </w:r>
                </w:p>
              </w:tc>
              <w:tc>
                <w:tcPr/>
                <w:p>
                  <w:pPr>
                    <w:pStyle w:val="Compact"/>
                    <w:jc w:val="right"/>
                    <w:jc w:val="center"/>
                  </w:pPr>
                  <w:r>
                    <w:t xml:space="preserve">384</w:t>
                  </w:r>
                </w:p>
              </w:tc>
            </w:tr>
            <w:tr>
              <w:tc>
                <w:tcPr/>
                <w:p>
                  <w:pPr>
                    <w:pStyle w:val="Compact"/>
                    <w:jc w:val="left"/>
                    <w:jc w:val="center"/>
                  </w:pPr>
                  <w:r>
                    <w:t xml:space="preserve">(0,0.1]</w:t>
                  </w:r>
                </w:p>
              </w:tc>
              <w:tc>
                <w:tcPr/>
                <w:p>
                  <w:pPr>
                    <w:pStyle w:val="Compact"/>
                    <w:jc w:val="right"/>
                    <w:jc w:val="center"/>
                  </w:pPr>
                  <w:r>
                    <w:t xml:space="preserve">30</w:t>
                  </w:r>
                </w:p>
              </w:tc>
              <w:tc>
                <w:tcPr/>
                <w:p>
                  <w:pPr>
                    <w:pStyle w:val="Compact"/>
                    <w:jc w:val="right"/>
                    <w:jc w:val="center"/>
                  </w:pPr>
                  <w:r>
                    <w:t xml:space="preserve">7.8</w:t>
                  </w:r>
                </w:p>
              </w:tc>
              <w:tc>
                <w:tcPr/>
                <w:p>
                  <w:pPr>
                    <w:pStyle w:val="Compact"/>
                    <w:jc w:val="right"/>
                    <w:jc w:val="center"/>
                  </w:pPr>
                  <w:r>
                    <w:t xml:space="preserve">7.2</w:t>
                  </w:r>
                </w:p>
              </w:tc>
              <w:tc>
                <w:tcPr/>
                <w:p>
                  <w:pPr>
                    <w:pStyle w:val="Compact"/>
                    <w:jc w:val="right"/>
                    <w:jc w:val="center"/>
                  </w:pPr>
                  <w:r>
                    <w:t xml:space="preserve">1702</w:t>
                  </w:r>
                </w:p>
              </w:tc>
            </w:tr>
            <w:tr>
              <w:tc>
                <w:tcPr/>
                <w:p>
                  <w:pPr>
                    <w:pStyle w:val="Compact"/>
                    <w:jc w:val="left"/>
                    <w:jc w:val="center"/>
                  </w:pPr>
                  <w:r>
                    <w:t xml:space="preserve">(0.1,0.2]</w:t>
                  </w:r>
                </w:p>
              </w:tc>
              <w:tc>
                <w:tcPr/>
                <w:p>
                  <w:pPr>
                    <w:pStyle w:val="Compact"/>
                    <w:jc w:val="right"/>
                    <w:jc w:val="center"/>
                  </w:pPr>
                  <w:r>
                    <w:t xml:space="preserve">30</w:t>
                  </w:r>
                </w:p>
              </w:tc>
              <w:tc>
                <w:tcPr/>
                <w:p>
                  <w:pPr>
                    <w:pStyle w:val="Compact"/>
                    <w:jc w:val="right"/>
                    <w:jc w:val="center"/>
                  </w:pPr>
                  <w:r>
                    <w:t xml:space="preserve">13.0</w:t>
                  </w:r>
                </w:p>
              </w:tc>
              <w:tc>
                <w:tcPr/>
                <w:p>
                  <w:pPr>
                    <w:pStyle w:val="Compact"/>
                    <w:jc w:val="right"/>
                    <w:jc w:val="center"/>
                  </w:pPr>
                  <w:r>
                    <w:t xml:space="preserve">10.4</w:t>
                  </w:r>
                </w:p>
              </w:tc>
              <w:tc>
                <w:tcPr/>
                <w:p>
                  <w:pPr>
                    <w:pStyle w:val="Compact"/>
                    <w:jc w:val="right"/>
                    <w:jc w:val="center"/>
                  </w:pPr>
                  <w:r>
                    <w:t xml:space="preserve">627</w:t>
                  </w:r>
                </w:p>
              </w:tc>
            </w:tr>
            <w:tr>
              <w:tc>
                <w:tcPr/>
                <w:p>
                  <w:pPr>
                    <w:pStyle w:val="Compact"/>
                    <w:jc w:val="left"/>
                    <w:jc w:val="center"/>
                  </w:pPr>
                  <w:r>
                    <w:t xml:space="preserve">(0.2,0.3]</w:t>
                  </w:r>
                </w:p>
              </w:tc>
              <w:tc>
                <w:tcPr/>
                <w:p>
                  <w:pPr>
                    <w:pStyle w:val="Compact"/>
                    <w:jc w:val="right"/>
                    <w:jc w:val="center"/>
                  </w:pPr>
                  <w:r>
                    <w:t xml:space="preserve">30</w:t>
                  </w:r>
                </w:p>
              </w:tc>
              <w:tc>
                <w:tcPr/>
                <w:p>
                  <w:pPr>
                    <w:pStyle w:val="Compact"/>
                    <w:jc w:val="right"/>
                    <w:jc w:val="center"/>
                  </w:pPr>
                  <w:r>
                    <w:t xml:space="preserve">22.1</w:t>
                  </w:r>
                </w:p>
              </w:tc>
              <w:tc>
                <w:tcPr/>
                <w:p>
                  <w:pPr>
                    <w:pStyle w:val="Compact"/>
                    <w:jc w:val="right"/>
                    <w:jc w:val="center"/>
                  </w:pPr>
                  <w:r>
                    <w:t xml:space="preserve">40.0</w:t>
                  </w:r>
                </w:p>
              </w:tc>
              <w:tc>
                <w:tcPr/>
                <w:p>
                  <w:pPr>
                    <w:pStyle w:val="Compact"/>
                    <w:jc w:val="right"/>
                    <w:jc w:val="center"/>
                  </w:pPr>
                  <w:r>
                    <w:t xml:space="preserve">5</w:t>
                  </w:r>
                </w:p>
              </w:tc>
            </w:tr>
          </w:tbl>
          <w:bookmarkEnd w:id="72"/>
          <w:p/>
        </w:tc>
      </w:tr>
    </w:tbl>
    <w:p>
      <w:pPr>
        <w:pStyle w:val="BodyText"/>
      </w:pPr>
      <w:r>
        <w:rPr>
          <w:vertAlign w:val="subscript"/>
        </w:rPr>
        <w:t xml:space="preserve">Source:</w:t>
      </w:r>
      <w:r>
        <w:rPr>
          <w:vertAlign w:val="subscript"/>
        </w:rPr>
        <w:t xml:space="preserve"> </w:t>
      </w:r>
      <w:hyperlink r:id="rId73">
        <w:r>
          <w:rPr>
            <w:rStyle w:val="Hyperlink"/>
            <w:vertAlign w:val="subscript"/>
          </w:rPr>
          <w:t xml:space="preserve">Make Tables for GPS</w:t>
        </w:r>
      </w:hyperlink>
    </w:p>
    <w:p>
      <w:pPr>
        <w:pStyle w:val="BodyText"/>
      </w:pPr>
      <w:r>
        <w:t xml:space="preserve">The median skill score was (0.05, suggesting that mean log loss was reduced in our model relative to one which predicts the base rate of lapse.</w:t>
      </w:r>
      <w:r>
        <w:t xml:space="preserve"> </w:t>
      </w:r>
    </w:p>
    <w:bookmarkEnd w:id="74"/>
    <w:bookmarkStart w:id="75" w:name="feature-importance"/>
    <w:p>
      <w:pPr>
        <w:pStyle w:val="Heading3"/>
      </w:pPr>
      <w:r>
        <w:t xml:space="preserve">Feature Importance</w:t>
      </w:r>
    </w:p>
    <w:p>
      <w:pPr>
        <w:pStyle w:val="FirstParagraph"/>
      </w:pPr>
      <w:r>
        <w:t xml:space="preserve">Global importance (mean absolute Shapley values) for the top 20 most important feature categories are displayed in</w:t>
      </w:r>
      <w:r>
        <w:t xml:space="preserve"> </w:t>
      </w:r>
      <w:r>
        <w:rPr>
          <w:b/>
          <w:bCs/>
        </w:rPr>
        <w:t xml:space="preserve">?@fig-7</w:t>
      </w:r>
      <w:r>
        <w:t xml:space="preserve">. Notably, the top three features were all related to self-reported risk (medium, high, and no). The most important demographic feature was income. There was an approximately three-fold difference in feature importance between the top performing geolocation feature as compared to the top performing demographic feature.</w:t>
      </w:r>
      <w:r>
        <w:t xml:space="preserve"> </w:t>
      </w:r>
    </w:p>
    <w:bookmarkEnd w:id="75"/>
    <w:bookmarkEnd w:id="76"/>
    <w:bookmarkStart w:id="81" w:name="discussion"/>
    <w:p>
      <w:pPr>
        <w:pStyle w:val="Heading2"/>
      </w:pPr>
      <w:r>
        <w:t xml:space="preserve">Discussion</w:t>
      </w:r>
    </w:p>
    <w:bookmarkStart w:id="77" w:name="model-performance"/>
    <w:p>
      <w:pPr>
        <w:pStyle w:val="Heading3"/>
      </w:pPr>
      <w:r>
        <w:t xml:space="preserve">Model Performance</w:t>
      </w:r>
    </w:p>
    <w:p>
      <w:pPr>
        <w:pStyle w:val="FirstParagraph"/>
      </w:pPr>
      <w:r>
        <w:t xml:space="preserve">Our day-level model of alcohol lapse prediction using geolocation data produced a median auROC of 0.72. Bayesian model comparisons indicated that this model performed better than both chance and a model which only included demographic variables. While not clinically implementable on its own, these findings confirm that there is strong evidence of predictive signal in these data and are an important first step towards an eventual continuous risk monitoring and support system. This study also provided explanatory insights by way of quantifying feature importance as well as a crucial examination of model fairness across classes, detailed in the following sections.</w:t>
      </w:r>
    </w:p>
    <w:p>
      <w:pPr>
        <w:pStyle w:val="BodyText"/>
      </w:pPr>
      <w:r>
        <w:t xml:space="preserve">In general, our model was well-calibrated with predicted probabilities clustering around the observed event rate (i.e., lapse rate in our sample). As a result, additional calibration steps were not necessarily despite our restricted range of probabilities. Importantly, this truncated range may not be an issue when anticipating future implementation. We are not necessarily interested in communicating exact probabilities to individuals about their lapse risk (such as,</w:t>
      </w:r>
      <w:r>
        <w:t xml:space="preserve"> </w:t>
      </w:r>
      <w:r>
        <w:rPr>
          <w:i/>
          <w:iCs/>
        </w:rPr>
        <w:t xml:space="preserve">“</w:t>
      </w:r>
      <w:r>
        <w:rPr>
          <w:i/>
          <w:iCs/>
        </w:rPr>
        <w:t xml:space="preserve">There is a 92% chance that you lapse back to use today</w:t>
      </w:r>
      <w:r>
        <w:rPr>
          <w:i/>
          <w:iCs/>
        </w:rPr>
        <w:t xml:space="preserve">”</w:t>
      </w:r>
      <w:r>
        <w:t xml:space="preserve">). Rather, we are more interested in communicating</w:t>
      </w:r>
      <w:r>
        <w:t xml:space="preserve"> </w:t>
      </w:r>
      <w:r>
        <w:rPr>
          <w:i/>
          <w:iCs/>
        </w:rPr>
        <w:t xml:space="preserve">relative</w:t>
      </w:r>
      <w:r>
        <w:t xml:space="preserve"> </w:t>
      </w:r>
      <w:r>
        <w:t xml:space="preserve">levels of risk (such as,</w:t>
      </w:r>
      <w:r>
        <w:t xml:space="preserve"> </w:t>
      </w:r>
      <w:r>
        <w:rPr>
          <w:i/>
          <w:iCs/>
        </w:rPr>
        <w:t xml:space="preserve">“</w:t>
      </w:r>
      <w:r>
        <w:rPr>
          <w:i/>
          <w:iCs/>
        </w:rPr>
        <w:t xml:space="preserve">You are at a low risk level of lapse today,</w:t>
      </w:r>
      <w:r>
        <w:rPr>
          <w:i/>
          <w:iCs/>
        </w:rPr>
        <w:t xml:space="preserve">”</w:t>
      </w:r>
      <w:r>
        <w:t xml:space="preserve"> </w:t>
      </w:r>
      <w:r>
        <w:t xml:space="preserve">or,</w:t>
      </w:r>
      <w:r>
        <w:t xml:space="preserve"> </w:t>
      </w:r>
      <w:r>
        <w:rPr>
          <w:i/>
          <w:iCs/>
        </w:rPr>
        <w:t xml:space="preserve">“</w:t>
      </w:r>
      <w:r>
        <w:rPr>
          <w:i/>
          <w:iCs/>
        </w:rPr>
        <w:t xml:space="preserve">Your risk of lapse is higher this week compared to last week</w:t>
      </w:r>
      <w:r>
        <w:rPr>
          <w:i/>
          <w:iCs/>
        </w:rPr>
        <w:t xml:space="preserve">”</w:t>
      </w:r>
      <w:r>
        <w:t xml:space="preserve"> </w:t>
      </w:r>
      <w:r>
        <w:t xml:space="preserve">where</w:t>
      </w:r>
      <w:r>
        <w:t xml:space="preserve"> </w:t>
      </w:r>
      <w:r>
        <w:rPr>
          <w:i/>
          <w:iCs/>
        </w:rPr>
        <w:t xml:space="preserve">low</w:t>
      </w:r>
      <w:r>
        <w:t xml:space="preserve"> </w:t>
      </w:r>
      <w:r>
        <w:t xml:space="preserve">or</w:t>
      </w:r>
      <w:r>
        <w:t xml:space="preserve"> </w:t>
      </w:r>
      <w:r>
        <w:rPr>
          <w:i/>
          <w:iCs/>
        </w:rPr>
        <w:t xml:space="preserve">high risk</w:t>
      </w:r>
      <w:r>
        <w:t xml:space="preserve"> </w:t>
      </w:r>
      <w:r>
        <w:t xml:space="preserve">correspond to a designated probability threshold).</w:t>
      </w:r>
    </w:p>
    <w:p>
      <w:pPr>
        <w:pStyle w:val="BodyText"/>
      </w:pPr>
      <w:r>
        <w:t xml:space="preserve">To better understand our model’s performance, we further examined model performance across coarsely divided subgroups (split by societal privilege) with respect to both median auROC and median mean log loss. We opted to leverage two approaches here as each results in a distinct on model output which reflect unique components of model fairness. For instance, we may be more concerned when relative ordering is reduced (as in our observation of reduced median auROCs in older adults or those with higher educational attainment) as compared to when probabilities are less accurate (as in our observation of higher mean log loss scores in women and those below the poverty line) if our goal is to ultimately communicate relative levels of lapse risk.</w:t>
      </w:r>
    </w:p>
    <w:p>
      <w:pPr>
        <w:pStyle w:val="BodyText"/>
      </w:pPr>
      <w:r>
        <w:t xml:space="preserve">Of equal importance is to consider potential motivating factors behind these performance discrepancies. Reduced median auROCs may reflect features which do not equally capture the recovery experiences of individuals who are older adults or who have higher educational attainment. Phrased differently, our features may simply have more signal for younger adults and individuals with lower educational attainment. On the other hand, higher median mean log loss may indicate that our model has a worse understanding of relative risk for women and those below the poverty line. Because we did not see differences in median auROCs for these groups, this suggests that our model can rank-order these individuals in terms of relative risk on par with their privileged counterparts.</w:t>
      </w:r>
      <w:r>
        <w:t xml:space="preserve"> </w:t>
      </w:r>
      <w:r>
        <w:t xml:space="preserve"> </w:t>
      </w:r>
      <w:r>
        <w:t xml:space="preserve">It is possible that these differences may also be due to differences in mobility patterns associated with sex, age, and income (which is frequently associated with one’s educational attainment)</w:t>
      </w:r>
      <w:r>
        <w:t xml:space="preserve"> </w:t>
      </w:r>
      <w:r>
        <w:t xml:space="preserve">Siła-Nowicka et al. (2016)</w:t>
      </w:r>
      <w:r>
        <w:t xml:space="preserve">.</w:t>
      </w:r>
    </w:p>
    <w:bookmarkEnd w:id="77"/>
    <w:bookmarkStart w:id="78" w:name="feature-importance-1"/>
    <w:p>
      <w:pPr>
        <w:pStyle w:val="Heading3"/>
      </w:pPr>
      <w:r>
        <w:t xml:space="preserve">Feature Importance</w:t>
      </w:r>
    </w:p>
    <w:p>
      <w:pPr>
        <w:pStyle w:val="FirstParagraph"/>
      </w:pPr>
      <w:r>
        <w:t xml:space="preserve">We used Shapley values to quantify global feature importance. Overall, geolocation features were more important in model predictions than demographic variables, with time spent at medium, high, and no risk locations being the strongest contributors to risk predictions.</w:t>
      </w:r>
    </w:p>
    <w:p>
      <w:pPr>
        <w:pStyle w:val="BodyText"/>
      </w:pPr>
      <w:r>
        <w:t xml:space="preserve">The most important demographic variable was income. This may be due to the fact that income can impact exposure to alcohol related cues in one’s environment, with the potential for cues to drive increased craving and thus increase lapse risk. For instance, alcohol outlet density has been shown to be spatially related to income level</w:t>
      </w:r>
      <w:r>
        <w:t xml:space="preserve"> </w:t>
      </w:r>
      <w:r>
        <w:t xml:space="preserve">(Morrison et al., 2016)</w:t>
      </w:r>
      <w:r>
        <w:t xml:space="preserve">. These findings highlight the potential importance of personalizing feedback for a continuous risk monitoring and support system based, in part, on key demographic characteristics. For example, the approach for intervening on craving for an individual who cannot as readily avoid triggering environments may benefit from placing a greater emphasis on building self-confidence around resisting cravings as opposed to avoiding those spaces altogether, such as in the instance of an individual who lives in a neighborhood with a high liquor outlet density.</w:t>
      </w:r>
    </w:p>
    <w:p>
      <w:pPr>
        <w:pStyle w:val="BodyText"/>
      </w:pPr>
      <w:r>
        <w:t xml:space="preserve">Though geolocation data provide a lower burden alternative to collecting important lapse-risk-relevant information as compared to EMA, we did survey our participants to provide us with their own contextual information about frequently visited locations. Some of our important features (such as time spent at restaurants or bars) could be automated and instead pulled from public map data to further reduce participant burden. Interestingly, our top four features (self-reported medium, high, or no risk and having previously drank alcohol at a location) may not be as easily garnered from public sources. For instance, what one person considers high risk to their recovery may not be high risk to another (e.g., what may be a town that one person passes through on their daily commute to another may be the location of an abusive ex-spouse). The same may be true for alcohol consumption. While public map data can assist in gathering information about liquor licenses, for instance, it cannot identify locations where individuals engaging in</w:t>
      </w:r>
      <w:r>
        <w:t xml:space="preserve"> </w:t>
      </w:r>
      <w:r>
        <w:t xml:space="preserve">“</w:t>
      </w:r>
      <w:r>
        <w:t xml:space="preserve">secret drinking</w:t>
      </w:r>
      <w:r>
        <w:t xml:space="preserve">”</w:t>
      </w:r>
      <w:r>
        <w:t xml:space="preserve"> </w:t>
      </w:r>
      <w:r>
        <w:t xml:space="preserve">(e.g., a flask in a car or at a place of work) might consume alcohol.</w:t>
      </w:r>
      <w:r>
        <w:t xml:space="preserve"> </w:t>
      </w:r>
    </w:p>
    <w:p>
      <w:pPr>
        <w:pStyle w:val="BodyText"/>
      </w:pPr>
      <w:r>
        <w:t xml:space="preserve">Overall, these results are well-aligned with the extant AUD literature, notably the focus of high-risk situations as an immediate determinant to relapse within the relapse prevention model</w:t>
      </w:r>
      <w:r>
        <w:t xml:space="preserve"> </w:t>
      </w:r>
      <w:r>
        <w:t xml:space="preserve">(Larimer et al., 1999; Marlatt &amp; Gordon, 1985)</w:t>
      </w:r>
      <w:r>
        <w:t xml:space="preserve">.</w:t>
      </w:r>
    </w:p>
    <w:bookmarkEnd w:id="78"/>
    <w:bookmarkStart w:id="79" w:name="X40ab624ebf83813907a18dba36edd4d1d14a553"/>
    <w:p>
      <w:pPr>
        <w:pStyle w:val="Heading3"/>
      </w:pPr>
      <w:r>
        <w:t xml:space="preserve">Additional limitations and future directions</w:t>
      </w:r>
    </w:p>
    <w:p>
      <w:pPr>
        <w:pStyle w:val="FirstParagraph"/>
      </w:pPr>
      <w:r>
        <w:t xml:space="preserve">This study is an important step forward in building a model using geolocation data to predict next-day lapse back to alcohol use in individuals with a diagnosis of AUD and a recovery goal of abstinence. However, there are several limitations to this work.</w:t>
      </w:r>
    </w:p>
    <w:p>
      <w:pPr>
        <w:pStyle w:val="BodyText"/>
      </w:pPr>
      <w:r>
        <w:t xml:space="preserve">First, our model has only a fair level of performance. A simple strategy to improve this is to explore additional features. Risk-relevant features that can be generated without additional participant-supplied contextual information include geographical spatial risk indicators and circadian rhythm data. Risk-terrain modeling is a spatial analysis technique which enables the estimation of environmental risk factors on a given outcome, such as contact with high liquor outlet density or high crime areas preceding lapse</w:t>
      </w:r>
      <w:r>
        <w:t xml:space="preserve"> </w:t>
      </w:r>
      <w:r>
        <w:t xml:space="preserve">(Gajos et al., 2024)</w:t>
      </w:r>
      <w:r>
        <w:t xml:space="preserve">. These features are not only clinically meaningful, but are also clinically</w:t>
      </w:r>
      <w:r>
        <w:t xml:space="preserve"> </w:t>
      </w:r>
      <w:r>
        <w:rPr>
          <w:i/>
          <w:iCs/>
        </w:rPr>
        <w:t xml:space="preserve">intervenable</w:t>
      </w:r>
      <w:r>
        <w:t xml:space="preserve">. In the context of a continuous risk monitoring and support system, individuals could receive notifications relating to increasing amounts of time spent in riskier areas (beyond self-identified risky locations). Potential interventions in these examples would be to suggest relocating to a</w:t>
      </w:r>
      <w:r>
        <w:t xml:space="preserve"> </w:t>
      </w:r>
      <w:r>
        <w:t xml:space="preserve">“</w:t>
      </w:r>
      <w:r>
        <w:t xml:space="preserve">safer</w:t>
      </w:r>
      <w:r>
        <w:t xml:space="preserve">”</w:t>
      </w:r>
      <w:r>
        <w:t xml:space="preserve"> </w:t>
      </w:r>
      <w:r>
        <w:t xml:space="preserve">area.</w:t>
      </w:r>
    </w:p>
    <w:p>
      <w:pPr>
        <w:pStyle w:val="BodyText"/>
      </w:pPr>
      <w:r>
        <w:t xml:space="preserve">Finally, a future direction of this work is to integrate the features engineering for this geolocation-based model with features from the EMA-based model designed within our lab</w:t>
      </w:r>
      <w:r>
        <w:t xml:space="preserve"> </w:t>
      </w:r>
      <w:r>
        <w:t xml:space="preserve">(</w:t>
      </w:r>
      <w:r>
        <w:rPr>
          <w:b/>
          <w:bCs/>
        </w:rPr>
        <w:t xml:space="preserve">wyantMachineLearningModels2023?</w:t>
      </w:r>
      <w:r>
        <w:t xml:space="preserve">)</w:t>
      </w:r>
      <w:r>
        <w:t xml:space="preserve">. These two studies represent foundational work carried out to explore predictive signal and important features across distinct data sources. The day-level EMA model performed better than the geolocation model, achieving an auROC of 0.90. However, both models appear to be contributing unique features of interest in predicting lapse which suggests that they may provide complementary information about lapse risk. For example, the top three day-level features using EMA were past use, future efficacy (i.e., belief in oneself to maintain recovery goals), and craving. Features explored across both of these models are being consolidated and used to optimize the development of a continuous risk monitoring and support system for AUD where individuals will also receive temporally relevant feedback on features driving their lapse risk</w:t>
      </w:r>
      <w:r>
        <w:t xml:space="preserve"> </w:t>
      </w:r>
      <w:r>
        <w:t xml:space="preserve">(Wyant et al., 2025)</w:t>
      </w:r>
      <w:r>
        <w:t xml:space="preserve">.</w:t>
      </w:r>
    </w:p>
    <w:bookmarkEnd w:id="79"/>
    <w:bookmarkStart w:id="80" w:name="conclusion"/>
    <w:p>
      <w:pPr>
        <w:pStyle w:val="Heading3"/>
      </w:pPr>
      <w:r>
        <w:t xml:space="preserve">Conclusion</w:t>
      </w:r>
    </w:p>
    <w:p>
      <w:pPr>
        <w:pStyle w:val="FirstParagraph"/>
      </w:pPr>
      <w:r>
        <w:t xml:space="preserve">This study demonstrated that geolocation data are able to predict next-day alcohol lapse at a fair level of performance (auROC = 0.72). Relative to our group’s previously-developed EMA model</w:t>
      </w:r>
      <w:r>
        <w:t xml:space="preserve"> </w:t>
      </w:r>
      <w:r>
        <w:t xml:space="preserve">(</w:t>
      </w:r>
      <w:r>
        <w:rPr>
          <w:b/>
          <w:bCs/>
        </w:rPr>
        <w:t xml:space="preserve">wyantMachineLearningModels2023?</w:t>
      </w:r>
      <w:r>
        <w:t xml:space="preserve">)</w:t>
      </w:r>
      <w:r>
        <w:t xml:space="preserve">, geolocation data provide additional and unique contributing features to lapse risk predictions. While our model’s level of performance is not sufficient for standalone implementation, these results suggest geolocation data are a viable supplement for a continuous risk monitoring and support system.</w:t>
      </w:r>
    </w:p>
    <w:p>
      <w:r>
        <w:br w:type="page"/>
      </w:r>
    </w:p>
    <w:bookmarkEnd w:id="80"/>
    <w:bookmarkEnd w:id="81"/>
    <w:bookmarkStart w:id="152" w:name="references"/>
    <w:p>
      <w:pPr>
        <w:pStyle w:val="Heading2"/>
      </w:pPr>
      <w:r>
        <w:t xml:space="preserve">References</w:t>
      </w:r>
    </w:p>
    <w:bookmarkStart w:id="151" w:name="refs"/>
    <w:bookmarkStart w:id="83" w:name="ref-attwoodUsingMobileHealth2017"/>
    <w:p>
      <w:pPr>
        <w:pStyle w:val="Bibliography"/>
      </w:pPr>
      <w:r>
        <w:t xml:space="preserve">Attwood, S., Parke, H., Larsen, J., &amp; Morton, K. L. (2017). Using a mobile health application to reduce alcohol consumption: A mixed-methods evaluation of the drinkaware track &amp; calculate units application.</w:t>
      </w:r>
      <w:r>
        <w:t xml:space="preserve"> </w:t>
      </w:r>
      <w:r>
        <w:rPr>
          <w:i/>
          <w:iCs/>
        </w:rPr>
        <w:t xml:space="preserve">BMC Public Health</w:t>
      </w:r>
      <w:r>
        <w:t xml:space="preserve">,</w:t>
      </w:r>
      <w:r>
        <w:t xml:space="preserve"> </w:t>
      </w:r>
      <w:r>
        <w:rPr>
          <w:i/>
          <w:iCs/>
        </w:rPr>
        <w:t xml:space="preserve">17</w:t>
      </w:r>
      <w:r>
        <w:t xml:space="preserve">(1), 394.</w:t>
      </w:r>
      <w:r>
        <w:t xml:space="preserve"> </w:t>
      </w:r>
      <w:hyperlink r:id="rId82">
        <w:r>
          <w:rPr>
            <w:rStyle w:val="Hyperlink"/>
          </w:rPr>
          <w:t xml:space="preserve">https://doi.org/10.1186/s12889-017-4358-9</w:t>
        </w:r>
      </w:hyperlink>
    </w:p>
    <w:bookmarkEnd w:id="83"/>
    <w:bookmarkStart w:id="84" w:name="X3a64935e4f6cdedc8452da3726943edf3c62342"/>
    <w:p>
      <w:pPr>
        <w:pStyle w:val="Bibliography"/>
      </w:pPr>
      <w:r>
        <w:t xml:space="preserve">Brier, G. W. (1950). Verification of forecasts expressed in terms of probability.</w:t>
      </w:r>
      <w:r>
        <w:t xml:space="preserve"> </w:t>
      </w:r>
      <w:r>
        <w:rPr>
          <w:i/>
          <w:iCs/>
        </w:rPr>
        <w:t xml:space="preserve">Monthly Weather Review</w:t>
      </w:r>
      <w:r>
        <w:t xml:space="preserve">,</w:t>
      </w:r>
      <w:r>
        <w:t xml:space="preserve"> </w:t>
      </w:r>
      <w:r>
        <w:rPr>
          <w:i/>
          <w:iCs/>
        </w:rPr>
        <w:t xml:space="preserve">78</w:t>
      </w:r>
      <w:r>
        <w:t xml:space="preserve">(1), 1–3.</w:t>
      </w:r>
    </w:p>
    <w:bookmarkEnd w:id="84"/>
    <w:bookmarkStart w:id="86" w:name="ref-carreiroRealizeAnalyzeEngage2021"/>
    <w:p>
      <w:pPr>
        <w:pStyle w:val="Bibliography"/>
      </w:pPr>
      <w:r>
        <w:t xml:space="preserve">Carreiro, S., Taylor, M., Shrestha, S., Reinhardt, M., Gilbertson, N., &amp; Indic, P. (2021). Realize,</w:t>
      </w:r>
      <w:r>
        <w:t xml:space="preserve"> </w:t>
      </w:r>
      <w:r>
        <w:t xml:space="preserve">Analyze</w:t>
      </w:r>
      <w:r>
        <w:t xml:space="preserve">,</w:t>
      </w:r>
      <w:r>
        <w:t xml:space="preserve"> </w:t>
      </w:r>
      <w:r>
        <w:t xml:space="preserve">Engage</w:t>
      </w:r>
      <w:r>
        <w:t xml:space="preserve"> </w:t>
      </w:r>
      <w:r>
        <w:t xml:space="preserve">(</w:t>
      </w:r>
      <w:r>
        <w:t xml:space="preserve">RAE</w:t>
      </w:r>
      <w:r>
        <w:t xml:space="preserve">):</w:t>
      </w:r>
      <w:r>
        <w:t xml:space="preserve"> </w:t>
      </w:r>
      <w:r>
        <w:t xml:space="preserve">A Digital Tool</w:t>
      </w:r>
      <w:r>
        <w:t xml:space="preserve"> </w:t>
      </w:r>
      <w:r>
        <w:t xml:space="preserve">to</w:t>
      </w:r>
      <w:r>
        <w:t xml:space="preserve"> </w:t>
      </w:r>
      <w:r>
        <w:t xml:space="preserve">Support Recovery</w:t>
      </w:r>
      <w:r>
        <w:t xml:space="preserve"> </w:t>
      </w:r>
      <w:r>
        <w:t xml:space="preserve">from</w:t>
      </w:r>
      <w:r>
        <w:t xml:space="preserve"> </w:t>
      </w:r>
      <w:r>
        <w:t xml:space="preserve">Substance Use Disorder</w:t>
      </w:r>
      <w:r>
        <w:t xml:space="preserve">.</w:t>
      </w:r>
      <w:r>
        <w:t xml:space="preserve"> </w:t>
      </w:r>
      <w:r>
        <w:rPr>
          <w:i/>
          <w:iCs/>
        </w:rPr>
        <w:t xml:space="preserve">Journal of Psychiatry and Brain Science</w:t>
      </w:r>
      <w:r>
        <w:t xml:space="preserve">,</w:t>
      </w:r>
      <w:r>
        <w:t xml:space="preserve"> </w:t>
      </w:r>
      <w:r>
        <w:rPr>
          <w:i/>
          <w:iCs/>
        </w:rPr>
        <w:t xml:space="preserve">6</w:t>
      </w:r>
      <w:r>
        <w:t xml:space="preserve">, e210002.</w:t>
      </w:r>
      <w:r>
        <w:t xml:space="preserve"> </w:t>
      </w:r>
      <w:hyperlink r:id="rId85">
        <w:r>
          <w:rPr>
            <w:rStyle w:val="Hyperlink"/>
          </w:rPr>
          <w:t xml:space="preserve">https://doi.org/10.20900/jpbs.20210002</w:t>
        </w:r>
      </w:hyperlink>
    </w:p>
    <w:bookmarkEnd w:id="86"/>
    <w:bookmarkStart w:id="88"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87">
        <w:r>
          <w:rPr>
            <w:rStyle w:val="Hyperlink"/>
          </w:rPr>
          <w:t xml:space="preserve">https://doi.org/10.21231/GNT1-HW21</w:t>
        </w:r>
      </w:hyperlink>
    </w:p>
    <w:bookmarkEnd w:id="88"/>
    <w:bookmarkStart w:id="90" w:name="ref-chenGeographicMobilityAmerica2020"/>
    <w:p>
      <w:pPr>
        <w:pStyle w:val="Bibliography"/>
      </w:pPr>
      <w:r>
        <w:t xml:space="preserve">Chen, M. K., &amp; Pope, D. G. (2020).</w:t>
      </w:r>
      <w:r>
        <w:t xml:space="preserve"> </w:t>
      </w:r>
      <w:r>
        <w:rPr>
          <w:i/>
          <w:iCs/>
        </w:rPr>
        <w:t xml:space="preserve">Geographic</w:t>
      </w:r>
      <w:r>
        <w:rPr>
          <w:i/>
          <w:iCs/>
        </w:rPr>
        <w:t xml:space="preserve"> </w:t>
      </w:r>
      <w:r>
        <w:rPr>
          <w:i/>
          <w:iCs/>
        </w:rPr>
        <w:t xml:space="preserve">Mobility</w:t>
      </w:r>
      <w:r>
        <w:rPr>
          <w:i/>
          <w:iCs/>
        </w:rPr>
        <w:t xml:space="preserve"> </w:t>
      </w:r>
      <w:r>
        <w:rPr>
          <w:i/>
          <w:iCs/>
        </w:rPr>
        <w:t xml:space="preserve">in</w:t>
      </w:r>
      <w:r>
        <w:rPr>
          <w:i/>
          <w:iCs/>
        </w:rPr>
        <w:t xml:space="preserve"> </w:t>
      </w:r>
      <w:r>
        <w:rPr>
          <w:i/>
          <w:iCs/>
        </w:rPr>
        <w:t xml:space="preserve">America</w:t>
      </w:r>
      <w:r>
        <w:rPr>
          <w:i/>
          <w:iCs/>
        </w:rPr>
        <w:t xml:space="preserve">:</w:t>
      </w:r>
      <w:r>
        <w:rPr>
          <w:i/>
          <w:iCs/>
        </w:rPr>
        <w:t xml:space="preserve"> </w:t>
      </w:r>
      <w:r>
        <w:rPr>
          <w:i/>
          <w:iCs/>
        </w:rPr>
        <w:t xml:space="preserve">Evidence</w:t>
      </w:r>
      <w:r>
        <w:rPr>
          <w:i/>
          <w:iCs/>
        </w:rPr>
        <w:t xml:space="preserve"> </w:t>
      </w:r>
      <w:r>
        <w:rPr>
          <w:i/>
          <w:iCs/>
        </w:rPr>
        <w:t xml:space="preserve">from</w:t>
      </w:r>
      <w:r>
        <w:rPr>
          <w:i/>
          <w:iCs/>
        </w:rPr>
        <w:t xml:space="preserve"> </w:t>
      </w:r>
      <w:r>
        <w:rPr>
          <w:i/>
          <w:iCs/>
        </w:rPr>
        <w:t xml:space="preserve">Cell Phone Data</w:t>
      </w:r>
      <w:r>
        <w:t xml:space="preserve"> </w:t>
      </w:r>
      <w:r>
        <w:t xml:space="preserve">(Working {{Paper}} 27072). National Bureau of Economic Research.</w:t>
      </w:r>
      <w:r>
        <w:t xml:space="preserve"> </w:t>
      </w:r>
      <w:hyperlink r:id="rId89">
        <w:r>
          <w:rPr>
            <w:rStyle w:val="Hyperlink"/>
          </w:rPr>
          <w:t xml:space="preserve">https://doi.org/10.3386/w27072</w:t>
        </w:r>
      </w:hyperlink>
    </w:p>
    <w:bookmarkEnd w:id="90"/>
    <w:bookmarkStart w:id="92" w:name="ref-collinsTRIPODAIStatementUpdated2024"/>
    <w:p>
      <w:pPr>
        <w:pStyle w:val="Bibliography"/>
      </w:pPr>
      <w:r>
        <w:t xml:space="preserve">Collins, G. S., Moons, K. G. M., Dhiman, P., Riley, R. D., Beam, A. L., Van Calster, B., Ghassemi, M., Liu, X., Reitsma, J. B., Van Smeden, M., Boulesteix, A.-L., Camaradou, J. C., Celi, L. A., Denaxas, S., Denniston, A. K., Glocker, B., Golub, R. M., Harvey, H., Heinze, G., … Logullo, P. (2024).</w:t>
      </w:r>
      <w:r>
        <w:t xml:space="preserve"> </w:t>
      </w:r>
      <w:r>
        <w:t xml:space="preserve">TRIPOD</w:t>
      </w:r>
      <w:r>
        <w:t xml:space="preserve">+</w:t>
      </w:r>
      <w:r>
        <w:t xml:space="preserve">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w:t>
      </w:r>
      <w:r>
        <w:t xml:space="preserve"> </w:t>
      </w:r>
      <w:r>
        <w:rPr>
          <w:i/>
          <w:iCs/>
        </w:rPr>
        <w:t xml:space="preserve">385</w:t>
      </w:r>
      <w:r>
        <w:t xml:space="preserve">, e078378.</w:t>
      </w:r>
      <w:r>
        <w:t xml:space="preserve"> </w:t>
      </w:r>
      <w:hyperlink r:id="rId91">
        <w:r>
          <w:rPr>
            <w:rStyle w:val="Hyperlink"/>
          </w:rPr>
          <w:t xml:space="preserve">https://doi.org/10.1136/bmj-2023-078378</w:t>
        </w:r>
      </w:hyperlink>
    </w:p>
    <w:bookmarkEnd w:id="92"/>
    <w:bookmarkStart w:id="94" w:name="X91755668a4926744402e6a78fe2e324835cfda8"/>
    <w:p>
      <w:pPr>
        <w:pStyle w:val="Bibliography"/>
      </w:pPr>
      <w:r>
        <w:t xml:space="preserve">Doryab, A., Villalba, D. K., Chikersal, P., Dutcher, J. M., Tumminia, M., Liu, X., Cohen, S., Creswell, K., Mankoff, J., Creswell, J. D., &amp; Dey, A. K. (2019). Identifying</w:t>
      </w:r>
      <w:r>
        <w:t xml:space="preserve"> </w:t>
      </w:r>
      <w:r>
        <w:t xml:space="preserve">Behavioral Phenotypes</w:t>
      </w:r>
      <w:r>
        <w:t xml:space="preserve"> </w:t>
      </w:r>
      <w:r>
        <w:t xml:space="preserve">of</w:t>
      </w:r>
      <w:r>
        <w:t xml:space="preserve"> </w:t>
      </w:r>
      <w:r>
        <w:t xml:space="preserve">Loneliness</w:t>
      </w:r>
      <w:r>
        <w:t xml:space="preserve"> </w:t>
      </w:r>
      <w:r>
        <w:t xml:space="preserve">and</w:t>
      </w:r>
      <w:r>
        <w:t xml:space="preserve"> </w:t>
      </w:r>
      <w:r>
        <w:t xml:space="preserve">Social Isolation</w:t>
      </w:r>
      <w:r>
        <w:t xml:space="preserve"> </w:t>
      </w:r>
      <w:r>
        <w:t xml:space="preserve">with</w:t>
      </w:r>
      <w:r>
        <w:t xml:space="preserve"> </w:t>
      </w:r>
      <w:r>
        <w:t xml:space="preserve">Passive Sensing</w:t>
      </w:r>
      <w:r>
        <w:t xml:space="preserve">:</w:t>
      </w:r>
      <w:r>
        <w:t xml:space="preserve"> </w:t>
      </w:r>
      <w:r>
        <w:t xml:space="preserve">Statistical Analysis</w:t>
      </w:r>
      <w:r>
        <w:t xml:space="preserve">,</w:t>
      </w:r>
      <w:r>
        <w:t xml:space="preserve"> </w:t>
      </w:r>
      <w:r>
        <w:t xml:space="preserve">Data Mining</w:t>
      </w:r>
      <w:r>
        <w:t xml:space="preserve"> </w:t>
      </w:r>
      <w:r>
        <w:t xml:space="preserve">and</w:t>
      </w:r>
      <w:r>
        <w:t xml:space="preserve"> </w:t>
      </w:r>
      <w:r>
        <w:t xml:space="preserve">Machine Learning</w:t>
      </w:r>
      <w:r>
        <w:t xml:space="preserve"> </w:t>
      </w:r>
      <w:r>
        <w:t xml:space="preserve">of</w:t>
      </w:r>
      <w:r>
        <w:t xml:space="preserve"> </w:t>
      </w:r>
      <w:r>
        <w:t xml:space="preserve">Smartphone</w:t>
      </w:r>
      <w:r>
        <w:t xml:space="preserve"> </w:t>
      </w:r>
      <w:r>
        <w:t xml:space="preserve">and</w:t>
      </w:r>
      <w:r>
        <w:t xml:space="preserve"> </w:t>
      </w:r>
      <w:r>
        <w:t xml:space="preserve">Fitbit Data</w:t>
      </w:r>
      <w:r>
        <w:t xml:space="preserve">.</w:t>
      </w:r>
      <w:r>
        <w:t xml:space="preserve"> </w:t>
      </w:r>
      <w:r>
        <w:rPr>
          <w:i/>
          <w:iCs/>
        </w:rPr>
        <w:t xml:space="preserve">JMIR mHealth and uHealth</w:t>
      </w:r>
      <w:r>
        <w:t xml:space="preserve">,</w:t>
      </w:r>
      <w:r>
        <w:t xml:space="preserve"> </w:t>
      </w:r>
      <w:r>
        <w:rPr>
          <w:i/>
          <w:iCs/>
        </w:rPr>
        <w:t xml:space="preserve">7</w:t>
      </w:r>
      <w:r>
        <w:t xml:space="preserve">(7), e13209.</w:t>
      </w:r>
      <w:r>
        <w:t xml:space="preserve"> </w:t>
      </w:r>
      <w:hyperlink r:id="rId93">
        <w:r>
          <w:rPr>
            <w:rStyle w:val="Hyperlink"/>
          </w:rPr>
          <w:t xml:space="preserve">https://doi.org/10.2196/13209</w:t>
        </w:r>
      </w:hyperlink>
    </w:p>
    <w:bookmarkEnd w:id="94"/>
    <w:bookmarkStart w:id="96" w:name="X6981a2da225cbaced8217db82b858a3e4554ec2"/>
    <w:p>
      <w:pPr>
        <w:pStyle w:val="Bibliography"/>
      </w:pPr>
      <w:r>
        <w:t xml:space="preserve">Epstein, D. H., Tyburski, M., Craig, I. M., Phillips, K. A., Jobes, M. L., Vahabzadeh, M., Mezghanni, M., Lin, J.-L., Furr-Holden, C. D. M., &amp; Preston, K. L. (2014). Real-time tracking of neighborhood surroundings and mood in urban drug misusers: Application of a new method to study behavior in its geographical context.</w:t>
      </w:r>
      <w:r>
        <w:t xml:space="preserve"> </w:t>
      </w:r>
      <w:r>
        <w:rPr>
          <w:i/>
          <w:iCs/>
        </w:rPr>
        <w:t xml:space="preserve">Drug and Alcohol Dependence</w:t>
      </w:r>
      <w:r>
        <w:t xml:space="preserve">,</w:t>
      </w:r>
      <w:r>
        <w:t xml:space="preserve"> </w:t>
      </w:r>
      <w:r>
        <w:rPr>
          <w:i/>
          <w:iCs/>
        </w:rPr>
        <w:t xml:space="preserve">134</w:t>
      </w:r>
      <w:r>
        <w:t xml:space="preserve">, 22–29.</w:t>
      </w:r>
      <w:r>
        <w:t xml:space="preserve"> </w:t>
      </w:r>
      <w:hyperlink r:id="rId95">
        <w:r>
          <w:rPr>
            <w:rStyle w:val="Hyperlink"/>
          </w:rPr>
          <w:t xml:space="preserve">https://doi.org/10.1016/j.drugalcdep.2013.09.007</w:t>
        </w:r>
      </w:hyperlink>
    </w:p>
    <w:bookmarkEnd w:id="96"/>
    <w:bookmarkStart w:id="98" w:name="ref-gajosUsingRiskTerrain2024"/>
    <w:p>
      <w:pPr>
        <w:pStyle w:val="Bibliography"/>
      </w:pPr>
      <w:r>
        <w:t xml:space="preserve">Gajos, J. M., Gimenez-Santana, A., Walker, J. T., Cropsey, K. L., Walters, S. T., &amp; Businelle, M. S. (2024). Using risk terrain modeling and geographically-explicit ecological momentary assessments to examine alcohol use in adults experiencing homelessness.</w:t>
      </w:r>
      <w:r>
        <w:t xml:space="preserve"> </w:t>
      </w:r>
      <w:r>
        <w:rPr>
          <w:i/>
          <w:iCs/>
        </w:rPr>
        <w:t xml:space="preserve">Journal of Crime and Justice</w:t>
      </w:r>
      <w:r>
        <w:t xml:space="preserve">,</w:t>
      </w:r>
      <w:r>
        <w:t xml:space="preserve"> </w:t>
      </w:r>
      <w:r>
        <w:rPr>
          <w:i/>
          <w:iCs/>
        </w:rPr>
        <w:t xml:space="preserve">0</w:t>
      </w:r>
      <w:r>
        <w:t xml:space="preserve">(0), 1–14.</w:t>
      </w:r>
      <w:r>
        <w:t xml:space="preserve"> </w:t>
      </w:r>
      <w:hyperlink r:id="rId97">
        <w:r>
          <w:rPr>
            <w:rStyle w:val="Hyperlink"/>
          </w:rPr>
          <w:t xml:space="preserve">https://doi.org/10.1080/0735648X.2024.2396406</w:t>
        </w:r>
      </w:hyperlink>
    </w:p>
    <w:bookmarkEnd w:id="98"/>
    <w:bookmarkStart w:id="100" w:name="X3a76aa7c98b7a2f68138fb5f189f8ba01113d80"/>
    <w:p>
      <w:pPr>
        <w:pStyle w:val="Bibliography"/>
      </w:pPr>
      <w:r>
        <w:t xml:space="preserve">Gustafson, D. H., McTavish, F. M., Chih, M.-Y., Atwood, A. K., Johnson, R. A., Boyle, M. G., Levy, M. S., Driscoll, H., Chisholm, S. M., Dillenburg, L., Isham, A., &amp; Shah, D. (2014). A</w:t>
      </w:r>
      <w:r>
        <w:t xml:space="preserve"> </w:t>
      </w:r>
      <w:r>
        <w:t xml:space="preserve">Smartphone Application</w:t>
      </w:r>
      <w:r>
        <w:t xml:space="preserve"> </w:t>
      </w:r>
      <w:r>
        <w:t xml:space="preserve">to</w:t>
      </w:r>
      <w:r>
        <w:t xml:space="preserve"> </w:t>
      </w:r>
      <w:r>
        <w:t xml:space="preserve">Support Recovery From Alcoholism</w:t>
      </w:r>
      <w:r>
        <w:t xml:space="preserve">:</w:t>
      </w:r>
      <w:r>
        <w:t xml:space="preserve"> </w:t>
      </w:r>
      <w:r>
        <w:t xml:space="preserve">A Randomized Clinical Trial</w:t>
      </w:r>
      <w:r>
        <w:t xml:space="preserve">.</w:t>
      </w:r>
      <w:r>
        <w:t xml:space="preserve"> </w:t>
      </w:r>
      <w:r>
        <w:rPr>
          <w:i/>
          <w:iCs/>
        </w:rPr>
        <w:t xml:space="preserve">JAMA Psychiatry</w:t>
      </w:r>
      <w:r>
        <w:t xml:space="preserve">,</w:t>
      </w:r>
      <w:r>
        <w:t xml:space="preserve"> </w:t>
      </w:r>
      <w:r>
        <w:rPr>
          <w:i/>
          <w:iCs/>
        </w:rPr>
        <w:t xml:space="preserve">71</w:t>
      </w:r>
      <w:r>
        <w:t xml:space="preserve">(5), 566.</w:t>
      </w:r>
      <w:r>
        <w:t xml:space="preserve"> </w:t>
      </w:r>
      <w:hyperlink r:id="rId99">
        <w:r>
          <w:rPr>
            <w:rStyle w:val="Hyperlink"/>
          </w:rPr>
          <w:t xml:space="preserve">https://doi.org/10.1001/jamapsychiatry.2013.4642</w:t>
        </w:r>
      </w:hyperlink>
    </w:p>
    <w:bookmarkEnd w:id="100"/>
    <w:bookmarkStart w:id="102" w:name="X74dc461e5cc3d736e0daa09be7ce1c3f59ed330"/>
    <w:p>
      <w:pPr>
        <w:pStyle w:val="Bibliography"/>
      </w:pPr>
      <w:r>
        <w:t xml:space="preserve">Heller, A. S., Shi, T. C., Ezie, C. E. C., Reneau, T. R., Baez, L. M., Gibbons, C. J., &amp; Hartley, C. A. (2020). Association between real-world experiential diversity and positive affect relates to hippocampal-striatal functional connectivity.</w:t>
      </w:r>
      <w:r>
        <w:t xml:space="preserve"> </w:t>
      </w:r>
      <w:r>
        <w:rPr>
          <w:i/>
          <w:iCs/>
        </w:rPr>
        <w:t xml:space="preserve">Nature Neuroscience</w:t>
      </w:r>
      <w:r>
        <w:t xml:space="preserve">,</w:t>
      </w:r>
      <w:r>
        <w:t xml:space="preserve"> </w:t>
      </w:r>
      <w:r>
        <w:rPr>
          <w:i/>
          <w:iCs/>
        </w:rPr>
        <w:t xml:space="preserve">23</w:t>
      </w:r>
      <w:r>
        <w:t xml:space="preserve">(7), 800–804.</w:t>
      </w:r>
      <w:r>
        <w:t xml:space="preserve"> </w:t>
      </w:r>
      <w:hyperlink r:id="rId101">
        <w:r>
          <w:rPr>
            <w:rStyle w:val="Hyperlink"/>
          </w:rPr>
          <w:t xml:space="preserve">https://doi.org/10.1038/s41593-020-0636-4</w:t>
        </w:r>
      </w:hyperlink>
    </w:p>
    <w:bookmarkEnd w:id="102"/>
    <w:bookmarkStart w:id="104" w:name="ref-janakPotentEffectEnvironmental2010"/>
    <w:p>
      <w:pPr>
        <w:pStyle w:val="Bibliography"/>
      </w:pPr>
      <w:r>
        <w:t xml:space="preserve">Janak, P. H., &amp; Chaudhri, N. (2010). The</w:t>
      </w:r>
      <w:r>
        <w:t xml:space="preserve"> </w:t>
      </w:r>
      <w:r>
        <w:t xml:space="preserve">Potent Effect</w:t>
      </w:r>
      <w:r>
        <w:t xml:space="preserve"> </w:t>
      </w:r>
      <w:r>
        <w:t xml:space="preserve">of</w:t>
      </w:r>
      <w:r>
        <w:t xml:space="preserve"> </w:t>
      </w:r>
      <w:r>
        <w:t xml:space="preserve">Environmental Context</w:t>
      </w:r>
      <w:r>
        <w:t xml:space="preserve"> </w:t>
      </w:r>
      <w:r>
        <w:t xml:space="preserve">on</w:t>
      </w:r>
      <w:r>
        <w:t xml:space="preserve"> </w:t>
      </w:r>
      <w:r>
        <w:t xml:space="preserve">Relapse</w:t>
      </w:r>
      <w:r>
        <w:t xml:space="preserve"> </w:t>
      </w:r>
      <w:r>
        <w:t xml:space="preserve">to</w:t>
      </w:r>
      <w:r>
        <w:t xml:space="preserve"> </w:t>
      </w:r>
      <w:r>
        <w:t xml:space="preserve">Alcohol-Seeking After Extinction</w:t>
      </w:r>
      <w:r>
        <w:t xml:space="preserve">.</w:t>
      </w:r>
      <w:r>
        <w:t xml:space="preserve"> </w:t>
      </w:r>
      <w:r>
        <w:rPr>
          <w:i/>
          <w:iCs/>
        </w:rPr>
        <w:t xml:space="preserve">The Open Addiction Journal</w:t>
      </w:r>
      <w:r>
        <w:t xml:space="preserve">,</w:t>
      </w:r>
      <w:r>
        <w:t xml:space="preserve"> </w:t>
      </w:r>
      <w:r>
        <w:rPr>
          <w:i/>
          <w:iCs/>
        </w:rPr>
        <w:t xml:space="preserve">3</w:t>
      </w:r>
      <w:r>
        <w:t xml:space="preserve">, 76–87.</w:t>
      </w:r>
      <w:r>
        <w:t xml:space="preserve"> </w:t>
      </w:r>
      <w:hyperlink r:id="rId103">
        <w:r>
          <w:rPr>
            <w:rStyle w:val="Hyperlink"/>
          </w:rPr>
          <w:t xml:space="preserve">https://doi.org/10.2174/1874941001003010076</w:t>
        </w:r>
      </w:hyperlink>
    </w:p>
    <w:bookmarkEnd w:id="104"/>
    <w:bookmarkStart w:id="106" w:name="ref-jonathanUseCrossvalidationAssess2000"/>
    <w:p>
      <w:pPr>
        <w:pStyle w:val="Bibliography"/>
      </w:pPr>
      <w:r>
        <w:t xml:space="preserve">Jonathan, P., Krzanowski, W. J., &amp; McCarthy, W. V. (2000). On the use of cross-validation to assess performance in multivariate prediction.</w:t>
      </w:r>
      <w:r>
        <w:t xml:space="preserve"> </w:t>
      </w:r>
      <w:r>
        <w:rPr>
          <w:i/>
          <w:iCs/>
        </w:rPr>
        <w:t xml:space="preserve">Statistics and Computing</w:t>
      </w:r>
      <w:r>
        <w:t xml:space="preserve">,</w:t>
      </w:r>
      <w:r>
        <w:t xml:space="preserve"> </w:t>
      </w:r>
      <w:r>
        <w:rPr>
          <w:i/>
          <w:iCs/>
        </w:rPr>
        <w:t xml:space="preserve">10</w:t>
      </w:r>
      <w:r>
        <w:t xml:space="preserve">(3), 209–229.</w:t>
      </w:r>
      <w:r>
        <w:t xml:space="preserve"> </w:t>
      </w:r>
      <w:hyperlink r:id="rId105">
        <w:r>
          <w:rPr>
            <w:rStyle w:val="Hyperlink"/>
          </w:rPr>
          <w:t xml:space="preserve">https://doi.org/10.1023/A:1008987426876</w:t>
        </w:r>
      </w:hyperlink>
    </w:p>
    <w:bookmarkEnd w:id="106"/>
    <w:bookmarkStart w:id="108" w:name="ref-kuhnAppliedPredictiveModeling2018"/>
    <w:p>
      <w:pPr>
        <w:pStyle w:val="Bibliography"/>
      </w:pPr>
      <w:r>
        <w:t xml:space="preserve">Kuhn, M., &amp; Johnson, K. (2018).</w:t>
      </w:r>
      <w:r>
        <w:t xml:space="preserve"> </w:t>
      </w:r>
      <w:r>
        <w:rPr>
          <w:i/>
          <w:iCs/>
        </w:rPr>
        <w:t xml:space="preserve">Applied</w:t>
      </w:r>
      <w:r>
        <w:rPr>
          <w:i/>
          <w:iCs/>
        </w:rPr>
        <w:t xml:space="preserve"> </w:t>
      </w:r>
      <w:r>
        <w:rPr>
          <w:i/>
          <w:iCs/>
        </w:rPr>
        <w:t xml:space="preserve">Predictive Modeling</w:t>
      </w:r>
      <w:r>
        <w:t xml:space="preserve"> </w:t>
      </w:r>
      <w:r>
        <w:t xml:space="preserve">(1st ed. 2013, Corr. 2nd printing 2018 edition). Springer.</w:t>
      </w:r>
      <w:r>
        <w:t xml:space="preserve"> </w:t>
      </w:r>
      <w:hyperlink r:id="rId107">
        <w:r>
          <w:rPr>
            <w:rStyle w:val="Hyperlink"/>
          </w:rPr>
          <w:t xml:space="preserve">https://doi.org/10.1007/978-1-4614-6849-3</w:t>
        </w:r>
      </w:hyperlink>
    </w:p>
    <w:bookmarkEnd w:id="108"/>
    <w:bookmarkStart w:id="109"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109"/>
    <w:bookmarkStart w:id="111" w:name="X9b3cf60db54acbcb63bfa6408351ddb58fa907f"/>
    <w:p>
      <w:pPr>
        <w:pStyle w:val="Bibliography"/>
      </w:pPr>
      <w:r>
        <w:t xml:space="preserve">Kwan, M.-P., Wang, J., Tyburski, M., Epstein, D. H., Kowalczyk, W. J., &amp; Preston, K. L. (2019). Uncertainties in the geographic context of health behaviors: A study of substance users’ exposure to psychosocial stress using</w:t>
      </w:r>
      <w:r>
        <w:t xml:space="preserve"> </w:t>
      </w:r>
      <w:r>
        <w:t xml:space="preserve">GPS</w:t>
      </w:r>
      <w:r>
        <w:t xml:space="preserve"> </w:t>
      </w:r>
      <w:r>
        <w:t xml:space="preserve">data.</w:t>
      </w:r>
      <w:r>
        <w:t xml:space="preserve"> </w:t>
      </w:r>
      <w:r>
        <w:rPr>
          <w:i/>
          <w:iCs/>
        </w:rPr>
        <w:t xml:space="preserve">International Journal of Geographical Information Science</w:t>
      </w:r>
      <w:r>
        <w:t xml:space="preserve">,</w:t>
      </w:r>
      <w:r>
        <w:t xml:space="preserve"> </w:t>
      </w:r>
      <w:r>
        <w:rPr>
          <w:i/>
          <w:iCs/>
        </w:rPr>
        <w:t xml:space="preserve">33</w:t>
      </w:r>
      <w:r>
        <w:t xml:space="preserve">(6), 1176–1195.</w:t>
      </w:r>
      <w:r>
        <w:t xml:space="preserve"> </w:t>
      </w:r>
      <w:hyperlink r:id="rId110">
        <w:r>
          <w:rPr>
            <w:rStyle w:val="Hyperlink"/>
          </w:rPr>
          <w:t xml:space="preserve">https://doi.org/10.1080/13658816.2018.1503276</w:t>
        </w:r>
      </w:hyperlink>
    </w:p>
    <w:bookmarkEnd w:id="111"/>
    <w:bookmarkStart w:id="113" w:name="X37a1ac456fec1ab26cb86bd87934b700ddc3ec3"/>
    <w:p>
      <w:pPr>
        <w:pStyle w:val="Bibliography"/>
      </w:pPr>
      <w:r>
        <w:t xml:space="preserve">Larimer, M. E., Palmer, R. S., &amp; Marlatt, G. A. (1999).</w:t>
      </w:r>
      <w:r>
        <w:t xml:space="preserve"> </w:t>
      </w:r>
      <w:hyperlink r:id="rId112">
        <w:r>
          <w:rPr>
            <w:rStyle w:val="Hyperlink"/>
          </w:rPr>
          <w:t xml:space="preserve">Relapse</w:t>
        </w:r>
        <w:r>
          <w:rPr>
            <w:rStyle w:val="Hyperlink"/>
          </w:rPr>
          <w:t xml:space="preserve"> </w:t>
        </w:r>
        <w:r>
          <w:rPr>
            <w:rStyle w:val="Hyperlink"/>
          </w:rPr>
          <w:t xml:space="preserve">Prevention</w:t>
        </w:r>
        <w:r>
          <w:rPr>
            <w:rStyle w:val="Hyperlink"/>
          </w:rPr>
          <w:t xml:space="preserve">:</w:t>
        </w:r>
        <w:r>
          <w:rPr>
            <w:rStyle w:val="Hyperlink"/>
          </w:rPr>
          <w:t xml:space="preserve"> </w:t>
        </w:r>
        <w:r>
          <w:rPr>
            <w:rStyle w:val="Hyperlink"/>
          </w:rPr>
          <w:t xml:space="preserve">An Overview</w:t>
        </w:r>
        <w:r>
          <w:rPr>
            <w:rStyle w:val="Hyperlink"/>
          </w:rPr>
          <w:t xml:space="preserve"> </w:t>
        </w:r>
        <w:r>
          <w:rPr>
            <w:rStyle w:val="Hyperlink"/>
          </w:rPr>
          <w:t xml:space="preserve">of</w:t>
        </w:r>
        <w:r>
          <w:rPr>
            <w:rStyle w:val="Hyperlink"/>
          </w:rPr>
          <w:t xml:space="preserve"> </w:t>
        </w:r>
        <w:r>
          <w:rPr>
            <w:rStyle w:val="Hyperlink"/>
          </w:rPr>
          <w:t xml:space="preserve">Marlatt</w:t>
        </w:r>
        <w:r>
          <w:rPr>
            <w:rStyle w:val="Hyperlink"/>
          </w:rPr>
          <w:t xml:space="preserve">’s</w:t>
        </w:r>
        <w:r>
          <w:rPr>
            <w:rStyle w:val="Hyperlink"/>
          </w:rPr>
          <w:t xml:space="preserve"> </w:t>
        </w:r>
        <w:r>
          <w:rPr>
            <w:rStyle w:val="Hyperlink"/>
          </w:rPr>
          <w:t xml:space="preserve">Cognitive-Behavioral Model</w:t>
        </w:r>
      </w:hyperlink>
      <w:r>
        <w:t xml:space="preserve">.</w:t>
      </w:r>
      <w:r>
        <w:t xml:space="preserve"> </w:t>
      </w:r>
      <w:r>
        <w:rPr>
          <w:i/>
          <w:iCs/>
        </w:rPr>
        <w:t xml:space="preserve">Alcohol Research &amp; Health</w:t>
      </w:r>
      <w:r>
        <w:t xml:space="preserve">,</w:t>
      </w:r>
      <w:r>
        <w:t xml:space="preserve"> </w:t>
      </w:r>
      <w:r>
        <w:rPr>
          <w:i/>
          <w:iCs/>
        </w:rPr>
        <w:t xml:space="preserve">23</w:t>
      </w:r>
      <w:r>
        <w:t xml:space="preserve">(2), 151.</w:t>
      </w:r>
    </w:p>
    <w:bookmarkEnd w:id="113"/>
    <w:bookmarkStart w:id="115" w:name="X51a60694c5b951e5fbd8e96fb33c0b9b43e444d"/>
    <w:p>
      <w:pPr>
        <w:pStyle w:val="Bibliography"/>
      </w:pPr>
      <w:r>
        <w:t xml:space="preserve">LeCocq, M. R., Randall, P. A., Besheer, J., &amp; Chaudhri, N. (2020). Considering</w:t>
      </w:r>
      <w:r>
        <w:t xml:space="preserve"> </w:t>
      </w:r>
      <w:r>
        <w:t xml:space="preserve">Drug-Associated Contexts</w:t>
      </w:r>
      <w:r>
        <w:t xml:space="preserve"> </w:t>
      </w:r>
      <w:r>
        <w:t xml:space="preserve">in</w:t>
      </w:r>
      <w:r>
        <w:t xml:space="preserve"> </w:t>
      </w:r>
      <w:r>
        <w:t xml:space="preserve">Substance Use Disorders</w:t>
      </w:r>
      <w:r>
        <w:t xml:space="preserve"> </w:t>
      </w:r>
      <w:r>
        <w:t xml:space="preserve">and</w:t>
      </w:r>
      <w:r>
        <w:t xml:space="preserve"> </w:t>
      </w:r>
      <w:r>
        <w:t xml:space="preserve">Treatment Development</w:t>
      </w:r>
      <w:r>
        <w:t xml:space="preserve">.</w:t>
      </w:r>
      <w:r>
        <w:t xml:space="preserve"> </w:t>
      </w:r>
      <w:r>
        <w:rPr>
          <w:i/>
          <w:iCs/>
        </w:rPr>
        <w:t xml:space="preserve">Neurotherapeutics: The Journal of the American Society for Experimental NeuroTherapeutics</w:t>
      </w:r>
      <w:r>
        <w:t xml:space="preserve">,</w:t>
      </w:r>
      <w:r>
        <w:t xml:space="preserve"> </w:t>
      </w:r>
      <w:r>
        <w:rPr>
          <w:i/>
          <w:iCs/>
        </w:rPr>
        <w:t xml:space="preserve">17</w:t>
      </w:r>
      <w:r>
        <w:t xml:space="preserve">(1), 43–54.</w:t>
      </w:r>
      <w:r>
        <w:t xml:space="preserve"> </w:t>
      </w:r>
      <w:hyperlink r:id="rId114">
        <w:r>
          <w:rPr>
            <w:rStyle w:val="Hyperlink"/>
          </w:rPr>
          <w:t xml:space="preserve">https://doi.org/10.1007/s13311-019-00824-2</w:t>
        </w:r>
      </w:hyperlink>
    </w:p>
    <w:bookmarkEnd w:id="115"/>
    <w:bookmarkStart w:id="116" w:name="X34be55f2a2ff67a14e7206627bb93b426490c87"/>
    <w:p>
      <w:pPr>
        <w:pStyle w:val="Bibliography"/>
      </w:pPr>
      <w:r>
        <w:t xml:space="preserve">Lundberg, S. M., &amp; Lee, S.-I. (2017). A unified approach to interpreting model predictions.</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rPr>
          <w:i/>
          <w:iCs/>
        </w:rPr>
        <w:t xml:space="preserve">,</w:t>
      </w:r>
      <w:r>
        <w:rPr>
          <w:i/>
          <w:iCs/>
        </w:rPr>
        <w:t xml:space="preserve"> </w:t>
      </w:r>
      <w:r>
        <w:rPr>
          <w:i/>
          <w:iCs/>
        </w:rPr>
        <w:t xml:space="preserve">NIPS</w:t>
      </w:r>
      <w:r>
        <w:rPr>
          <w:i/>
          <w:iCs/>
        </w:rPr>
        <w:t xml:space="preserve">’17</w:t>
      </w:r>
      <w:r>
        <w:t xml:space="preserve">, 4768–4777.</w:t>
      </w:r>
    </w:p>
    <w:bookmarkEnd w:id="116"/>
    <w:bookmarkStart w:id="117" w:name="X0900e084d2d8751b94683f82b04534ea811d54e"/>
    <w:p>
      <w:pPr>
        <w:pStyle w:val="Bibliography"/>
      </w:pPr>
      <w:r>
        <w:t xml:space="preserve">Marlatt, G. A., &amp; Gordon, J. R. (Eds.). (1985).</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w:t>
      </w:r>
      <w:r>
        <w:t xml:space="preserve">(First edition). The Guilford Press.</w:t>
      </w:r>
    </w:p>
    <w:bookmarkEnd w:id="117"/>
    <w:bookmarkStart w:id="119" w:name="ref-mckayTreatingAlcoholismChronic2011a"/>
    <w:p>
      <w:pPr>
        <w:pStyle w:val="Bibliography"/>
      </w:pPr>
      <w:r>
        <w:t xml:space="preserve">McKay, J. R., &amp; Hiller-Sturmhofel, S. (2011).</w:t>
      </w:r>
      <w:r>
        <w:t xml:space="preserve"> </w:t>
      </w:r>
      <w:hyperlink r:id="rId118">
        <w:r>
          <w:rPr>
            <w:rStyle w:val="Hyperlink"/>
          </w:rPr>
          <w:t xml:space="preserve">Treating alcoholism as a chronic disease: Approaches to long-term continuing care</w:t>
        </w:r>
      </w:hyperlink>
      <w:r>
        <w:t xml:space="preserve">.</w:t>
      </w:r>
      <w:r>
        <w:t xml:space="preserve"> </w:t>
      </w:r>
      <w:r>
        <w:rPr>
          <w:i/>
          <w:iCs/>
        </w:rPr>
        <w:t xml:space="preserve">Alcohol Research &amp; Health: The Journal of the National Institute on Alcohol Abuse and Alcoholism</w:t>
      </w:r>
      <w:r>
        <w:t xml:space="preserve">,</w:t>
      </w:r>
      <w:r>
        <w:t xml:space="preserve"> </w:t>
      </w:r>
      <w:r>
        <w:rPr>
          <w:i/>
          <w:iCs/>
        </w:rPr>
        <w:t xml:space="preserve">33</w:t>
      </w:r>
      <w:r>
        <w:t xml:space="preserve">(4), 356–370.</w:t>
      </w:r>
    </w:p>
    <w:bookmarkEnd w:id="119"/>
    <w:bookmarkStart w:id="121" w:name="ref-mclellanCanNationalAddiction2003"/>
    <w:p>
      <w:pPr>
        <w:pStyle w:val="Bibliography"/>
      </w:pPr>
      <w:r>
        <w:t xml:space="preserve">McLellan, A. T., Carise, D., &amp; Kleber, H. D. (2003).</w:t>
      </w:r>
      <w:r>
        <w:t xml:space="preserve"> </w:t>
      </w:r>
      <w:hyperlink r:id="rId120">
        <w:r>
          <w:rPr>
            <w:rStyle w:val="Hyperlink"/>
          </w:rPr>
          <w:t xml:space="preserve">Can the national addiction treatment infrastructure support the public’s demand for quality care?</w:t>
        </w:r>
      </w:hyperlink>
      <w:r>
        <w:t xml:space="preserve"> </w:t>
      </w:r>
      <w:r>
        <w:rPr>
          <w:i/>
          <w:iCs/>
        </w:rPr>
        <w:t xml:space="preserve">Journal of Substance Abuse Treatment</w:t>
      </w:r>
      <w:r>
        <w:t xml:space="preserve">,</w:t>
      </w:r>
      <w:r>
        <w:t xml:space="preserve"> </w:t>
      </w:r>
      <w:r>
        <w:rPr>
          <w:i/>
          <w:iCs/>
        </w:rPr>
        <w:t xml:space="preserve">25</w:t>
      </w:r>
      <w:r>
        <w:t xml:space="preserve">(2), 117–121.</w:t>
      </w:r>
    </w:p>
    <w:bookmarkEnd w:id="121"/>
    <w:bookmarkStart w:id="123" w:name="ref-mennisPeoplePlacesAdolescent2011"/>
    <w:p>
      <w:pPr>
        <w:pStyle w:val="Bibliography"/>
      </w:pPr>
      <w:r>
        <w:t xml:space="preserve">Mennis, J., &amp; Mason, M. J. (2011). People,</w:t>
      </w:r>
      <w:r>
        <w:t xml:space="preserve"> </w:t>
      </w:r>
      <w:r>
        <w:t xml:space="preserve">Places</w:t>
      </w:r>
      <w:r>
        <w:t xml:space="preserve">, and</w:t>
      </w:r>
      <w:r>
        <w:t xml:space="preserve"> </w:t>
      </w:r>
      <w:r>
        <w:t xml:space="preserve">Adolescent Substance Use</w:t>
      </w:r>
      <w:r>
        <w:t xml:space="preserve">:</w:t>
      </w:r>
      <w:r>
        <w:t xml:space="preserve"> </w:t>
      </w:r>
      <w:r>
        <w:t xml:space="preserve">Integrating Activity Space</w:t>
      </w:r>
      <w:r>
        <w:t xml:space="preserve"> </w:t>
      </w:r>
      <w:r>
        <w:t xml:space="preserve">and</w:t>
      </w:r>
      <w:r>
        <w:t xml:space="preserve"> </w:t>
      </w:r>
      <w:r>
        <w:t xml:space="preserve">Social Network Data</w:t>
      </w:r>
      <w:r>
        <w:t xml:space="preserve"> </w:t>
      </w:r>
      <w:r>
        <w:t xml:space="preserve">for</w:t>
      </w:r>
      <w:r>
        <w:t xml:space="preserve"> </w:t>
      </w:r>
      <w:r>
        <w:t xml:space="preserve">Analyzing Health Behavior</w:t>
      </w:r>
      <w:r>
        <w:t xml:space="preserve">.</w:t>
      </w:r>
      <w:r>
        <w:t xml:space="preserve"> </w:t>
      </w:r>
      <w:r>
        <w:rPr>
          <w:i/>
          <w:iCs/>
        </w:rPr>
        <w:t xml:space="preserve">Annals of the Association of American Geographers</w:t>
      </w:r>
      <w:r>
        <w:t xml:space="preserve">,</w:t>
      </w:r>
      <w:r>
        <w:t xml:space="preserve"> </w:t>
      </w:r>
      <w:r>
        <w:rPr>
          <w:i/>
          <w:iCs/>
        </w:rPr>
        <w:t xml:space="preserve">101</w:t>
      </w:r>
      <w:r>
        <w:t xml:space="preserve">(2), 272–291.</w:t>
      </w:r>
      <w:r>
        <w:t xml:space="preserve"> </w:t>
      </w:r>
      <w:hyperlink r:id="rId122">
        <w:r>
          <w:rPr>
            <w:rStyle w:val="Hyperlink"/>
          </w:rPr>
          <w:t xml:space="preserve">https://doi.org/10.1080/00045608.2010.534712</w:t>
        </w:r>
      </w:hyperlink>
    </w:p>
    <w:bookmarkEnd w:id="123"/>
    <w:bookmarkStart w:id="125" w:name="ref-moosRatesPredictorsRelapse2006"/>
    <w:p>
      <w:pPr>
        <w:pStyle w:val="Bibliography"/>
      </w:pPr>
      <w:r>
        <w:t xml:space="preserve">Moos, R. H., &amp; Moos, B. S. (2006). Rates and predictors of relapse after natural and treated remission from alcohol use disorders.</w:t>
      </w:r>
      <w:r>
        <w:t xml:space="preserve"> </w:t>
      </w:r>
      <w:r>
        <w:rPr>
          <w:i/>
          <w:iCs/>
        </w:rPr>
        <w:t xml:space="preserve">Addiction (Abingdon, England)</w:t>
      </w:r>
      <w:r>
        <w:t xml:space="preserve">,</w:t>
      </w:r>
      <w:r>
        <w:t xml:space="preserve"> </w:t>
      </w:r>
      <w:r>
        <w:rPr>
          <w:i/>
          <w:iCs/>
        </w:rPr>
        <w:t xml:space="preserve">101</w:t>
      </w:r>
      <w:r>
        <w:t xml:space="preserve">(2), 212–222.</w:t>
      </w:r>
      <w:r>
        <w:t xml:space="preserve"> </w:t>
      </w:r>
      <w:hyperlink r:id="rId124">
        <w:r>
          <w:rPr>
            <w:rStyle w:val="Hyperlink"/>
          </w:rPr>
          <w:t xml:space="preserve">https://doi.org/10.1111/j.1360-0443.2006.01310.x</w:t>
        </w:r>
      </w:hyperlink>
    </w:p>
    <w:bookmarkEnd w:id="125"/>
    <w:bookmarkStart w:id="127" w:name="ref-morrisonRaceEthnicityExposure2016"/>
    <w:p>
      <w:pPr>
        <w:pStyle w:val="Bibliography"/>
      </w:pPr>
      <w:r>
        <w:t xml:space="preserve">Morrison, C., Gruenewald, P. J., &amp; Ponicki, W. R. (2016). Race,</w:t>
      </w:r>
      <w:r>
        <w:t xml:space="preserve"> </w:t>
      </w:r>
      <w:r>
        <w:t xml:space="preserve">Ethnicity</w:t>
      </w:r>
      <w:r>
        <w:t xml:space="preserve">, and</w:t>
      </w:r>
      <w:r>
        <w:t xml:space="preserve"> </w:t>
      </w:r>
      <w:r>
        <w:t xml:space="preserve">Exposure</w:t>
      </w:r>
      <w:r>
        <w:t xml:space="preserve"> </w:t>
      </w:r>
      <w:r>
        <w:t xml:space="preserve">to</w:t>
      </w:r>
      <w:r>
        <w:t xml:space="preserve"> </w:t>
      </w:r>
      <w:r>
        <w:t xml:space="preserve">Alcohol Outlets</w:t>
      </w:r>
      <w:r>
        <w:t xml:space="preserve">.</w:t>
      </w:r>
      <w:r>
        <w:t xml:space="preserve"> </w:t>
      </w:r>
      <w:r>
        <w:rPr>
          <w:i/>
          <w:iCs/>
        </w:rPr>
        <w:t xml:space="preserve">Journal of Studies on Alcohol and Drugs</w:t>
      </w:r>
      <w:r>
        <w:t xml:space="preserve">,</w:t>
      </w:r>
      <w:r>
        <w:t xml:space="preserve"> </w:t>
      </w:r>
      <w:r>
        <w:rPr>
          <w:i/>
          <w:iCs/>
        </w:rPr>
        <w:t xml:space="preserve">77</w:t>
      </w:r>
      <w:r>
        <w:t xml:space="preserve">(1), 68–76.</w:t>
      </w:r>
      <w:r>
        <w:t xml:space="preserve"> </w:t>
      </w:r>
      <w:hyperlink r:id="rId126">
        <w:r>
          <w:rPr>
            <w:rStyle w:val="Hyperlink"/>
          </w:rPr>
          <w:t xml:space="preserve">https://doi.org/10.15288/jsad.2016.77.68</w:t>
        </w:r>
      </w:hyperlink>
    </w:p>
    <w:bookmarkEnd w:id="127"/>
    <w:bookmarkStart w:id="129" w:name="X9a90626b3552515dd3389093efb07475cdf8a07"/>
    <w:p>
      <w:pPr>
        <w:pStyle w:val="Bibliography"/>
      </w:pPr>
      <w:r>
        <w:t xml:space="preserve">Naughton, F., Hopewell, S., Lathia, N., Schalbroeck, R., Brown, C., Mascolo, C., McEwen, A., &amp; Sutton, S. (2016). A</w:t>
      </w:r>
      <w:r>
        <w:t xml:space="preserve"> </w:t>
      </w:r>
      <w:r>
        <w:t xml:space="preserve">Context-Sensing Mobile Phone App</w:t>
      </w:r>
      <w:r>
        <w:t xml:space="preserve"> </w:t>
      </w:r>
      <w:r>
        <w:t xml:space="preserve">(</w:t>
      </w:r>
      <w:r>
        <w:t xml:space="preserve">Q Sense</w:t>
      </w:r>
      <w:r>
        <w:t xml:space="preserve">) for</w:t>
      </w:r>
      <w:r>
        <w:t xml:space="preserve"> </w:t>
      </w:r>
      <w:r>
        <w:t xml:space="preserve">Smoking Cessation</w:t>
      </w:r>
      <w:r>
        <w:t xml:space="preserve">:</w:t>
      </w:r>
      <w:r>
        <w:t xml:space="preserve"> </w:t>
      </w:r>
      <w:r>
        <w:t xml:space="preserve">A Mixed-Methods Study</w:t>
      </w:r>
      <w:r>
        <w:t xml:space="preserve">.</w:t>
      </w:r>
      <w:r>
        <w:t xml:space="preserve"> </w:t>
      </w:r>
      <w:r>
        <w:rPr>
          <w:i/>
          <w:iCs/>
        </w:rPr>
        <w:t xml:space="preserve">JMIR mHealth and uHealth</w:t>
      </w:r>
      <w:r>
        <w:t xml:space="preserve">,</w:t>
      </w:r>
      <w:r>
        <w:t xml:space="preserve"> </w:t>
      </w:r>
      <w:r>
        <w:rPr>
          <w:i/>
          <w:iCs/>
        </w:rPr>
        <w:t xml:space="preserve">4</w:t>
      </w:r>
      <w:r>
        <w:t xml:space="preserve">(3), e106.</w:t>
      </w:r>
      <w:r>
        <w:t xml:space="preserve"> </w:t>
      </w:r>
      <w:hyperlink r:id="rId128">
        <w:r>
          <w:rPr>
            <w:rStyle w:val="Hyperlink"/>
          </w:rPr>
          <w:t xml:space="preserve">https://doi.org/10.2196/mhealth.5787</w:t>
        </w:r>
      </w:hyperlink>
    </w:p>
    <w:bookmarkEnd w:id="129"/>
    <w:bookmarkStart w:id="130" w:name="ref-punturieriWeatherfetchr2025"/>
    <w:p>
      <w:pPr>
        <w:pStyle w:val="Bibliography"/>
      </w:pPr>
      <w:r>
        <w:t xml:space="preserve">Punturieri, C. E. (2025).</w:t>
      </w:r>
      <w:r>
        <w:t xml:space="preserve"> </w:t>
      </w:r>
      <w:r>
        <w:rPr>
          <w:i/>
          <w:iCs/>
        </w:rPr>
        <w:t xml:space="preserve">C-punturieri/weather-fetchr</w:t>
      </w:r>
      <w:r>
        <w:t xml:space="preserve">.</w:t>
      </w:r>
    </w:p>
    <w:bookmarkEnd w:id="130"/>
    <w:bookmarkStart w:id="132" w:name="X06e555eeeb27608b9aaf6acbd435f4df0fd63f9"/>
    <w:p>
      <w:pPr>
        <w:pStyle w:val="Bibliography"/>
      </w:pPr>
      <w:r>
        <w:t xml:space="preserve">Raugh, I. M., James, S. H., Gonzalez, C. M., Chapman, H. C., Cohen, A. S., Kirkpatrick, B., &amp; Strauss, G. P. (2020). Geolocation as a</w:t>
      </w:r>
      <w:r>
        <w:t xml:space="preserve"> </w:t>
      </w:r>
      <w:r>
        <w:t xml:space="preserve">Digital Phenotyping Measure</w:t>
      </w:r>
      <w:r>
        <w:t xml:space="preserve"> </w:t>
      </w:r>
      <w:r>
        <w:t xml:space="preserve">of</w:t>
      </w:r>
      <w:r>
        <w:t xml:space="preserve"> </w:t>
      </w:r>
      <w:r>
        <w:t xml:space="preserve">Negative Symptoms</w:t>
      </w:r>
      <w:r>
        <w:t xml:space="preserve"> </w:t>
      </w:r>
      <w:r>
        <w:t xml:space="preserve">and</w:t>
      </w:r>
      <w:r>
        <w:t xml:space="preserve"> </w:t>
      </w:r>
      <w:r>
        <w:t xml:space="preserve">Functional Outcome</w:t>
      </w:r>
      <w:r>
        <w:t xml:space="preserve">.</w:t>
      </w:r>
      <w:r>
        <w:t xml:space="preserve"> </w:t>
      </w:r>
      <w:r>
        <w:rPr>
          <w:i/>
          <w:iCs/>
        </w:rPr>
        <w:t xml:space="preserve">Schizophrenia Bulletin</w:t>
      </w:r>
      <w:r>
        <w:t xml:space="preserve">,</w:t>
      </w:r>
      <w:r>
        <w:t xml:space="preserve"> </w:t>
      </w:r>
      <w:r>
        <w:rPr>
          <w:i/>
          <w:iCs/>
        </w:rPr>
        <w:t xml:space="preserve">46</w:t>
      </w:r>
      <w:r>
        <w:t xml:space="preserve">(6), 1596–1607.</w:t>
      </w:r>
      <w:r>
        <w:t xml:space="preserve"> </w:t>
      </w:r>
      <w:hyperlink r:id="rId131">
        <w:r>
          <w:rPr>
            <w:rStyle w:val="Hyperlink"/>
          </w:rPr>
          <w:t xml:space="preserve">https://doi.org/10.1093/schbul/sbaa121</w:t>
        </w:r>
      </w:hyperlink>
    </w:p>
    <w:bookmarkEnd w:id="132"/>
    <w:bookmarkStart w:id="134" w:name="X399194769b13c1a72798823eabcbf05e42506e9"/>
    <w:p>
      <w:pPr>
        <w:pStyle w:val="Bibliography"/>
      </w:pPr>
      <w:r>
        <w:t xml:space="preserve">Saeb, S., Zhang, M., Kwasny, M., Karr, C. J., Kording, K., &amp; Mohr, D. C. (2015). The relationship between clinical, momentary, and sensor-based assessment of depression.</w:t>
      </w:r>
      <w:r>
        <w:t xml:space="preserve"> </w:t>
      </w:r>
      <w:r>
        <w:rPr>
          <w:i/>
          <w:iCs/>
        </w:rPr>
        <w:t xml:space="preserve">2015 9th</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Pervasive Computing Technologies</w:t>
      </w:r>
      <w:r>
        <w:rPr>
          <w:i/>
          <w:iCs/>
        </w:rPr>
        <w:t xml:space="preserve"> </w:t>
      </w:r>
      <w:r>
        <w:rPr>
          <w:i/>
          <w:iCs/>
        </w:rPr>
        <w:t xml:space="preserve">for</w:t>
      </w:r>
      <w:r>
        <w:rPr>
          <w:i/>
          <w:iCs/>
        </w:rPr>
        <w:t xml:space="preserve"> </w:t>
      </w:r>
      <w:r>
        <w:rPr>
          <w:i/>
          <w:iCs/>
        </w:rPr>
        <w:t xml:space="preserve">Healthcare</w:t>
      </w:r>
      <w:r>
        <w:rPr>
          <w:i/>
          <w:iCs/>
        </w:rPr>
        <w:t xml:space="preserve"> </w:t>
      </w:r>
      <w:r>
        <w:rPr>
          <w:i/>
          <w:iCs/>
        </w:rPr>
        <w:t xml:space="preserve">(</w:t>
      </w:r>
      <w:r>
        <w:rPr>
          <w:i/>
          <w:iCs/>
        </w:rPr>
        <w:t xml:space="preserve">PervasiveHealth</w:t>
      </w:r>
      <w:r>
        <w:rPr>
          <w:i/>
          <w:iCs/>
        </w:rPr>
        <w:t xml:space="preserve">)</w:t>
      </w:r>
      <w:r>
        <w:t xml:space="preserve">, 229–232.</w:t>
      </w:r>
      <w:r>
        <w:t xml:space="preserve"> </w:t>
      </w:r>
      <w:hyperlink r:id="rId133">
        <w:r>
          <w:rPr>
            <w:rStyle w:val="Hyperlink"/>
          </w:rPr>
          <w:t xml:space="preserve">https://doi.org/10.4108/icst.pervasivehealth.2015.259034</w:t>
        </w:r>
      </w:hyperlink>
    </w:p>
    <w:bookmarkEnd w:id="134"/>
    <w:bookmarkStart w:id="135" w:name="X5ea14891caf8eff1581977c82eaa3f55fa39eac"/>
    <w:p>
      <w:pPr>
        <w:pStyle w:val="Bibliography"/>
      </w:pPr>
      <w:r>
        <w:t xml:space="preserve">SAMHSA Center for Behavioral Health Statistics and Quality. (2022).</w:t>
      </w:r>
      <w:r>
        <w:t xml:space="preserve"> </w:t>
      </w:r>
      <w:r>
        <w:rPr>
          <w:i/>
          <w:iCs/>
        </w:rPr>
        <w:t xml:space="preserve">Highlights for the 2022</w:t>
      </w:r>
      <w:r>
        <w:rPr>
          <w:i/>
          <w:iCs/>
        </w:rPr>
        <w:t xml:space="preserve"> </w:t>
      </w:r>
      <w:r>
        <w:rPr>
          <w:i/>
          <w:iCs/>
        </w:rPr>
        <w:t xml:space="preserve">National Survey</w:t>
      </w:r>
      <w:r>
        <w:rPr>
          <w:i/>
          <w:iCs/>
        </w:rPr>
        <w:t xml:space="preserve"> </w:t>
      </w:r>
      <w:r>
        <w:rPr>
          <w:i/>
          <w:iCs/>
        </w:rPr>
        <w:t xml:space="preserve">on</w:t>
      </w:r>
      <w:r>
        <w:rPr>
          <w:i/>
          <w:iCs/>
        </w:rPr>
        <w:t xml:space="preserve"> </w:t>
      </w:r>
      <w:r>
        <w:rPr>
          <w:i/>
          <w:iCs/>
        </w:rPr>
        <w:t xml:space="preserve">Drug Use</w:t>
      </w:r>
      <w:r>
        <w:rPr>
          <w:i/>
          <w:iCs/>
        </w:rPr>
        <w:t xml:space="preserve"> </w:t>
      </w:r>
      <w:r>
        <w:rPr>
          <w:i/>
          <w:iCs/>
        </w:rPr>
        <w:t xml:space="preserve">and</w:t>
      </w:r>
      <w:r>
        <w:rPr>
          <w:i/>
          <w:iCs/>
        </w:rPr>
        <w:t xml:space="preserve"> </w:t>
      </w:r>
      <w:r>
        <w:rPr>
          <w:i/>
          <w:iCs/>
        </w:rPr>
        <w:t xml:space="preserve">Health</w:t>
      </w:r>
      <w:r>
        <w:t xml:space="preserve">.</w:t>
      </w:r>
    </w:p>
    <w:bookmarkEnd w:id="135"/>
    <w:bookmarkStart w:id="137" w:name="ref-shinSystematicReviewLocation2023"/>
    <w:p>
      <w:pPr>
        <w:pStyle w:val="Bibliography"/>
      </w:pPr>
      <w:r>
        <w:t xml:space="preserve">Shin, J., &amp; Bae, S. M. (2023). A</w:t>
      </w:r>
      <w:r>
        <w:t xml:space="preserve"> </w:t>
      </w:r>
      <w:r>
        <w:t xml:space="preserve">Systematic Review</w:t>
      </w:r>
      <w:r>
        <w:t xml:space="preserve"> </w:t>
      </w:r>
      <w:r>
        <w:t xml:space="preserve">of</w:t>
      </w:r>
      <w:r>
        <w:t xml:space="preserve"> </w:t>
      </w:r>
      <w:r>
        <w:t xml:space="preserve">Location Data</w:t>
      </w:r>
      <w:r>
        <w:t xml:space="preserve"> </w:t>
      </w:r>
      <w:r>
        <w:t xml:space="preserve">for</w:t>
      </w:r>
      <w:r>
        <w:t xml:space="preserve"> </w:t>
      </w:r>
      <w:r>
        <w:t xml:space="preserve">Depression Prediction</w:t>
      </w:r>
      <w:r>
        <w:t xml:space="preserve">.</w:t>
      </w:r>
      <w:r>
        <w:t xml:space="preserve"> </w:t>
      </w:r>
      <w:r>
        <w:rPr>
          <w:i/>
          <w:iCs/>
        </w:rPr>
        <w:t xml:space="preserve">International Journal of Environmental Research and Public Health</w:t>
      </w:r>
      <w:r>
        <w:t xml:space="preserve">,</w:t>
      </w:r>
      <w:r>
        <w:t xml:space="preserve"> </w:t>
      </w:r>
      <w:r>
        <w:rPr>
          <w:i/>
          <w:iCs/>
        </w:rPr>
        <w:t xml:space="preserve">20</w:t>
      </w:r>
      <w:r>
        <w:t xml:space="preserve">(11), 5984.</w:t>
      </w:r>
      <w:r>
        <w:t xml:space="preserve"> </w:t>
      </w:r>
      <w:hyperlink r:id="rId136">
        <w:r>
          <w:rPr>
            <w:rStyle w:val="Hyperlink"/>
          </w:rPr>
          <w:t xml:space="preserve">https://doi.org/10.3390/ijerph20115984</w:t>
        </w:r>
      </w:hyperlink>
    </w:p>
    <w:bookmarkEnd w:id="137"/>
    <w:bookmarkStart w:id="139" w:name="X4cc737dc7239be601f559580872e182eca82d61"/>
    <w:p>
      <w:pPr>
        <w:pStyle w:val="Bibliography"/>
      </w:pPr>
      <w:r>
        <w:t xml:space="preserve">Siła-Nowicka, K., Vandrol, J., Oshan, T., Long, J. A., Demšar, U., &amp; Fotheringham, A. S. (2016). Analysis of human mobility patterns from</w:t>
      </w:r>
      <w:r>
        <w:t xml:space="preserve"> </w:t>
      </w:r>
      <w:r>
        <w:t xml:space="preserve">GPS</w:t>
      </w:r>
      <w:r>
        <w:t xml:space="preserve"> </w:t>
      </w:r>
      <w:r>
        <w:t xml:space="preserve">trajectories and contextual information.</w:t>
      </w:r>
      <w:r>
        <w:t xml:space="preserve"> </w:t>
      </w:r>
      <w:r>
        <w:rPr>
          <w:i/>
          <w:iCs/>
        </w:rPr>
        <w:t xml:space="preserve">International Journal of Geographical Information Science</w:t>
      </w:r>
      <w:r>
        <w:t xml:space="preserve">,</w:t>
      </w:r>
      <w:r>
        <w:t xml:space="preserve"> </w:t>
      </w:r>
      <w:r>
        <w:rPr>
          <w:i/>
          <w:iCs/>
        </w:rPr>
        <w:t xml:space="preserve">30</w:t>
      </w:r>
      <w:r>
        <w:t xml:space="preserve">(5), 881–906.</w:t>
      </w:r>
      <w:r>
        <w:t xml:space="preserve"> </w:t>
      </w:r>
      <w:hyperlink r:id="rId138">
        <w:r>
          <w:rPr>
            <w:rStyle w:val="Hyperlink"/>
          </w:rPr>
          <w:t xml:space="preserve">https://doi.org/10.1080/13658816.2015.1100731</w:t>
        </w:r>
      </w:hyperlink>
    </w:p>
    <w:bookmarkEnd w:id="139"/>
    <w:bookmarkStart w:id="141" w:name="Xe054c0f71bf5600de863265ddf7f792ea496923"/>
    <w:p>
      <w:pPr>
        <w:pStyle w:val="Bibliography"/>
      </w:pPr>
      <w:r>
        <w:t xml:space="preserve">Stahler, G. J., Mennis, J., &amp; Baron, D. A. (2013). Geospatial technology and the "exposome": New perspectives on addiction.</w:t>
      </w:r>
      <w:r>
        <w:t xml:space="preserve"> </w:t>
      </w:r>
      <w:r>
        <w:rPr>
          <w:i/>
          <w:iCs/>
        </w:rPr>
        <w:t xml:space="preserve">American Journal of Public Health</w:t>
      </w:r>
      <w:r>
        <w:t xml:space="preserve">,</w:t>
      </w:r>
      <w:r>
        <w:t xml:space="preserve"> </w:t>
      </w:r>
      <w:r>
        <w:rPr>
          <w:i/>
          <w:iCs/>
        </w:rPr>
        <w:t xml:space="preserve">103</w:t>
      </w:r>
      <w:r>
        <w:t xml:space="preserve">(8), 1354–1356.</w:t>
      </w:r>
      <w:r>
        <w:t xml:space="preserve"> </w:t>
      </w:r>
      <w:hyperlink r:id="rId140">
        <w:r>
          <w:rPr>
            <w:rStyle w:val="Hyperlink"/>
          </w:rPr>
          <w:t xml:space="preserve">https://doi.org/10.2105/AJPH.2013.301306</w:t>
        </w:r>
      </w:hyperlink>
    </w:p>
    <w:bookmarkEnd w:id="141"/>
    <w:bookmarkStart w:id="142" w:name="X74d955b83e08bd01d499ba3791b6de1707481d4"/>
    <w:p>
      <w:pPr>
        <w:pStyle w:val="Bibliography"/>
      </w:pPr>
      <w:r>
        <w:t xml:space="preserve">U.S. Department of Health and Human Services. (2018).</w:t>
      </w:r>
      <w:r>
        <w:t xml:space="preserve"> </w:t>
      </w:r>
      <w:r>
        <w:rPr>
          <w:i/>
          <w:iCs/>
        </w:rPr>
        <w:t xml:space="preserve">Physical</w:t>
      </w:r>
      <w:r>
        <w:rPr>
          <w:i/>
          <w:iCs/>
        </w:rPr>
        <w:t xml:space="preserve"> </w:t>
      </w:r>
      <w:r>
        <w:rPr>
          <w:i/>
          <w:iCs/>
        </w:rPr>
        <w:t xml:space="preserve">Activity Guidelines</w:t>
      </w:r>
      <w:r>
        <w:rPr>
          <w:i/>
          <w:iCs/>
        </w:rPr>
        <w:t xml:space="preserve"> </w:t>
      </w:r>
      <w:r>
        <w:rPr>
          <w:i/>
          <w:iCs/>
        </w:rPr>
        <w:t xml:space="preserve">for</w:t>
      </w:r>
      <w:r>
        <w:rPr>
          <w:i/>
          <w:iCs/>
        </w:rPr>
        <w:t xml:space="preserve"> </w:t>
      </w:r>
      <w:r>
        <w:rPr>
          <w:i/>
          <w:iCs/>
        </w:rPr>
        <w:t xml:space="preserve">Americans</w:t>
      </w:r>
      <w:r>
        <w:rPr>
          <w:i/>
          <w:iCs/>
        </w:rPr>
        <w:t xml:space="preserve">, 2nd edition</w:t>
      </w:r>
      <w:r>
        <w:t xml:space="preserve">.</w:t>
      </w:r>
    </w:p>
    <w:bookmarkEnd w:id="142"/>
    <w:bookmarkStart w:id="144" w:name="X96c9e335a5ce9d388ef95d686456e69d06c80ca"/>
    <w:p>
      <w:pPr>
        <w:pStyle w:val="Bibliography"/>
      </w:pPr>
      <w:r>
        <w:t xml:space="preserve">Walton, M. A., Blow, F. C., Bingham, C. R., &amp; Chermack, S. T. (2003). Individual and social/environmental predictors of alcohol and drug use 2 years following substance abuse treatment.</w:t>
      </w:r>
      <w:r>
        <w:t xml:space="preserve"> </w:t>
      </w:r>
      <w:r>
        <w:rPr>
          <w:i/>
          <w:iCs/>
        </w:rPr>
        <w:t xml:space="preserve">Addictive Behaviors</w:t>
      </w:r>
      <w:r>
        <w:t xml:space="preserve">,</w:t>
      </w:r>
      <w:r>
        <w:t xml:space="preserve"> </w:t>
      </w:r>
      <w:r>
        <w:rPr>
          <w:i/>
          <w:iCs/>
        </w:rPr>
        <w:t xml:space="preserve">28</w:t>
      </w:r>
      <w:r>
        <w:t xml:space="preserve">(4), 627–642.</w:t>
      </w:r>
      <w:r>
        <w:t xml:space="preserve"> </w:t>
      </w:r>
      <w:hyperlink r:id="rId143">
        <w:r>
          <w:rPr>
            <w:rStyle w:val="Hyperlink"/>
          </w:rPr>
          <w:t xml:space="preserve">https://doi.org/10.1016/s0306-4603(01)00284-2</w:t>
        </w:r>
      </w:hyperlink>
    </w:p>
    <w:bookmarkEnd w:id="144"/>
    <w:bookmarkStart w:id="146" w:name="ref-waltonSocialSettingsAddiction1995"/>
    <w:p>
      <w:pPr>
        <w:pStyle w:val="Bibliography"/>
      </w:pPr>
      <w:r>
        <w:t xml:space="preserve">Walton, M. A., Reischl, T. M., &amp; Ramanthan, C. S. (1995). Social settings and addiction relapse.</w:t>
      </w:r>
      <w:r>
        <w:t xml:space="preserve"> </w:t>
      </w:r>
      <w:r>
        <w:rPr>
          <w:i/>
          <w:iCs/>
        </w:rPr>
        <w:t xml:space="preserve">Journal of Substance Abuse</w:t>
      </w:r>
      <w:r>
        <w:t xml:space="preserve">,</w:t>
      </w:r>
      <w:r>
        <w:t xml:space="preserve"> </w:t>
      </w:r>
      <w:r>
        <w:rPr>
          <w:i/>
          <w:iCs/>
        </w:rPr>
        <w:t xml:space="preserve">7</w:t>
      </w:r>
      <w:r>
        <w:t xml:space="preserve">(2), 223–233.</w:t>
      </w:r>
      <w:r>
        <w:t xml:space="preserve"> </w:t>
      </w:r>
      <w:hyperlink r:id="rId145">
        <w:r>
          <w:rPr>
            <w:rStyle w:val="Hyperlink"/>
          </w:rPr>
          <w:t xml:space="preserve">https://doi.org/10.1016/0899-3289(95)90006-3</w:t>
        </w:r>
      </w:hyperlink>
    </w:p>
    <w:bookmarkEnd w:id="146"/>
    <w:bookmarkStart w:id="148" w:name="ref-wheatcroftInterpretingSkillScore2019"/>
    <w:p>
      <w:pPr>
        <w:pStyle w:val="Bibliography"/>
      </w:pPr>
      <w:r>
        <w:t xml:space="preserve">Wheatcroft, E. (2019). Interpreting the skill score form of forecast performance metrics.</w:t>
      </w:r>
      <w:r>
        <w:t xml:space="preserve"> </w:t>
      </w:r>
      <w:r>
        <w:rPr>
          <w:i/>
          <w:iCs/>
        </w:rPr>
        <w:t xml:space="preserve">International Journal of Forecasting</w:t>
      </w:r>
      <w:r>
        <w:t xml:space="preserve">,</w:t>
      </w:r>
      <w:r>
        <w:t xml:space="preserve"> </w:t>
      </w:r>
      <w:r>
        <w:rPr>
          <w:i/>
          <w:iCs/>
        </w:rPr>
        <w:t xml:space="preserve">35</w:t>
      </w:r>
      <w:r>
        <w:t xml:space="preserve">(2), 573–579.</w:t>
      </w:r>
      <w:r>
        <w:t xml:space="preserve"> </w:t>
      </w:r>
      <w:hyperlink r:id="rId147">
        <w:r>
          <w:rPr>
            <w:rStyle w:val="Hyperlink"/>
          </w:rPr>
          <w:t xml:space="preserve">https://doi.org/10.1016/j.ijforecast.2018.11.010</w:t>
        </w:r>
      </w:hyperlink>
    </w:p>
    <w:bookmarkEnd w:id="148"/>
    <w:bookmarkStart w:id="150" w:name="ref-wyantMaximizingEngagementTrust2025"/>
    <w:p>
      <w:pPr>
        <w:pStyle w:val="Bibliography"/>
      </w:pPr>
      <w:r>
        <w:t xml:space="preserve">Wyant, K., Sant’Ana, S. J., Punturieri, C. E., Yu, J., Fronk, G. E., Maggard, C. M., Janssen, C., Wanta, S. E., Kornfield, R., Swol, L. M. van, &amp; Curtin, J. J. (2025). Maximizing</w:t>
      </w:r>
      <w:r>
        <w:t xml:space="preserve"> </w:t>
      </w:r>
      <w:r>
        <w:t xml:space="preserve">Engagement</w:t>
      </w:r>
      <w:r>
        <w:t xml:space="preserve">,</w:t>
      </w:r>
      <w:r>
        <w:t xml:space="preserve"> </w:t>
      </w:r>
      <w:r>
        <w:t xml:space="preserve">Trust</w:t>
      </w:r>
      <w:r>
        <w:t xml:space="preserve">, and</w:t>
      </w:r>
      <w:r>
        <w:t xml:space="preserve"> </w:t>
      </w:r>
      <w:r>
        <w:t xml:space="preserve">Clinical Benefit</w:t>
      </w:r>
      <w:r>
        <w:t xml:space="preserve"> </w:t>
      </w:r>
      <w:r>
        <w:t xml:space="preserve">of</w:t>
      </w:r>
      <w:r>
        <w:t xml:space="preserve"> </w:t>
      </w:r>
      <w:r>
        <w:t xml:space="preserve">AI-Generated Recovery Support Messages</w:t>
      </w:r>
      <w:r>
        <w:t xml:space="preserve"> </w:t>
      </w:r>
      <w:r>
        <w:t xml:space="preserve">for</w:t>
      </w:r>
      <w:r>
        <w:t xml:space="preserve"> </w:t>
      </w:r>
      <w:r>
        <w:t xml:space="preserve">Alcohol Use Disorder</w:t>
      </w:r>
      <w:r>
        <w:t xml:space="preserve">:</w:t>
      </w:r>
      <w:r>
        <w:t xml:space="preserve"> </w:t>
      </w:r>
      <w:r>
        <w:t xml:space="preserve">Protocol</w:t>
      </w:r>
      <w:r>
        <w:t xml:space="preserve"> </w:t>
      </w:r>
      <w:r>
        <w:t xml:space="preserve">for an</w:t>
      </w:r>
      <w:r>
        <w:t xml:space="preserve"> </w:t>
      </w:r>
      <w:r>
        <w:t xml:space="preserve">Optimization Study</w:t>
      </w:r>
      <w:r>
        <w:t xml:space="preserve">.</w:t>
      </w:r>
      <w:r>
        <w:t xml:space="preserve"> </w:t>
      </w:r>
      <w:r>
        <w:rPr>
          <w:i/>
          <w:iCs/>
        </w:rPr>
        <w:t xml:space="preserve">JMIR Research Protocols</w:t>
      </w:r>
      <w:r>
        <w:t xml:space="preserve">,</w:t>
      </w:r>
      <w:r>
        <w:t xml:space="preserve"> </w:t>
      </w:r>
      <w:r>
        <w:rPr>
          <w:i/>
          <w:iCs/>
        </w:rPr>
        <w:t xml:space="preserve">14</w:t>
      </w:r>
      <w:r>
        <w:t xml:space="preserve">(1), e81697.</w:t>
      </w:r>
      <w:r>
        <w:t xml:space="preserve"> </w:t>
      </w:r>
      <w:hyperlink r:id="rId149">
        <w:r>
          <w:rPr>
            <w:rStyle w:val="Hyperlink"/>
          </w:rPr>
          <w:t xml:space="preserve">https://doi.org/10.2196/81697</w:t>
        </w:r>
      </w:hyperlink>
    </w:p>
    <w:bookmarkEnd w:id="150"/>
    <w:bookmarkEnd w:id="151"/>
    <w:p>
      <w:r>
        <w:br w:type="page"/>
      </w:r>
    </w:p>
    <w:bookmarkEnd w:id="152"/>
    <w:bookmarkStart w:id="156" w:name="tables-and-figures"/>
    <w:p>
      <w:pPr>
        <w:pStyle w:val="Heading2"/>
      </w:pPr>
      <w:r>
        <w:t xml:space="preserve">Tables and Figures</w:t>
      </w:r>
    </w:p>
    <w:bookmarkStart w:id="154" w:name="X6116c37c1622f7e75757a6ca0a57bfe044f8577"/>
    <w:p>
      <w:pPr>
        <w:pStyle w:val="Heading3"/>
      </w:pPr>
      <w:r>
        <w:t xml:space="preserve">Table 1: Contextual geolocation information</w:t>
      </w:r>
    </w:p>
    <w:tbl>
      <w:tblPr>
        <w:tblStyle w:val="Table"/>
        <w:tblW w:type="pct" w:w="5000"/>
        <w:tblLayout w:type="fixed"/>
        <w:tblLook w:firstRow="0" w:lastRow="0" w:firstColumn="0" w:lastColumn="0" w:noHBand="0" w:noVBand="0" w:val="0000"/>
      </w:tblPr>
      <w:tblGrid>
        <w:gridCol w:w="7920"/>
      </w:tblGrid>
      <w:tr>
        <w:tc>
          <w:tcPr/>
          <w:bookmarkStart w:id="153" w:name="tbl-context"/>
          <w:p>
            <w:pPr>
              <w:jc w:val="center"/>
            </w:pPr>
            <w:pPr>
              <w:jc w:val="start"/>
              <w:spacing w:before="200"/>
              <w:pStyle w:val="ImageCaption"/>
            </w:pPr>
            <w:r>
              <w:t xml:space="preserve">Table 6: Location information collected from frequently visited locations.</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jc w:val="center"/>
                  </w:pPr>
                  <w:r>
                    <w:t xml:space="preserve">Question</w:t>
                  </w:r>
                </w:p>
              </w:tc>
              <w:tc>
                <w:tcPr/>
                <w:p>
                  <w:pPr>
                    <w:pStyle w:val="Compact"/>
                    <w:jc w:val="left"/>
                    <w:jc w:val="center"/>
                  </w:pPr>
                  <w:r>
                    <w:t xml:space="preserve">Responses</w:t>
                  </w:r>
                </w:p>
              </w:tc>
            </w:tr>
            <w:tr>
              <w:tc>
                <w:tcPr/>
                <w:p>
                  <w:pPr>
                    <w:pStyle w:val="Compact"/>
                    <w:jc w:val="left"/>
                    <w:jc w:val="center"/>
                  </w:pPr>
                  <w:r>
                    <w:t xml:space="preserve">Address</w:t>
                  </w:r>
                </w:p>
              </w:tc>
              <w:tc>
                <w:tcPr/>
                <w:p>
                  <w:pPr>
                    <w:pStyle w:val="Compact"/>
                  </w:pPr>
                </w:p>
              </w:tc>
            </w:tr>
            <w:tr>
              <w:tc>
                <w:tcPr/>
                <w:p>
                  <w:pPr>
                    <w:pStyle w:val="Compact"/>
                    <w:jc w:val="left"/>
                    <w:jc w:val="center"/>
                  </w:pPr>
                  <w:r>
                    <w:t xml:space="preserve">Type of place</w:t>
                  </w:r>
                </w:p>
              </w:tc>
              <w:tc>
                <w:tcPr/>
                <w:p>
                  <w:pPr>
                    <w:pStyle w:val="Compact"/>
                    <w:jc w:val="left"/>
                    <w:jc w:val="center"/>
                  </w:pPr>
                  <w:r>
                    <w:t xml:space="preserve">Work, School, Volunteer, healthcare, Home of a friend, Home of a family member, Liquor store, Errands (e.g., grocery store, post office), Coffee shop or cafe, Restaurant, Park, Bar, Gym or fitness center, AA or recovery meeting, Religious location (e.g., church, mosque, temple), Other</w:t>
                  </w:r>
                </w:p>
              </w:tc>
            </w:tr>
            <w:tr>
              <w:tc>
                <w:tcPr/>
                <w:p>
                  <w:pPr>
                    <w:pStyle w:val="Compact"/>
                    <w:jc w:val="left"/>
                    <w:jc w:val="center"/>
                  </w:pPr>
                  <w:r>
                    <w:t xml:space="preserve">Have you drank alcohol here before?</w:t>
                  </w:r>
                </w:p>
              </w:tc>
              <w:tc>
                <w:tcPr/>
                <w:p>
                  <w:pPr>
                    <w:pStyle w:val="Compact"/>
                    <w:jc w:val="left"/>
                    <w:jc w:val="center"/>
                  </w:pPr>
                  <w:r>
                    <w:t xml:space="preserve">No, Yes</w:t>
                  </w:r>
                </w:p>
              </w:tc>
            </w:tr>
            <w:tr>
              <w:tc>
                <w:tcPr/>
                <w:p>
                  <w:pPr>
                    <w:pStyle w:val="Compact"/>
                    <w:jc w:val="left"/>
                    <w:jc w:val="center"/>
                  </w:pPr>
                  <w:r>
                    <w:t xml:space="preserve">Is alcohol available here?</w:t>
                  </w:r>
                </w:p>
              </w:tc>
              <w:tc>
                <w:tcPr/>
                <w:p>
                  <w:pPr>
                    <w:pStyle w:val="Compact"/>
                    <w:jc w:val="left"/>
                    <w:jc w:val="center"/>
                  </w:pPr>
                  <w:r>
                    <w:t xml:space="preserve">No, Yes</w:t>
                  </w:r>
                </w:p>
              </w:tc>
            </w:tr>
            <w:tr>
              <w:tc>
                <w:tcPr/>
                <w:p>
                  <w:pPr>
                    <w:pStyle w:val="Compact"/>
                    <w:jc w:val="left"/>
                    <w:jc w:val="center"/>
                  </w:pPr>
                  <w:r>
                    <w:t xml:space="preserve">How would you describe your experiences here?</w:t>
                  </w:r>
                </w:p>
              </w:tc>
              <w:tc>
                <w:tcPr/>
                <w:p>
                  <w:pPr>
                    <w:pStyle w:val="Compact"/>
                    <w:jc w:val="left"/>
                    <w:jc w:val="center"/>
                  </w:pPr>
                  <w:r>
                    <w:t xml:space="preserve">Pleasant, Unpleasant, Mixed, Neutral</w:t>
                  </w:r>
                </w:p>
              </w:tc>
            </w:tr>
            <w:tr>
              <w:tc>
                <w:tcPr/>
                <w:p>
                  <w:pPr>
                    <w:pStyle w:val="Compact"/>
                    <w:jc w:val="left"/>
                    <w:jc w:val="center"/>
                  </w:pPr>
                  <w:r>
                    <w:t xml:space="preserve">Does being at this location put you at any risk to begin drinking?</w:t>
                  </w:r>
                </w:p>
              </w:tc>
              <w:tc>
                <w:tcPr/>
                <w:p>
                  <w:pPr>
                    <w:pStyle w:val="Compact"/>
                    <w:jc w:val="left"/>
                    <w:jc w:val="center"/>
                  </w:pPr>
                  <w:r>
                    <w:t xml:space="preserve">No risk, Low risk, Medium risk, High risk</w:t>
                  </w:r>
                </w:p>
              </w:tc>
            </w:tr>
            <w:tr>
              <w:tc>
                <w:tcPr/>
                <w:p>
                  <w:pPr>
                    <w:pStyle w:val="Compact"/>
                    <w:jc w:val="left"/>
                    <w:jc w:val="center"/>
                  </w:pPr>
                  <w:r>
                    <w:t xml:space="preserve">Did the participant identify this place as a risky location they are trying to avoid now that they are sober?</w:t>
                  </w:r>
                </w:p>
              </w:tc>
              <w:tc>
                <w:tcPr/>
                <w:p>
                  <w:pPr>
                    <w:pStyle w:val="Compact"/>
                    <w:jc w:val="left"/>
                    <w:jc w:val="center"/>
                  </w:pPr>
                  <w:r>
                    <w:t xml:space="preserve">No, Yes</w:t>
                  </w:r>
                </w:p>
              </w:tc>
            </w:tr>
          </w:tbl>
          <w:bookmarkEnd w:id="153"/>
          <w:p/>
        </w:tc>
      </w:tr>
    </w:tbl>
    <w:p>
      <w:r>
        <w:br w:type="page"/>
      </w:r>
    </w:p>
    <w:bookmarkEnd w:id="154"/>
    <w:bookmarkStart w:id="155" w:name="table-2-raw-geolocation-features"/>
    <w:p>
      <w:pPr>
        <w:pStyle w:val="Heading3"/>
      </w:pPr>
      <w:r>
        <w:t xml:space="preserve">Table 2: Raw geolocation features</w:t>
      </w:r>
    </w:p>
    <w:tbl>
      <w:tblPr>
        <w:tblStyle w:val="Table"/>
        <w:tblW w:type="pct" w:w="5000"/>
        <w:tblLayout w:type="fixed"/>
        <w:tblLook w:firstRow="1" w:lastRow="0" w:firstColumn="0" w:lastColumn="0" w:noHBand="0" w:noVBand="0" w:val="0020"/>
      </w:tblPr>
      <w:tblGrid>
        <w:gridCol w:w="609"/>
        <w:gridCol w:w="1294"/>
        <w:gridCol w:w="2360"/>
        <w:gridCol w:w="1218"/>
        <w:gridCol w:w="2436"/>
      </w:tblGrid>
      <w:tr>
        <w:trPr>
          <w:tblHeader w:val="on"/>
        </w:trPr>
        <w:tc>
          <w:tcPr/>
          <w:p>
            <w:pPr>
              <w:pStyle w:val="Compact"/>
              <w:jc w:val="left"/>
            </w:pPr>
            <w:r>
              <w:t xml:space="preserve">Feature</w:t>
            </w:r>
          </w:p>
        </w:tc>
        <w:tc>
          <w:tcPr/>
          <w:p>
            <w:pPr>
              <w:pStyle w:val="Compact"/>
              <w:jc w:val="left"/>
            </w:pPr>
            <w:r>
              <w:t xml:space="preserve">Original formula</w:t>
            </w:r>
          </w:p>
        </w:tc>
        <w:tc>
          <w:tcPr/>
          <w:p>
            <w:pPr>
              <w:pStyle w:val="Compact"/>
              <w:jc w:val="left"/>
            </w:pPr>
            <w:r>
              <w:t xml:space="preserve">Modification for current study</w:t>
            </w:r>
          </w:p>
        </w:tc>
        <w:tc>
          <w:tcPr/>
          <w:p>
            <w:pPr>
              <w:pStyle w:val="Compact"/>
              <w:jc w:val="left"/>
            </w:pPr>
            <w:r>
              <w:t xml:space="preserve">Interpretation</w:t>
            </w:r>
          </w:p>
        </w:tc>
        <w:tc>
          <w:tcPr/>
          <w:p>
            <w:pPr>
              <w:pStyle w:val="Compact"/>
              <w:jc w:val="left"/>
            </w:pPr>
            <w:r>
              <w:t xml:space="preserve">Theoretical mechanism of action</w:t>
            </w:r>
          </w:p>
        </w:tc>
      </w:tr>
      <w:tr>
        <w:tc>
          <w:tcPr/>
          <w:p>
            <w:pPr>
              <w:pStyle w:val="Compact"/>
              <w:jc w:val="left"/>
            </w:pPr>
            <w:r>
              <w:t xml:space="preserve">Location Variance</w:t>
            </w:r>
          </w:p>
        </w:tc>
        <w:tc>
          <w:tcPr/>
          <w:p>
            <w:pPr>
              <w:pStyle w:val="Compact"/>
              <w:jc w:val="left"/>
            </w:pPr>
            <m:oMath>
              <m:r>
                <m:t>L</m:t>
              </m:r>
              <m:r>
                <m:t>o</m:t>
              </m:r>
              <m:r>
                <m:t>c</m:t>
              </m:r>
              <m:r>
                <m:t>a</m:t>
              </m:r>
              <m:r>
                <m:t>t</m:t>
              </m:r>
              <m:r>
                <m:t>i</m:t>
              </m:r>
              <m:r>
                <m:t>o</m:t>
              </m:r>
              <m:r>
                <m:t>n</m:t>
              </m:r>
              <m:r>
                <m:t>V</m:t>
              </m:r>
              <m:r>
                <m:t>a</m:t>
              </m:r>
              <m:r>
                <m:t>r</m:t>
              </m:r>
              <m:r>
                <m:t>i</m:t>
              </m:r>
              <m:r>
                <m:t>a</m:t>
              </m:r>
              <m:r>
                <m:t>n</m:t>
              </m:r>
              <m:r>
                <m:t>c</m:t>
              </m:r>
              <m:r>
                <m:t>e</m:t>
              </m:r>
              <m:r>
                <m:rPr>
                  <m:sty m:val="p"/>
                </m:rPr>
                <m:t>=</m:t>
              </m:r>
              <m:r>
                <m:rPr>
                  <m:sty m:val="p"/>
                </m:rPr>
                <m:t>log</m:t>
              </m:r>
              <m:d>
                <m:dPr>
                  <m:begChr m:val="("/>
                  <m:endChr m:val=")"/>
                  <m:sepChr m:val=""/>
                  <m:grow/>
                </m:dPr>
                <m:e>
                  <m:sSubSup>
                    <m:e>
                      <m:r>
                        <m:t>σ</m:t>
                      </m:r>
                    </m:e>
                    <m:sub>
                      <m:r>
                        <m:t>l</m:t>
                      </m:r>
                      <m:r>
                        <m:t>a</m:t>
                      </m:r>
                      <m:r>
                        <m:t>t</m:t>
                      </m:r>
                    </m:sub>
                    <m:sup>
                      <m:r>
                        <m:t>2</m:t>
                      </m:r>
                    </m:sup>
                  </m:sSubSup>
                  <m:r>
                    <m:rPr>
                      <m:sty m:val="p"/>
                    </m:rPr>
                    <m:t>+</m:t>
                  </m:r>
                  <m:sSubSup>
                    <m:e>
                      <m:r>
                        <m:t>σ</m:t>
                      </m:r>
                    </m:e>
                    <m:sub>
                      <m:r>
                        <m:t>l</m:t>
                      </m:r>
                      <m:r>
                        <m:t>o</m:t>
                      </m:r>
                      <m:r>
                        <m:t>n</m:t>
                      </m:r>
                      <m:r>
                        <m:t>g</m:t>
                      </m:r>
                    </m:sub>
                    <m:sup>
                      <m:r>
                        <m:t>2</m:t>
                      </m:r>
                    </m:sup>
                  </m:sSubSup>
                </m:e>
              </m:d>
            </m:oMath>
          </w:p>
        </w:tc>
        <w:tc>
          <w:tcPr/>
          <w:p>
            <w:pPr>
              <w:pStyle w:val="Compact"/>
              <w:jc w:val="left"/>
            </w:pPr>
            <w:r>
              <w:t xml:space="preserve">Calculated as both raw and difference scores for past 24 and 168 hours</w:t>
            </w:r>
          </w:p>
        </w:tc>
        <w:tc>
          <w:tcPr/>
          <w:p>
            <w:pPr>
              <w:pStyle w:val="Compact"/>
              <w:jc w:val="left"/>
            </w:pPr>
            <w:r>
              <w:t xml:space="preserve">Spatial variability over defined segments</w:t>
            </w:r>
          </w:p>
        </w:tc>
        <w:tc>
          <w:tcPr/>
          <w:p>
            <w:pPr>
              <w:pStyle w:val="Compact"/>
              <w:jc w:val="left"/>
            </w:pPr>
            <w:r>
              <w:t xml:space="preserve">Lower variance may be indicative of more isolation, less geographical coverage</w:t>
            </w:r>
          </w:p>
        </w:tc>
      </w:tr>
      <w:tr>
        <w:tc>
          <w:tcPr/>
          <w:p>
            <w:pPr>
              <w:pStyle w:val="Compact"/>
              <w:jc w:val="left"/>
            </w:pPr>
            <w:r>
              <w:t xml:space="preserve">Entropy</w:t>
            </w:r>
          </w:p>
        </w:tc>
        <w:tc>
          <w:tcPr/>
          <w:p>
            <w:pPr>
              <w:pStyle w:val="Compact"/>
              <w:jc w:val="left"/>
            </w:pPr>
            <m:oMath>
              <m:r>
                <m:t>E</m:t>
              </m:r>
              <m:r>
                <m:t>n</m:t>
              </m:r>
              <m:r>
                <m:t>t</m:t>
              </m:r>
              <m:r>
                <m:t>r</m:t>
              </m:r>
              <m:r>
                <m:t>o</m:t>
              </m:r>
              <m:r>
                <m:t>p</m:t>
              </m:r>
              <m:r>
                <m:t>y</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log</m:t>
              </m:r>
              <m:d>
                <m:dPr>
                  <m:begChr m:val="("/>
                  <m:endChr m:val=")"/>
                  <m:sepChr m:val=""/>
                  <m:grow/>
                </m:dPr>
                <m:e>
                  <m:sSub>
                    <m:e>
                      <m:r>
                        <m:t>p</m:t>
                      </m:r>
                    </m:e>
                    <m:sub>
                      <m:r>
                        <m:t>i</m:t>
                      </m:r>
                    </m:sub>
                  </m:sSub>
                </m:e>
              </m:d>
            </m:oMath>
          </w:p>
        </w:tc>
        <w:tc>
          <w:tcPr/>
          <w:p>
            <w:pPr>
              <w:pStyle w:val="Compact"/>
              <w:jc w:val="left"/>
            </w:pPr>
            <w:r>
              <w:t xml:space="preserve">Calculated as both raw and difference scores for past 24 and 168 hours</w:t>
            </w:r>
          </w:p>
        </w:tc>
        <w:tc>
          <w:tcPr/>
          <w:p>
            <w:pPr>
              <w:pStyle w:val="Compact"/>
              <w:jc w:val="left"/>
            </w:pPr>
            <w:r>
              <w:t xml:space="preserve">Distribution of time across location clusters</w:t>
            </w:r>
          </w:p>
        </w:tc>
        <w:tc>
          <w:tcPr/>
          <w:p>
            <w:pPr>
              <w:pStyle w:val="Compact"/>
              <w:jc w:val="left"/>
            </w:pPr>
            <w:r>
              <w:t xml:space="preserve">Higher entropy may be indicative of greater flexibility in routine, which could either indicate experiential diversity or lack of routine</w:t>
            </w:r>
          </w:p>
        </w:tc>
      </w:tr>
      <w:tr>
        <w:tc>
          <w:tcPr/>
          <w:p>
            <w:pPr>
              <w:pStyle w:val="Compact"/>
              <w:jc w:val="left"/>
            </w:pPr>
            <w:r>
              <w:t xml:space="preserve">Normalized Entropy</w:t>
            </w:r>
          </w:p>
        </w:tc>
        <w:tc>
          <w:tcPr/>
          <w:p>
            <w:pPr>
              <w:pStyle w:val="Compact"/>
              <w:jc w:val="left"/>
            </w:pPr>
            <m:oMath>
              <m:r>
                <m:t>N</m:t>
              </m:r>
              <m:r>
                <m:t>o</m:t>
              </m:r>
              <m:r>
                <m:t>r</m:t>
              </m:r>
              <m:r>
                <m:t>m</m:t>
              </m:r>
              <m:r>
                <m:t>a</m:t>
              </m:r>
              <m:r>
                <m:t>l</m:t>
              </m:r>
              <m:r>
                <m:t>i</m:t>
              </m:r>
              <m:r>
                <m:t>z</m:t>
              </m:r>
              <m:r>
                <m:t>e</m:t>
              </m:r>
              <m:r>
                <m:t>d</m:t>
              </m:r>
              <m:r>
                <m:t>E</m:t>
              </m:r>
              <m:r>
                <m:t>n</m:t>
              </m:r>
              <m:r>
                <m:t>t</m:t>
              </m:r>
              <m:r>
                <m:t>r</m:t>
              </m:r>
              <m:r>
                <m:t>o</m:t>
              </m:r>
              <m:r>
                <m:t>p</m:t>
              </m:r>
              <m:r>
                <m:t>y</m:t>
              </m:r>
              <m:r>
                <m:rPr>
                  <m:sty m:val="p"/>
                </m:rPr>
                <m:t>=</m:t>
              </m:r>
              <m:f>
                <m:fPr>
                  <m:type m:val="bar"/>
                </m:fPr>
                <m:num>
                  <m:r>
                    <m:t>E</m:t>
                  </m:r>
                  <m:r>
                    <m:t>n</m:t>
                  </m:r>
                  <m:r>
                    <m:t>t</m:t>
                  </m:r>
                  <m:r>
                    <m:t>r</m:t>
                  </m:r>
                  <m:r>
                    <m:t>o</m:t>
                  </m:r>
                  <m:r>
                    <m:t>p</m:t>
                  </m:r>
                  <m:r>
                    <m:t>y</m:t>
                  </m:r>
                </m:num>
                <m:den>
                  <m:r>
                    <m:rPr>
                      <m:sty m:val="p"/>
                    </m:rPr>
                    <m:t>log</m:t>
                  </m:r>
                  <m:d>
                    <m:dPr>
                      <m:begChr m:val="("/>
                      <m:endChr m:val=")"/>
                      <m:sepChr m:val=""/>
                      <m:grow/>
                    </m:dPr>
                    <m:e>
                      <m:r>
                        <m:t>N</m:t>
                      </m:r>
                    </m:e>
                  </m:d>
                </m:den>
              </m:f>
            </m:oMath>
          </w:p>
        </w:tc>
        <w:tc>
          <w:tcPr/>
          <w:p>
            <w:pPr>
              <w:pStyle w:val="Compact"/>
              <w:jc w:val="left"/>
            </w:pPr>
            <w:r>
              <w:t xml:space="preserve">Calculated as both raw and difference scores for past 24 and 168 hours</w:t>
            </w:r>
          </w:p>
        </w:tc>
        <w:tc>
          <w:tcPr/>
          <w:p>
            <w:pPr>
              <w:pStyle w:val="Compact"/>
              <w:jc w:val="left"/>
            </w:pPr>
            <w:r>
              <w:t xml:space="preserve">Distribution of time across location clusters, accounting for number of clusters</w:t>
            </w:r>
          </w:p>
        </w:tc>
        <w:tc>
          <w:tcPr/>
          <w:p>
            <w:pPr>
              <w:pStyle w:val="Compact"/>
            </w:pPr>
          </w:p>
        </w:tc>
      </w:tr>
      <w:tr>
        <w:tc>
          <w:tcPr/>
          <w:p>
            <w:pPr>
              <w:pStyle w:val="Compact"/>
              <w:jc w:val="left"/>
            </w:pPr>
            <w:r>
              <w:t xml:space="preserve">Time spent at home</w:t>
            </w:r>
          </w:p>
        </w:tc>
        <w:tc>
          <w:tcPr/>
          <w:p>
            <w:pPr>
              <w:pStyle w:val="Compact"/>
              <w:jc w:val="left"/>
            </w:pPr>
            <w:r>
              <w:t xml:space="preserve">Percentage of time spent at home.</w:t>
            </w:r>
          </w:p>
        </w:tc>
        <w:tc>
          <w:tcPr/>
          <w:p>
            <w:pPr>
              <w:pStyle w:val="Compact"/>
              <w:jc w:val="left"/>
            </w:pPr>
            <w:r>
              <w:t xml:space="preserve">Calculated as both raw and difference scores for past 24 and 168 hours</w:t>
            </w:r>
          </w:p>
        </w:tc>
        <w:tc>
          <w:tcPr/>
          <w:p>
            <w:pPr>
              <w:pStyle w:val="Compact"/>
            </w:pPr>
          </w:p>
        </w:tc>
        <w:tc>
          <w:tcPr/>
          <w:p>
            <w:pPr>
              <w:pStyle w:val="Compact"/>
            </w:pPr>
          </w:p>
        </w:tc>
      </w:tr>
      <w:tr>
        <w:tc>
          <w:tcPr/>
          <w:p>
            <w:pPr>
              <w:pStyle w:val="Compact"/>
              <w:jc w:val="left"/>
            </w:pPr>
            <w:r>
              <w:t xml:space="preserve">Time spent out of home in the evening</w:t>
            </w:r>
          </w:p>
        </w:tc>
        <w:tc>
          <w:tcPr/>
          <w:p>
            <w:pPr>
              <w:pStyle w:val="Compact"/>
              <w:jc w:val="left"/>
            </w:pPr>
            <w:r>
              <w:t xml:space="preserve">Percentage of time spent at home between the hours of 19:00 and 4:00</w:t>
            </w:r>
          </w:p>
        </w:tc>
        <w:tc>
          <w:tcPr/>
          <w:p>
            <w:pPr>
              <w:pStyle w:val="Compact"/>
              <w:jc w:val="left"/>
            </w:pPr>
            <w:r>
              <w:t xml:space="preserve">Calculated as both raw and difference scores for past 24 and 168 hours</w:t>
            </w:r>
          </w:p>
        </w:tc>
        <w:tc>
          <w:tcPr/>
          <w:p>
            <w:pPr>
              <w:pStyle w:val="Compact"/>
            </w:pPr>
          </w:p>
        </w:tc>
        <w:tc>
          <w:tcPr/>
          <w:p>
            <w:pPr>
              <w:pStyle w:val="Compact"/>
            </w:pPr>
          </w:p>
        </w:tc>
      </w:tr>
      <w:tr>
        <w:tc>
          <w:tcPr/>
          <w:p>
            <w:pPr>
              <w:pStyle w:val="Compact"/>
              <w:jc w:val="left"/>
            </w:pPr>
            <w:r>
              <w:t xml:space="preserve">Weather, including temperature and condensation</w:t>
            </w:r>
          </w:p>
        </w:tc>
        <w:tc>
          <w:tcPr/>
          <w:p>
            <w:pPr>
              <w:pStyle w:val="Compact"/>
              <w:jc w:val="left"/>
            </w:pPr>
            <w:r>
              <w:t xml:space="preserve">Cite Aaron’s paper</w:t>
            </w:r>
          </w:p>
        </w:tc>
        <w:tc>
          <w:tcPr/>
          <w:p>
            <w:pPr>
              <w:pStyle w:val="Compact"/>
              <w:jc w:val="left"/>
            </w:pPr>
            <w:r>
              <w:t xml:space="preserve">Calculated as minimum, maximum, and median temperature, and maximum and counts of condensation (snow and precipitation) for the past 24 and 168 hours</w:t>
            </w:r>
          </w:p>
        </w:tc>
        <w:tc>
          <w:tcPr/>
          <w:p>
            <w:pPr>
              <w:pStyle w:val="Compact"/>
            </w:pPr>
          </w:p>
        </w:tc>
        <w:tc>
          <w:tcPr/>
          <w:p>
            <w:pPr>
              <w:pStyle w:val="Compact"/>
            </w:pPr>
          </w:p>
        </w:tc>
      </w:tr>
    </w:tbl>
    <w:p>
      <w:pPr>
        <w:pStyle w:val="BodyText"/>
      </w:pPr>
      <w:r>
        <w:t xml:space="preserve">: Raw geolocation features derived from the GPS literature with description of modifications made for current study. {#tbl-raw}</w:t>
      </w:r>
    </w:p>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hyperlink" Id="rId99" Target="https://doi.org/10.1001/jamapsychiatry.2013.4642" TargetMode="External" /><Relationship Type="http://schemas.openxmlformats.org/officeDocument/2006/relationships/hyperlink" Id="rId107" Target="https://doi.org/10.1007/978-1-4614-6849-3" TargetMode="External" /><Relationship Type="http://schemas.openxmlformats.org/officeDocument/2006/relationships/hyperlink" Id="rId114" Target="https://doi.org/10.1007/s13311-019-00824-2" TargetMode="External" /><Relationship Type="http://schemas.openxmlformats.org/officeDocument/2006/relationships/hyperlink" Id="rId145" Target="https://doi.org/10.1016/0899-3289(95)90006-3" TargetMode="External" /><Relationship Type="http://schemas.openxmlformats.org/officeDocument/2006/relationships/hyperlink" Id="rId95" Target="https://doi.org/10.1016/j.drugalcdep.2013.09.007" TargetMode="External" /><Relationship Type="http://schemas.openxmlformats.org/officeDocument/2006/relationships/hyperlink" Id="rId147" Target="https://doi.org/10.1016/j.ijforecast.2018.11.010" TargetMode="External" /><Relationship Type="http://schemas.openxmlformats.org/officeDocument/2006/relationships/hyperlink" Id="rId143" Target="https://doi.org/10.1016/s0306-4603(01)00284-2" TargetMode="External" /><Relationship Type="http://schemas.openxmlformats.org/officeDocument/2006/relationships/hyperlink" Id="rId105" Target="https://doi.org/10.1023/A:1008987426876" TargetMode="External" /><Relationship Type="http://schemas.openxmlformats.org/officeDocument/2006/relationships/hyperlink" Id="rId101" Target="https://doi.org/10.1038/s41593-020-0636-4" TargetMode="External" /><Relationship Type="http://schemas.openxmlformats.org/officeDocument/2006/relationships/hyperlink" Id="rId122" Target="https://doi.org/10.1080/00045608.2010.534712" TargetMode="External" /><Relationship Type="http://schemas.openxmlformats.org/officeDocument/2006/relationships/hyperlink" Id="rId97" Target="https://doi.org/10.1080/0735648X.2024.2396406" TargetMode="External" /><Relationship Type="http://schemas.openxmlformats.org/officeDocument/2006/relationships/hyperlink" Id="rId138" Target="https://doi.org/10.1080/13658816.2015.1100731" TargetMode="External" /><Relationship Type="http://schemas.openxmlformats.org/officeDocument/2006/relationships/hyperlink" Id="rId110" Target="https://doi.org/10.1080/13658816.2018.1503276" TargetMode="External" /><Relationship Type="http://schemas.openxmlformats.org/officeDocument/2006/relationships/hyperlink" Id="rId131" Target="https://doi.org/10.1093/schbul/sbaa121" TargetMode="External" /><Relationship Type="http://schemas.openxmlformats.org/officeDocument/2006/relationships/hyperlink" Id="rId124" Target="https://doi.org/10.1111/j.1360-0443.2006.01310.x" TargetMode="External" /><Relationship Type="http://schemas.openxmlformats.org/officeDocument/2006/relationships/hyperlink" Id="rId91" Target="https://doi.org/10.1136/bmj-2023-078378" TargetMode="External" /><Relationship Type="http://schemas.openxmlformats.org/officeDocument/2006/relationships/hyperlink" Id="rId82" Target="https://doi.org/10.1186/s12889-017-4358-9" TargetMode="External" /><Relationship Type="http://schemas.openxmlformats.org/officeDocument/2006/relationships/hyperlink" Id="rId126" Target="https://doi.org/10.15288/jsad.2016.77.68" TargetMode="External" /><Relationship Type="http://schemas.openxmlformats.org/officeDocument/2006/relationships/hyperlink" Id="rId85" Target="https://doi.org/10.20900/jpbs.20210002" TargetMode="External" /><Relationship Type="http://schemas.openxmlformats.org/officeDocument/2006/relationships/hyperlink" Id="rId140" Target="https://doi.org/10.2105/AJPH.2013.301306" TargetMode="External" /><Relationship Type="http://schemas.openxmlformats.org/officeDocument/2006/relationships/hyperlink" Id="rId87" Target="https://doi.org/10.21231/GNT1-HW21" TargetMode="External" /><Relationship Type="http://schemas.openxmlformats.org/officeDocument/2006/relationships/hyperlink" Id="rId103" Target="https://doi.org/10.2174/1874941001003010076" TargetMode="External" /><Relationship Type="http://schemas.openxmlformats.org/officeDocument/2006/relationships/hyperlink" Id="rId93" Target="https://doi.org/10.2196/13209" TargetMode="External" /><Relationship Type="http://schemas.openxmlformats.org/officeDocument/2006/relationships/hyperlink" Id="rId149" Target="https://doi.org/10.2196/81697" TargetMode="External" /><Relationship Type="http://schemas.openxmlformats.org/officeDocument/2006/relationships/hyperlink" Id="rId128" Target="https://doi.org/10.2196/mhealth.5787" TargetMode="External" /><Relationship Type="http://schemas.openxmlformats.org/officeDocument/2006/relationships/hyperlink" Id="rId89" Target="https://doi.org/10.3386/w27072" TargetMode="External" /><Relationship Type="http://schemas.openxmlformats.org/officeDocument/2006/relationships/hyperlink" Id="rId136" Target="https://doi.org/10.3390/ijerph20115984" TargetMode="External" /><Relationship Type="http://schemas.openxmlformats.org/officeDocument/2006/relationships/hyperlink" Id="rId133" Target="https://doi.org/10.4108/icst.pervasivehealth.2015.259034" TargetMode="External" /><Relationship Type="http://schemas.openxmlformats.org/officeDocument/2006/relationships/hyperlink" Id="rId20" Target="https://jjcurtin.github.io/study_gps/index-preview.html" TargetMode="External" /><Relationship Type="http://schemas.openxmlformats.org/officeDocument/2006/relationships/hyperlink" Id="rId39" Target="https://jjcurtin.github.io/study_gps/notebooks\mak_figures-preview.html#cell-fig-1" TargetMode="External" /><Relationship Type="http://schemas.openxmlformats.org/officeDocument/2006/relationships/hyperlink" Id="rId44" Target="https://jjcurtin.github.io/study_gps/notebooks\mak_figures-preview.html#cell-fig-2" TargetMode="External" /><Relationship Type="http://schemas.openxmlformats.org/officeDocument/2006/relationships/hyperlink" Id="rId49" Target="https://jjcurtin.github.io/study_gps/notebooks\mak_figures-preview.html#cell-fig-3" TargetMode="External" /><Relationship Type="http://schemas.openxmlformats.org/officeDocument/2006/relationships/hyperlink" Id="rId56" Target="https://jjcurtin.github.io/study_gps/notebooks\mak_figures-preview.html#cell-fig-4" TargetMode="External" /><Relationship Type="http://schemas.openxmlformats.org/officeDocument/2006/relationships/hyperlink" Id="rId64" Target="https://jjcurtin.github.io/study_gps/notebooks\mak_figures-preview.html#cell-fig-5" TargetMode="External" /><Relationship Type="http://schemas.openxmlformats.org/officeDocument/2006/relationships/hyperlink" Id="rId71" Target="https://jjcurtin.github.io/study_gps/notebooks\mak_figures-preview.html#cell-fig-6" TargetMode="External" /><Relationship Type="http://schemas.openxmlformats.org/officeDocument/2006/relationships/hyperlink" Id="rId33" Target="https://jjcurtin.github.io/study_gps/notebooks\mak_tables-preview.html#cell-tbl-1" TargetMode="External" /><Relationship Type="http://schemas.openxmlformats.org/officeDocument/2006/relationships/hyperlink" Id="rId51" Target="https://jjcurtin.github.io/study_gps/notebooks\mak_tables-preview.html#cell-tbl-2" TargetMode="External" /><Relationship Type="http://schemas.openxmlformats.org/officeDocument/2006/relationships/hyperlink" Id="rId58" Target="https://jjcurtin.github.io/study_gps/notebooks\mak_tables-preview.html#cell-tbl-3" TargetMode="External" /><Relationship Type="http://schemas.openxmlformats.org/officeDocument/2006/relationships/hyperlink" Id="rId66" Target="https://jjcurtin.github.io/study_gps/notebooks\mak_tables-preview.html#cell-tbl-4" TargetMode="External" /><Relationship Type="http://schemas.openxmlformats.org/officeDocument/2006/relationships/hyperlink" Id="rId73" Target="https://jjcurtin.github.io/study_gps/notebooks\mak_tables-preview.html#cell-tbl-5" TargetMode="External" /><Relationship Type="http://schemas.openxmlformats.org/officeDocument/2006/relationships/hyperlink" Id="rId118" Target="https://www.ncbi.nlm.nih.gov/pmc/articles/PMC3625994" TargetMode="External" /><Relationship Type="http://schemas.openxmlformats.org/officeDocument/2006/relationships/hyperlink" Id="rId112" Target="https://www.ncbi.nlm.nih.gov/pubmed/10890810" TargetMode="External" /><Relationship Type="http://schemas.openxmlformats.org/officeDocument/2006/relationships/hyperlink" Id="rId120" Target="https://www.ncbi.nlm.nih.gov/pubmed/14680015"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01/jamapsychiatry.2013.4642" TargetMode="External" /><Relationship Type="http://schemas.openxmlformats.org/officeDocument/2006/relationships/hyperlink" Id="rId107" Target="https://doi.org/10.1007/978-1-4614-6849-3" TargetMode="External" /><Relationship Type="http://schemas.openxmlformats.org/officeDocument/2006/relationships/hyperlink" Id="rId114" Target="https://doi.org/10.1007/s13311-019-00824-2" TargetMode="External" /><Relationship Type="http://schemas.openxmlformats.org/officeDocument/2006/relationships/hyperlink" Id="rId145" Target="https://doi.org/10.1016/0899-3289(95)90006-3" TargetMode="External" /><Relationship Type="http://schemas.openxmlformats.org/officeDocument/2006/relationships/hyperlink" Id="rId95" Target="https://doi.org/10.1016/j.drugalcdep.2013.09.007" TargetMode="External" /><Relationship Type="http://schemas.openxmlformats.org/officeDocument/2006/relationships/hyperlink" Id="rId147" Target="https://doi.org/10.1016/j.ijforecast.2018.11.010" TargetMode="External" /><Relationship Type="http://schemas.openxmlformats.org/officeDocument/2006/relationships/hyperlink" Id="rId143" Target="https://doi.org/10.1016/s0306-4603(01)00284-2" TargetMode="External" /><Relationship Type="http://schemas.openxmlformats.org/officeDocument/2006/relationships/hyperlink" Id="rId105" Target="https://doi.org/10.1023/A:1008987426876" TargetMode="External" /><Relationship Type="http://schemas.openxmlformats.org/officeDocument/2006/relationships/hyperlink" Id="rId101" Target="https://doi.org/10.1038/s41593-020-0636-4" TargetMode="External" /><Relationship Type="http://schemas.openxmlformats.org/officeDocument/2006/relationships/hyperlink" Id="rId122" Target="https://doi.org/10.1080/00045608.2010.534712" TargetMode="External" /><Relationship Type="http://schemas.openxmlformats.org/officeDocument/2006/relationships/hyperlink" Id="rId97" Target="https://doi.org/10.1080/0735648X.2024.2396406" TargetMode="External" /><Relationship Type="http://schemas.openxmlformats.org/officeDocument/2006/relationships/hyperlink" Id="rId138" Target="https://doi.org/10.1080/13658816.2015.1100731" TargetMode="External" /><Relationship Type="http://schemas.openxmlformats.org/officeDocument/2006/relationships/hyperlink" Id="rId110" Target="https://doi.org/10.1080/13658816.2018.1503276" TargetMode="External" /><Relationship Type="http://schemas.openxmlformats.org/officeDocument/2006/relationships/hyperlink" Id="rId131" Target="https://doi.org/10.1093/schbul/sbaa121" TargetMode="External" /><Relationship Type="http://schemas.openxmlformats.org/officeDocument/2006/relationships/hyperlink" Id="rId124" Target="https://doi.org/10.1111/j.1360-0443.2006.01310.x" TargetMode="External" /><Relationship Type="http://schemas.openxmlformats.org/officeDocument/2006/relationships/hyperlink" Id="rId91" Target="https://doi.org/10.1136/bmj-2023-078378" TargetMode="External" /><Relationship Type="http://schemas.openxmlformats.org/officeDocument/2006/relationships/hyperlink" Id="rId82" Target="https://doi.org/10.1186/s12889-017-4358-9" TargetMode="External" /><Relationship Type="http://schemas.openxmlformats.org/officeDocument/2006/relationships/hyperlink" Id="rId126" Target="https://doi.org/10.15288/jsad.2016.77.68" TargetMode="External" /><Relationship Type="http://schemas.openxmlformats.org/officeDocument/2006/relationships/hyperlink" Id="rId85" Target="https://doi.org/10.20900/jpbs.20210002" TargetMode="External" /><Relationship Type="http://schemas.openxmlformats.org/officeDocument/2006/relationships/hyperlink" Id="rId140" Target="https://doi.org/10.2105/AJPH.2013.301306" TargetMode="External" /><Relationship Type="http://schemas.openxmlformats.org/officeDocument/2006/relationships/hyperlink" Id="rId87" Target="https://doi.org/10.21231/GNT1-HW21" TargetMode="External" /><Relationship Type="http://schemas.openxmlformats.org/officeDocument/2006/relationships/hyperlink" Id="rId103" Target="https://doi.org/10.2174/1874941001003010076" TargetMode="External" /><Relationship Type="http://schemas.openxmlformats.org/officeDocument/2006/relationships/hyperlink" Id="rId93" Target="https://doi.org/10.2196/13209" TargetMode="External" /><Relationship Type="http://schemas.openxmlformats.org/officeDocument/2006/relationships/hyperlink" Id="rId149" Target="https://doi.org/10.2196/81697" TargetMode="External" /><Relationship Type="http://schemas.openxmlformats.org/officeDocument/2006/relationships/hyperlink" Id="rId128" Target="https://doi.org/10.2196/mhealth.5787" TargetMode="External" /><Relationship Type="http://schemas.openxmlformats.org/officeDocument/2006/relationships/hyperlink" Id="rId89" Target="https://doi.org/10.3386/w27072" TargetMode="External" /><Relationship Type="http://schemas.openxmlformats.org/officeDocument/2006/relationships/hyperlink" Id="rId136" Target="https://doi.org/10.3390/ijerph20115984" TargetMode="External" /><Relationship Type="http://schemas.openxmlformats.org/officeDocument/2006/relationships/hyperlink" Id="rId133" Target="https://doi.org/10.4108/icst.pervasivehealth.2015.259034" TargetMode="External" /><Relationship Type="http://schemas.openxmlformats.org/officeDocument/2006/relationships/hyperlink" Id="rId20" Target="https://jjcurtin.github.io/study_gps/index-preview.html" TargetMode="External" /><Relationship Type="http://schemas.openxmlformats.org/officeDocument/2006/relationships/hyperlink" Id="rId39" Target="https://jjcurtin.github.io/study_gps/notebooks\mak_figures-preview.html#cell-fig-1" TargetMode="External" /><Relationship Type="http://schemas.openxmlformats.org/officeDocument/2006/relationships/hyperlink" Id="rId44" Target="https://jjcurtin.github.io/study_gps/notebooks\mak_figures-preview.html#cell-fig-2" TargetMode="External" /><Relationship Type="http://schemas.openxmlformats.org/officeDocument/2006/relationships/hyperlink" Id="rId49" Target="https://jjcurtin.github.io/study_gps/notebooks\mak_figures-preview.html#cell-fig-3" TargetMode="External" /><Relationship Type="http://schemas.openxmlformats.org/officeDocument/2006/relationships/hyperlink" Id="rId56" Target="https://jjcurtin.github.io/study_gps/notebooks\mak_figures-preview.html#cell-fig-4" TargetMode="External" /><Relationship Type="http://schemas.openxmlformats.org/officeDocument/2006/relationships/hyperlink" Id="rId64" Target="https://jjcurtin.github.io/study_gps/notebooks\mak_figures-preview.html#cell-fig-5" TargetMode="External" /><Relationship Type="http://schemas.openxmlformats.org/officeDocument/2006/relationships/hyperlink" Id="rId71" Target="https://jjcurtin.github.io/study_gps/notebooks\mak_figures-preview.html#cell-fig-6" TargetMode="External" /><Relationship Type="http://schemas.openxmlformats.org/officeDocument/2006/relationships/hyperlink" Id="rId33" Target="https://jjcurtin.github.io/study_gps/notebooks\mak_tables-preview.html#cell-tbl-1" TargetMode="External" /><Relationship Type="http://schemas.openxmlformats.org/officeDocument/2006/relationships/hyperlink" Id="rId51" Target="https://jjcurtin.github.io/study_gps/notebooks\mak_tables-preview.html#cell-tbl-2" TargetMode="External" /><Relationship Type="http://schemas.openxmlformats.org/officeDocument/2006/relationships/hyperlink" Id="rId58" Target="https://jjcurtin.github.io/study_gps/notebooks\mak_tables-preview.html#cell-tbl-3" TargetMode="External" /><Relationship Type="http://schemas.openxmlformats.org/officeDocument/2006/relationships/hyperlink" Id="rId66" Target="https://jjcurtin.github.io/study_gps/notebooks\mak_tables-preview.html#cell-tbl-4" TargetMode="External" /><Relationship Type="http://schemas.openxmlformats.org/officeDocument/2006/relationships/hyperlink" Id="rId73" Target="https://jjcurtin.github.io/study_gps/notebooks\mak_tables-preview.html#cell-tbl-5" TargetMode="External" /><Relationship Type="http://schemas.openxmlformats.org/officeDocument/2006/relationships/hyperlink" Id="rId118" Target="https://www.ncbi.nlm.nih.gov/pmc/articles/PMC3625994" TargetMode="External" /><Relationship Type="http://schemas.openxmlformats.org/officeDocument/2006/relationships/hyperlink" Id="rId112" Target="https://www.ncbi.nlm.nih.gov/pubmed/10890810" TargetMode="External" /><Relationship Type="http://schemas.openxmlformats.org/officeDocument/2006/relationships/hyperlink" Id="rId120" Target="https://www.ncbi.nlm.nih.gov/pubmed/146800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and Equity of Contextualized Geolocation Data for Lapse Prediction in Alcohol Use Disorder</dc:title>
  <dc:creator>Claire Punturieri; Kendra Wyant; Christopher Janssen; John J. Curtin</dc:creator>
  <cp:keywords>Substance use disorders, Precision mental health, Geolocation, Algorithmic Fairness</cp:keywords>
  <dcterms:created xsi:type="dcterms:W3CDTF">2026-09-05T15:23:33Z</dcterms:created>
  <dcterms:modified xsi:type="dcterms:W3CDTF">2026-09-05T15:23:33Z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Insert here.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https://raw.githubusercontent.com/citation-style-language/styles/master/apa.csl</vt:lpwstr>
  </property>
  <property fmtid="{D5CDD505-2E9C-101B-9397-08002B2CF9AE}" pid="11" name="date">
    <vt:lpwstr>2026-09-05</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Insert here.</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