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Feasability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2024-03-27</w:t>
      </w:r>
    </w:p>
    <w:p>
      <w:pPr>
        <w:pStyle w:val="AbstractTitle"/>
      </w:pPr>
      <w:r>
        <w:t xml:space="preserve">Abstract</w:t>
      </w:r>
    </w:p>
    <w:p>
      <w:pPr>
        <w:pStyle w:val="Abstract"/>
      </w:pPr>
      <w:r>
        <w:t xml:space="preserve">Claire’s</w:t>
      </w:r>
      <w:r>
        <w:t xml:space="preserve"> </w:t>
      </w:r>
      <w:r>
        <w:t xml:space="preserve">FYP!</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Incorrect predictions of lapse (or lack thereof) could result in both poorer outcomes and eroded trust of these tools. Assessing algorithmic fairness during the development of smart DTx seeks to ensure that the same standard of care is provided to everyone utilizing it.</w:t>
      </w:r>
    </w:p>
    <w:p>
      <w:pPr>
        <w:pStyle w:val="BodyText"/>
      </w:pPr>
      <w:r>
        <w:t xml:space="preserve">The inputs to these algorithms are also important to consider.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each day.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model using both algorithmic fairness metrics for discrete subgroups and statistical modeling that accounts for cross-group membership (i.e., a more intersectional approach).</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 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marital status, education, and sex–. Fairness will be evaluated using metrics calculated across discrete subgroups.</w:t>
      </w:r>
    </w:p>
    <w:bookmarkEnd w:id="20"/>
    <w:bookmarkStart w:id="25" w:name="significance"/>
    <w:p>
      <w:pPr>
        <w:pStyle w:val="Heading2"/>
      </w:pPr>
      <w:r>
        <w:t xml:space="preserve">Significance</w:t>
      </w:r>
    </w:p>
    <w:p>
      <w:pPr>
        <w:pStyle w:val="FirstParagraph"/>
      </w:pPr>
      <w:r>
        <w:t xml:space="preserve">Chronic, recurrent patterns of relapse back to harmful alcohol use are, for many individuals with AUD, a common occurrence during the recovery process</w:t>
      </w:r>
      <w:r>
        <w:t xml:space="preserve"> </w:t>
      </w:r>
      <w:r>
        <w:t xml:space="preserve">(McKay and Hiller-Sturmhofel 2011; Moos and Moos 2006)</w:t>
      </w:r>
      <w:r>
        <w:t xml:space="preserve">. Lapses, or single instances of goal-inconsistent use that may lead to relapse, are therefore an important intervention target</w:t>
      </w:r>
      <w:r>
        <w:t xml:space="preserve"> </w:t>
      </w:r>
      <w:r>
        <w:t xml:space="preserve">(Witkiewitz and Marlatt 2004)</w:t>
      </w:r>
      <w:r>
        <w:t xml:space="preserve">. However, the factors that may precipitate a lapse change both person-by-person and moment-by-moment, highlighting the potential utility of smart DTx in this space and, at a necessarily earlier step, the need for algorithm development to accurately predict these outcomes. Understanding not only when a lapse may happen, but also why, are both key components to facilitate optimally effective intervention. Because it is dynamic and continuous, measures which seek to quantify risk of lapse need to be able to keep up with appropriate levels of granularity.</w:t>
      </w:r>
    </w:p>
    <w:bookmarkStart w:id="21"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relating to substance-associated contexts in several treatment strategies like mindfulness-based relapse prevention</w:t>
      </w:r>
      <w:r>
        <w:t xml:space="preserve"> </w:t>
      </w:r>
      <w:r>
        <w:t xml:space="preserve">(LeCocq et al. 2020)</w:t>
      </w:r>
      <w:r>
        <w:t xml:space="preserve">. These findings underscore the potential wealth of information relating to lapse risk that an individual’s location can provide.</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across individuals. For example, for one person, spending time in locations associated with negative affect may be a strong trigger, whereas for another it may be a lack of contact with others. A key benefit to using location data to predict lapse is its ability to cast a wide net across potential triggers and, therefore, to be applicable to a wide range of people.</w:t>
      </w:r>
    </w:p>
    <w:bookmarkEnd w:id="21"/>
    <w:bookmarkStart w:id="22" w:name="geolocation-data-for-lapse-prediction"/>
    <w:p>
      <w:pPr>
        <w:pStyle w:val="Heading3"/>
      </w:pPr>
      <w:r>
        <w:t xml:space="preserve">Geolocation data for lapse prediction</w:t>
      </w:r>
    </w:p>
    <w:p>
      <w:pPr>
        <w:pStyle w:val="FirstParagraph"/>
      </w:pPr>
      <w:r>
        <w:t xml:space="preserve">Geolocation data, also referred to as global positioning system (GPS) data, are data which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w:t>
      </w:r>
      <w:r>
        <w:t xml:space="preserve"> </w:t>
      </w:r>
      <w:r>
        <w:t xml:space="preserve">“</w:t>
      </w:r>
      <w:r>
        <w:t xml:space="preserve">You are entering a high-risk zone</w:t>
      </w:r>
      <w:r>
        <w:t xml:space="preserve">”</w:t>
      </w:r>
      <w:r>
        <w:t xml:space="preserve">).</w:t>
      </w:r>
    </w:p>
    <w:p>
      <w:pPr>
        <w:pStyle w:val="BodyText"/>
      </w:pPr>
      <w:r>
        <w:t xml:space="preserve">On the other hand, contrary to the substance use literature, affective scientists have focused more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 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the emotional valence – are notably lacking in the substance use geolocation literature, but have historically been captured in other ways such as by way of ecological momentary assessment (EMA)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as opposed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w:t>
      </w:r>
    </w:p>
    <w:p>
      <w:pPr>
        <w:pStyle w:val="BodyText"/>
      </w:pPr>
      <w:r>
        <w:t xml:space="preserve">My first-year project will address a crucial gap in the literature between clinical science subdisciplines by applying feature engineering techniques both from the substance use and affective science literatures, therefore providing a novel, dynamic lens to the use of geolocation data in predicting lapse. Moreover, it will implement a lower burden, finer-grained temporal perspective compared to other techniques like EMA. Taking both of these limitations of previous work into account, my first-year project will develop a sensing system that can predict lapse day-to-day utilizing a broad range of low-burden features which capture facets of both movement and mood.</w:t>
      </w:r>
    </w:p>
    <w:bookmarkEnd w:id="22"/>
    <w:bookmarkStart w:id="23"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its greatest weakness lies in the necessary reliance on these data. In the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gender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SUDs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measures to data which are known to contain these disparities in the context of substance use, geolocation data, in an effort to critically examine my best performing model.</w:t>
      </w:r>
    </w:p>
    <w:bookmarkEnd w:id="23"/>
    <w:bookmarkStart w:id="24" w:name="current-study"/>
    <w:p>
      <w:pPr>
        <w:pStyle w:val="Heading3"/>
      </w:pPr>
      <w:r>
        <w:t xml:space="preserve">Current study</w:t>
      </w:r>
    </w:p>
    <w:p>
      <w:pPr>
        <w:pStyle w:val="FirstParagraph"/>
      </w:pPr>
      <w:r>
        <w:t xml:space="preserve">My proposed first-year project will apply machine learning to predict lapse in AUD utilizing geolocation data. The first goal (</w:t>
      </w:r>
      <w:r>
        <w:rPr>
          <w:bCs/>
          <w:b/>
        </w:rPr>
        <w:t xml:space="preserve">Aims 1 and 2</w:t>
      </w:r>
      <w:r>
        <w:t xml:space="preserve">) is to build and evaluate a model to predict oncoming lapse with an almost entirely passive data stream for individuals with a recovery goal of abstinence. The second goal (</w:t>
      </w:r>
      <w:r>
        <w:rPr>
          <w:bCs/>
          <w:b/>
        </w:rPr>
        <w:t xml:space="preserve">Aim 3</w:t>
      </w:r>
      <w:r>
        <w:t xml:space="preserve">) is to critically examine the fairness of the best performing model.</w:t>
      </w:r>
    </w:p>
    <w:bookmarkEnd w:id="24"/>
    <w:bookmarkEnd w:id="25"/>
    <w:bookmarkStart w:id="39" w:name="approach"/>
    <w:p>
      <w:pPr>
        <w:pStyle w:val="Heading2"/>
      </w:pPr>
      <w:r>
        <w:t xml:space="preserve">Approach</w:t>
      </w:r>
    </w:p>
    <w:bookmarkStart w:id="26" w:name="overview"/>
    <w:p>
      <w:pPr>
        <w:pStyle w:val="Heading3"/>
      </w:pPr>
      <w:r>
        <w:t xml:space="preserve">Overview</w:t>
      </w:r>
    </w:p>
    <w:p>
      <w:pPr>
        <w:pStyle w:val="FirstParagraph"/>
      </w:pPr>
      <w:r>
        <w:t xml:space="preserve">For my first year project, I will conduct analyses using a subset of data collected between 2017 and 2019 under a larger grant funded though the National Institute of Alcohol Abuse and Alcoholism (R01 AA024391). As such, the following approach section represents aspects relevant only to my first year project, though other data were collected under this grant.</w:t>
      </w:r>
    </w:p>
    <w:bookmarkEnd w:id="26"/>
    <w:bookmarkStart w:id="27"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7"/>
    <w:bookmarkStart w:id="28"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8"/>
    <w:bookmarkStart w:id="34" w:name="measures"/>
    <w:p>
      <w:pPr>
        <w:pStyle w:val="Heading3"/>
      </w:pPr>
      <w:r>
        <w:t xml:space="preserve">Measures</w:t>
      </w:r>
    </w:p>
    <w:bookmarkStart w:id="29"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29"/>
    <w:bookmarkStart w:id="30"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0"/>
    <w:bookmarkStart w:id="31"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1"/>
    <w:bookmarkStart w:id="32"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exacerbate/magnify existing treatment disparities.</w:t>
      </w:r>
    </w:p>
    <w:bookmarkEnd w:id="32"/>
    <w:bookmarkStart w:id="33"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frequent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t xml:space="preserve">“</w:t>
      </w:r>
      <w:r>
        <w:t xml:space="preserve">Have you drank any alcohol that you have not yet reported?</w:t>
      </w:r>
      <w: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3"/>
    <w:bookmarkEnd w:id="34"/>
    <w:bookmarkStart w:id="35" w:name="feature-engineering"/>
    <w:p>
      <w:pPr>
        <w:pStyle w:val="Heading3"/>
      </w:pPr>
      <w:r>
        <w:t xml:space="preserve">Feature engineering</w:t>
      </w:r>
    </w:p>
    <w:p>
      <w:pPr>
        <w:pStyle w:val="FirstParagraph"/>
      </w:pPr>
      <w:r>
        <w:t xml:space="preserve">Feature engineering is the process of creating variables (or</w:t>
      </w:r>
      <w:r>
        <w:t xml:space="preserve"> </w:t>
      </w:r>
      <w:r>
        <w:t xml:space="preserve">“</w:t>
      </w:r>
      <w:r>
        <w:t xml:space="preserve">features</w:t>
      </w:r>
      <w: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5"/>
    <w:bookmarkStart w:id="36" w:name="algorithm-development-performance"/>
    <w:p>
      <w:pPr>
        <w:pStyle w:val="Heading3"/>
      </w:pPr>
      <w:r>
        <w:t xml:space="preserve">Algorithm development &amp; performance</w:t>
      </w:r>
    </w:p>
    <w:p>
      <w:pPr>
        <w:pStyle w:val="FirstParagraph"/>
      </w:pPr>
      <w:r>
        <w:t xml:space="preserve">The first aim of my project is to develop a machine learning model which can predict lapse from contextualized geolocation data. To accomplish this, first, several classification candidate machine learning algorithms will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 Additivity (SHAP values for each feature can be computed independently and summed); Efficiency (the sum of SHAP values across features must add up to the difference between predicted and observed outcomes for each observation); Symmetry (SHAP values for two features should be equal if the two features contribute equally to all possible coalitions); and Dummy (a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confidence intervals (CIs) for auROC between the baseline (time-of-day) and geolocation models.</w:t>
      </w:r>
    </w:p>
    <w:bookmarkEnd w:id="36"/>
    <w:bookmarkStart w:id="37"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Additionally, I propose to conduct further analyses in order to assess algorithmic fairness taking into account the intersection of multiple identities when examining model performance</w:t>
      </w:r>
      <w:r>
        <w:t xml:space="preserve"> </w:t>
      </w:r>
      <w:r>
        <w:t xml:space="preserve">(e.g., Foulds et al. 2020)</w:t>
      </w:r>
      <w:r>
        <w:t xml:space="preserve">. A Bayesian hierarchical generalized linear model will be used to estimate the posterior probability distributions and 95% Bayesian CIs for auROC across different subgroups.</w:t>
      </w:r>
    </w:p>
    <w:bookmarkEnd w:id="37"/>
    <w:bookmarkStart w:id="38" w:name="contribution-to-theory"/>
    <w:p>
      <w:pPr>
        <w:pStyle w:val="Heading3"/>
      </w:pPr>
      <w:r>
        <w:t xml:space="preserve">Contribution to Theory</w:t>
      </w:r>
    </w:p>
    <w:p>
      <w:pPr>
        <w:pStyle w:val="FirstParagraph"/>
      </w:pPr>
      <w:r>
        <w:t xml:space="preserve">If successful, this study will contribute both to our ability to predict, and therefore our understanding of, lapse in AUD as well as how we approach designing equitable machine learning models. First, it will identify the most predictive features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research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8"/>
    <w:bookmarkEnd w:id="39"/>
    <w:bookmarkStart w:id="114" w:name="references"/>
    <w:p>
      <w:pPr>
        <w:pStyle w:val="Heading2"/>
      </w:pPr>
      <w:r>
        <w:t xml:space="preserve">References</w:t>
      </w:r>
    </w:p>
    <w:bookmarkStart w:id="113" w:name="refs"/>
    <w:bookmarkStart w:id="41" w:name="ref-areanMobileTechnologyMental2016"/>
    <w:p>
      <w:pPr>
        <w:pStyle w:val="Bibliography"/>
      </w:pPr>
      <w:r>
        <w:t xml:space="preserve">Areàn, Patricia A., Kien Hoa Ly, and Gerhard Andersson. 2016.</w:t>
      </w:r>
      <w:r>
        <w:t xml:space="preserve"> </w:t>
      </w:r>
      <w:r>
        <w:t xml:space="preserve">“</w:t>
      </w:r>
      <w:hyperlink r:id="rId40">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1"/>
    <w:bookmarkStart w:id="43"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2">
        <w:r>
          <w:rPr>
            <w:rStyle w:val="Hyperlink"/>
          </w:rPr>
          <w:t xml:space="preserve">https://doi.org/10.1186/s12889-017-4358-9</w:t>
        </w:r>
      </w:hyperlink>
      <w:r>
        <w:t xml:space="preserve">.</w:t>
      </w:r>
    </w:p>
    <w:bookmarkEnd w:id="43"/>
    <w:bookmarkStart w:id="45"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44">
        <w:r>
          <w:rPr>
            <w:rStyle w:val="Hyperlink"/>
          </w:rPr>
          <w:t xml:space="preserve">https://doi.org/10.1371/journal.pone.0224127</w:t>
        </w:r>
      </w:hyperlink>
      <w:r>
        <w:t xml:space="preserve">.</w:t>
      </w:r>
    </w:p>
    <w:bookmarkEnd w:id="45"/>
    <w:bookmarkStart w:id="47"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6">
        <w:r>
          <w:rPr>
            <w:rStyle w:val="Hyperlink"/>
          </w:rPr>
          <w:t xml:space="preserve">https://doi.org/10.20900/jpbs.20210002</w:t>
        </w:r>
      </w:hyperlink>
      <w:r>
        <w:t xml:space="preserve">.</w:t>
      </w:r>
    </w:p>
    <w:bookmarkEnd w:id="47"/>
    <w:bookmarkStart w:id="49"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48">
        <w:r>
          <w:rPr>
            <w:rStyle w:val="Hyperlink"/>
          </w:rPr>
          <w:t xml:space="preserve">https://doi.org/10.2196/13209</w:t>
        </w:r>
      </w:hyperlink>
      <w:r>
        <w:t xml:space="preserve">.</w:t>
      </w:r>
    </w:p>
    <w:bookmarkEnd w:id="49"/>
    <w:bookmarkStart w:id="51"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0">
        <w:r>
          <w:rPr>
            <w:rStyle w:val="Hyperlink"/>
          </w:rPr>
          <w:t xml:space="preserve">https://doi.org/10.1126/sciadv.aao5580</w:t>
        </w:r>
      </w:hyperlink>
      <w:r>
        <w:t xml:space="preserve">.</w:t>
      </w:r>
    </w:p>
    <w:bookmarkEnd w:id="51"/>
    <w:bookmarkStart w:id="53"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2">
        <w:r>
          <w:rPr>
            <w:rStyle w:val="Hyperlink"/>
          </w:rPr>
          <w:t xml:space="preserve">https://doi.org/10.1016/j.drugalcdep.2013.09.007</w:t>
        </w:r>
      </w:hyperlink>
      <w:r>
        <w:t xml:space="preserve">.</w:t>
      </w:r>
    </w:p>
    <w:bookmarkEnd w:id="53"/>
    <w:bookmarkStart w:id="55" w:name="X8268e89b852641624c0a9fc91142f99713572cc"/>
    <w:p>
      <w:pPr>
        <w:pStyle w:val="Bibliography"/>
      </w:pPr>
      <w:r>
        <w:t xml:space="preserve">Foulds, James R., Rashidul Islam, Kamrun Naher Keya, and Shimei Pan. 2020.</w:t>
      </w:r>
      <w:r>
        <w:t xml:space="preserve"> </w:t>
      </w:r>
      <w:r>
        <w:t xml:space="preserve">“An</w:t>
      </w:r>
      <w:r>
        <w:t xml:space="preserve"> </w:t>
      </w:r>
      <w:r>
        <w:t xml:space="preserve">Intersectional Definition</w:t>
      </w:r>
      <w:r>
        <w:t xml:space="preserve"> </w:t>
      </w:r>
      <w:r>
        <w:t xml:space="preserve">of</w:t>
      </w:r>
      <w:r>
        <w:t xml:space="preserve"> </w:t>
      </w:r>
      <w:r>
        <w:t xml:space="preserve">Fairness</w:t>
      </w:r>
      <w:r>
        <w:t xml:space="preserve">.”</w:t>
      </w:r>
      <w:r>
        <w:t xml:space="preserve"> </w:t>
      </w:r>
      <w:r>
        <w:t xml:space="preserve">In</w:t>
      </w:r>
      <w:r>
        <w:t xml:space="preserve"> </w:t>
      </w:r>
      <w:r>
        <w:rPr>
          <w:iCs/>
          <w:i/>
        </w:rPr>
        <w:t xml:space="preserve">2020</w:t>
      </w:r>
      <w:r>
        <w:rPr>
          <w:iCs/>
          <w:i/>
        </w:rPr>
        <w:t xml:space="preserve"> </w:t>
      </w:r>
      <w:r>
        <w:rPr>
          <w:iCs/>
          <w:i/>
        </w:rPr>
        <w:t xml:space="preserve">IEEE</w:t>
      </w:r>
      <w:r>
        <w:rPr>
          <w:iCs/>
          <w:i/>
        </w:rPr>
        <w:t xml:space="preserve"> </w:t>
      </w:r>
      <w:r>
        <w:rPr>
          <w:iCs/>
          <w:i/>
        </w:rPr>
        <w:t xml:space="preserve">36th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Data Engineering</w:t>
      </w:r>
      <w:r>
        <w:rPr>
          <w:iCs/>
          <w:i/>
        </w:rPr>
        <w:t xml:space="preserve"> </w:t>
      </w:r>
      <w:r>
        <w:rPr>
          <w:iCs/>
          <w:i/>
        </w:rPr>
        <w:t xml:space="preserve">(</w:t>
      </w:r>
      <w:r>
        <w:rPr>
          <w:iCs/>
          <w:i/>
        </w:rPr>
        <w:t xml:space="preserve">ICDE</w:t>
      </w:r>
      <w:r>
        <w:rPr>
          <w:iCs/>
          <w:i/>
        </w:rPr>
        <w:t xml:space="preserve">)</w:t>
      </w:r>
      <w:r>
        <w:t xml:space="preserve">, 1918–21. Dallas, TX, USA: IEEE.</w:t>
      </w:r>
      <w:r>
        <w:t xml:space="preserve"> </w:t>
      </w:r>
      <w:hyperlink r:id="rId54">
        <w:r>
          <w:rPr>
            <w:rStyle w:val="Hyperlink"/>
          </w:rPr>
          <w:t xml:space="preserve">https://doi.org/10.1109/ICDE48307.2020.00203</w:t>
        </w:r>
      </w:hyperlink>
      <w:r>
        <w:t xml:space="preserve">.</w:t>
      </w:r>
    </w:p>
    <w:bookmarkEnd w:id="55"/>
    <w:bookmarkStart w:id="57"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56">
        <w:r>
          <w:rPr>
            <w:rStyle w:val="Hyperlink"/>
          </w:rPr>
          <w:t xml:space="preserve">https://doi.org/10.1037/a0038620</w:t>
        </w:r>
      </w:hyperlink>
      <w:r>
        <w:t xml:space="preserve">.</w:t>
      </w:r>
    </w:p>
    <w:bookmarkEnd w:id="57"/>
    <w:bookmarkStart w:id="59"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58">
        <w:r>
          <w:rPr>
            <w:rStyle w:val="Hyperlink"/>
          </w:rPr>
          <w:t xml:space="preserve">https://doi.org/10.1001/jamapsychiatry.2013.4642</w:t>
        </w:r>
      </w:hyperlink>
      <w:r>
        <w:t xml:space="preserve">.</w:t>
      </w:r>
    </w:p>
    <w:bookmarkEnd w:id="59"/>
    <w:bookmarkStart w:id="61"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0">
        <w:r>
          <w:rPr>
            <w:rStyle w:val="Hyperlink"/>
          </w:rPr>
          <w:t xml:space="preserve">https://doi.org/10.1038/s41593-020-0636-4</w:t>
        </w:r>
      </w:hyperlink>
      <w:r>
        <w:t xml:space="preserve">.</w:t>
      </w:r>
    </w:p>
    <w:bookmarkEnd w:id="61"/>
    <w:bookmarkStart w:id="63"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2">
        <w:r>
          <w:rPr>
            <w:rStyle w:val="Hyperlink"/>
          </w:rPr>
          <w:t xml:space="preserve">https://doi.org/10.2174/1874941001003010076</w:t>
        </w:r>
      </w:hyperlink>
      <w:r>
        <w:t xml:space="preserve">.</w:t>
      </w:r>
    </w:p>
    <w:bookmarkEnd w:id="63"/>
    <w:bookmarkStart w:id="6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64">
        <w:r>
          <w:rPr>
            <w:rStyle w:val="Hyperlink"/>
          </w:rPr>
          <w:t xml:space="preserve">https://doi.org/10.1023/A:1008987426876</w:t>
        </w:r>
      </w:hyperlink>
      <w:r>
        <w:t xml:space="preserve">.</w:t>
      </w:r>
    </w:p>
    <w:bookmarkEnd w:id="65"/>
    <w:bookmarkStart w:id="6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66">
        <w:r>
          <w:rPr>
            <w:rStyle w:val="Hyperlink"/>
          </w:rPr>
          <w:t xml:space="preserve">https://doi.org/10.1007/978-1-4614-6849-3</w:t>
        </w:r>
      </w:hyperlink>
      <w:r>
        <w:t xml:space="preserve">.</w:t>
      </w:r>
    </w:p>
    <w:bookmarkEnd w:id="67"/>
    <w:bookmarkStart w:id="6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68">
        <w:r>
          <w:rPr>
            <w:rStyle w:val="Hyperlink"/>
          </w:rPr>
          <w:t xml:space="preserve">https://doi.org/10.1080/13658816.2018.1503276</w:t>
        </w:r>
      </w:hyperlink>
      <w:r>
        <w:t xml:space="preserve">.</w:t>
      </w:r>
    </w:p>
    <w:bookmarkEnd w:id="69"/>
    <w:bookmarkStart w:id="71"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0">
        <w:r>
          <w:rPr>
            <w:rStyle w:val="Hyperlink"/>
          </w:rPr>
          <w:t xml:space="preserve">https://doi.org/10.1007/s13311-019-00824-2</w:t>
        </w:r>
      </w:hyperlink>
      <w:r>
        <w:t xml:space="preserve">.</w:t>
      </w:r>
    </w:p>
    <w:bookmarkEnd w:id="71"/>
    <w:bookmarkStart w:id="7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72"/>
    <w:bookmarkStart w:id="74" w:name="ref-mckayTreatingAlcoholismChronic2011a"/>
    <w:p>
      <w:pPr>
        <w:pStyle w:val="Bibliography"/>
      </w:pPr>
      <w:r>
        <w:t xml:space="preserve">McKay, James R., and Susanne Hiller-Sturmhofel. 2011.</w:t>
      </w:r>
      <w:r>
        <w:t xml:space="preserve"> </w:t>
      </w:r>
      <w:r>
        <w:t xml:space="preserve">“</w:t>
      </w:r>
      <w:hyperlink r:id="rId73">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74"/>
    <w:bookmarkStart w:id="76"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75">
        <w:r>
          <w:rPr>
            <w:rStyle w:val="Hyperlink"/>
          </w:rPr>
          <w:t xml:space="preserve">https://doi.org/10.3390/ijerph13060607</w:t>
        </w:r>
      </w:hyperlink>
      <w:r>
        <w:t xml:space="preserve">.</w:t>
      </w:r>
    </w:p>
    <w:bookmarkEnd w:id="76"/>
    <w:bookmarkStart w:id="78"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77">
        <w:r>
          <w:rPr>
            <w:rStyle w:val="Hyperlink"/>
          </w:rPr>
          <w:t xml:space="preserve">https://doi.org/10.1111/j.1360-0443.2006.01310.x</w:t>
        </w:r>
      </w:hyperlink>
      <w:r>
        <w:t xml:space="preserve">.</w:t>
      </w:r>
    </w:p>
    <w:bookmarkEnd w:id="78"/>
    <w:bookmarkStart w:id="80"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79">
        <w:r>
          <w:rPr>
            <w:rStyle w:val="Hyperlink"/>
          </w:rPr>
          <w:t xml:space="preserve">https://doi.org/10.2196/mhealth.5787</w:t>
        </w:r>
      </w:hyperlink>
      <w:r>
        <w:t xml:space="preserve">.</w:t>
      </w:r>
    </w:p>
    <w:bookmarkEnd w:id="80"/>
    <w:bookmarkStart w:id="82"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1">
        <w:r>
          <w:rPr>
            <w:rStyle w:val="Hyperlink"/>
          </w:rPr>
          <w:t xml:space="preserve">https://doi.org/10.7326/M18-1990</w:t>
        </w:r>
      </w:hyperlink>
      <w:r>
        <w:t xml:space="preserve">.</w:t>
      </w:r>
    </w:p>
    <w:bookmarkEnd w:id="82"/>
    <w:bookmarkStart w:id="84"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3">
        <w:r>
          <w:rPr>
            <w:rStyle w:val="Hyperlink"/>
          </w:rPr>
          <w:t xml:space="preserve">https://doi.org/10.1093/schbul/sbaa121</w:t>
        </w:r>
      </w:hyperlink>
      <w:r>
        <w:t xml:space="preserve">.</w:t>
      </w:r>
    </w:p>
    <w:bookmarkEnd w:id="84"/>
    <w:bookmarkStart w:id="86"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85">
        <w:r>
          <w:rPr>
            <w:rStyle w:val="Hyperlink"/>
          </w:rPr>
          <w:t xml:space="preserve">https://doi.org/10.1016/j.healthplace.2020.102385</w:t>
        </w:r>
      </w:hyperlink>
      <w:r>
        <w:t xml:space="preserve">.</w:t>
      </w:r>
    </w:p>
    <w:bookmarkEnd w:id="86"/>
    <w:bookmarkStart w:id="88"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87">
        <w:r>
          <w:rPr>
            <w:rStyle w:val="Hyperlink"/>
          </w:rPr>
          <w:t xml:space="preserve">https://doi.org/10.3390/ijerph20115984</w:t>
        </w:r>
      </w:hyperlink>
      <w:r>
        <w:t xml:space="preserve">.</w:t>
      </w:r>
    </w:p>
    <w:bookmarkEnd w:id="88"/>
    <w:bookmarkStart w:id="90"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89">
        <w:r>
          <w:rPr>
            <w:rStyle w:val="Hyperlink"/>
          </w:rPr>
          <w:t xml:space="preserve">https://doi.org/10.2105/AJPH.2013.301306</w:t>
        </w:r>
      </w:hyperlink>
      <w:r>
        <w:t xml:space="preserve">.</w:t>
      </w:r>
    </w:p>
    <w:bookmarkEnd w:id="90"/>
    <w:bookmarkStart w:id="92"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91">
        <w:r>
          <w:rPr>
            <w:rStyle w:val="Hyperlink"/>
          </w:rPr>
          <w:t xml:space="preserve">https://doi.org/10.1177/17456916221134490</w:t>
        </w:r>
      </w:hyperlink>
      <w:r>
        <w:t xml:space="preserve">.</w:t>
      </w:r>
    </w:p>
    <w:bookmarkEnd w:id="92"/>
    <w:bookmarkStart w:id="94"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93">
        <w:r>
          <w:rPr>
            <w:rStyle w:val="Hyperlink"/>
          </w:rPr>
          <w:t xml:space="preserve">https://doi.org/10.1111/acer.13285</w:t>
        </w:r>
      </w:hyperlink>
      <w:r>
        <w:t xml:space="preserve">.</w:t>
      </w:r>
    </w:p>
    <w:bookmarkEnd w:id="94"/>
    <w:bookmarkStart w:id="96"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95">
        <w:r>
          <w:rPr>
            <w:rStyle w:val="Hyperlink"/>
          </w:rPr>
          <w:t xml:space="preserve">https://doi.org/10.1016/j.socscimed.2011.08.009</w:t>
        </w:r>
      </w:hyperlink>
      <w:r>
        <w:t xml:space="preserve">.</w:t>
      </w:r>
    </w:p>
    <w:bookmarkEnd w:id="96"/>
    <w:bookmarkStart w:id="98"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97">
        <w:r>
          <w:rPr>
            <w:rStyle w:val="Hyperlink"/>
          </w:rPr>
          <w:t xml:space="preserve">https://doi.org/10.1016/0899-3289(95)90006-3</w:t>
        </w:r>
      </w:hyperlink>
      <w:r>
        <w:t xml:space="preserve">.</w:t>
      </w:r>
    </w:p>
    <w:bookmarkEnd w:id="98"/>
    <w:bookmarkStart w:id="100"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99">
        <w:r>
          <w:rPr>
            <w:rStyle w:val="Hyperlink"/>
          </w:rPr>
          <w:t xml:space="preserve">https://doi.org/10.1016/s0306-4603(01)00284-2</w:t>
        </w:r>
      </w:hyperlink>
      <w:r>
        <w:t xml:space="preserve">.</w:t>
      </w:r>
    </w:p>
    <w:bookmarkEnd w:id="100"/>
    <w:bookmarkStart w:id="102"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01">
        <w:r>
          <w:rPr>
            <w:rStyle w:val="Hyperlink"/>
          </w:rPr>
          <w:t xml:space="preserve">https://doi.org/10.1007/s44176-022-00006-z</w:t>
        </w:r>
      </w:hyperlink>
      <w:r>
        <w:t xml:space="preserve">.</w:t>
      </w:r>
    </w:p>
    <w:bookmarkEnd w:id="102"/>
    <w:bookmarkStart w:id="104"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03">
        <w:r>
          <w:rPr>
            <w:rStyle w:val="Hyperlink"/>
          </w:rPr>
          <w:t xml:space="preserve">https://doi.org/10.1136/bmjhci-2020-100289</w:t>
        </w:r>
      </w:hyperlink>
      <w:r>
        <w:t xml:space="preserve">.</w:t>
      </w:r>
    </w:p>
    <w:bookmarkEnd w:id="104"/>
    <w:bookmarkStart w:id="106"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05">
        <w:r>
          <w:rPr>
            <w:rStyle w:val="Hyperlink"/>
          </w:rPr>
          <w:t xml:space="preserve">https://doi.org/10.32614/RJ-2022-019</w:t>
        </w:r>
      </w:hyperlink>
      <w:r>
        <w:t xml:space="preserve">.</w:t>
      </w:r>
    </w:p>
    <w:bookmarkEnd w:id="106"/>
    <w:bookmarkStart w:id="108"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07">
        <w:r>
          <w:rPr>
            <w:rStyle w:val="Hyperlink"/>
          </w:rPr>
          <w:t xml:space="preserve">https://doi.org/10.1111/acer.12398</w:t>
        </w:r>
      </w:hyperlink>
      <w:r>
        <w:t xml:space="preserve">.</w:t>
      </w:r>
    </w:p>
    <w:bookmarkEnd w:id="108"/>
    <w:bookmarkStart w:id="110"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09">
        <w:r>
          <w:rPr>
            <w:rStyle w:val="Hyperlink"/>
          </w:rPr>
          <w:t xml:space="preserve">https://doi.org/10.1037/0003-066X.59.4.224</w:t>
        </w:r>
      </w:hyperlink>
      <w:r>
        <w:t xml:space="preserve">.</w:t>
      </w:r>
    </w:p>
    <w:bookmarkEnd w:id="110"/>
    <w:bookmarkStart w:id="112"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11">
        <w:r>
          <w:rPr>
            <w:rStyle w:val="Hyperlink"/>
          </w:rPr>
          <w:t xml:space="preserve">https://doi.org/10.31234/osf.io/cgsf7</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1/jamapsychiatry.2013.4642" TargetMode="External" /><Relationship Type="http://schemas.openxmlformats.org/officeDocument/2006/relationships/hyperlink" Id="rId66" Target="https://doi.org/10.1007/978-1-4614-6849-3" TargetMode="External" /><Relationship Type="http://schemas.openxmlformats.org/officeDocument/2006/relationships/hyperlink" Id="rId70" Target="https://doi.org/10.1007/s13311-019-00824-2" TargetMode="External" /><Relationship Type="http://schemas.openxmlformats.org/officeDocument/2006/relationships/hyperlink" Id="rId101" Target="https://doi.org/10.1007/s44176-022-00006-z" TargetMode="External" /><Relationship Type="http://schemas.openxmlformats.org/officeDocument/2006/relationships/hyperlink" Id="rId97" Target="https://doi.org/10.1016/0899-3289(95)90006-3" TargetMode="External" /><Relationship Type="http://schemas.openxmlformats.org/officeDocument/2006/relationships/hyperlink" Id="rId52" Target="https://doi.org/10.1016/j.drugalcdep.2013.09.007" TargetMode="External" /><Relationship Type="http://schemas.openxmlformats.org/officeDocument/2006/relationships/hyperlink" Id="rId85" Target="https://doi.org/10.1016/j.healthplace.2020.102385" TargetMode="External" /><Relationship Type="http://schemas.openxmlformats.org/officeDocument/2006/relationships/hyperlink" Id="rId95" Target="https://doi.org/10.1016/j.socscimed.2011.08.009" TargetMode="External" /><Relationship Type="http://schemas.openxmlformats.org/officeDocument/2006/relationships/hyperlink" Id="rId99" Target="https://doi.org/10.1016/s0306-4603(01)00284-2" TargetMode="External" /><Relationship Type="http://schemas.openxmlformats.org/officeDocument/2006/relationships/hyperlink" Id="rId64" Target="https://doi.org/10.1023/A:1008987426876" TargetMode="External" /><Relationship Type="http://schemas.openxmlformats.org/officeDocument/2006/relationships/hyperlink" Id="rId109" Target="https://doi.org/10.1037/0003-066X.59.4.224" TargetMode="External" /><Relationship Type="http://schemas.openxmlformats.org/officeDocument/2006/relationships/hyperlink" Id="rId56" Target="https://doi.org/10.1037/a0038620" TargetMode="External" /><Relationship Type="http://schemas.openxmlformats.org/officeDocument/2006/relationships/hyperlink" Id="rId60" Target="https://doi.org/10.1038/s41593-020-0636-4" TargetMode="External" /><Relationship Type="http://schemas.openxmlformats.org/officeDocument/2006/relationships/hyperlink" Id="rId68" Target="https://doi.org/10.1080/13658816.2018.1503276" TargetMode="External" /><Relationship Type="http://schemas.openxmlformats.org/officeDocument/2006/relationships/hyperlink" Id="rId83" Target="https://doi.org/10.1093/schbul/sbaa121" TargetMode="External" /><Relationship Type="http://schemas.openxmlformats.org/officeDocument/2006/relationships/hyperlink" Id="rId54" Target="https://doi.org/10.1109/ICDE48307.2020.00203" TargetMode="External" /><Relationship Type="http://schemas.openxmlformats.org/officeDocument/2006/relationships/hyperlink" Id="rId107" Target="https://doi.org/10.1111/acer.12398" TargetMode="External" /><Relationship Type="http://schemas.openxmlformats.org/officeDocument/2006/relationships/hyperlink" Id="rId93" Target="https://doi.org/10.1111/acer.13285" TargetMode="External" /><Relationship Type="http://schemas.openxmlformats.org/officeDocument/2006/relationships/hyperlink" Id="rId77" Target="https://doi.org/10.1111/j.1360-0443.2006.01310.x" TargetMode="External" /><Relationship Type="http://schemas.openxmlformats.org/officeDocument/2006/relationships/hyperlink" Id="rId50" Target="https://doi.org/10.1126/sciadv.aao5580" TargetMode="External" /><Relationship Type="http://schemas.openxmlformats.org/officeDocument/2006/relationships/hyperlink" Id="rId103" Target="https://doi.org/10.1136/bmjhci-2020-100289" TargetMode="External" /><Relationship Type="http://schemas.openxmlformats.org/officeDocument/2006/relationships/hyperlink" Id="rId91" Target="https://doi.org/10.1177/17456916221134490" TargetMode="External" /><Relationship Type="http://schemas.openxmlformats.org/officeDocument/2006/relationships/hyperlink" Id="rId42" Target="https://doi.org/10.1186/s12889-017-4358-9" TargetMode="External" /><Relationship Type="http://schemas.openxmlformats.org/officeDocument/2006/relationships/hyperlink" Id="rId44" Target="https://doi.org/10.1371/journal.pone.0224127" TargetMode="External" /><Relationship Type="http://schemas.openxmlformats.org/officeDocument/2006/relationships/hyperlink" Id="rId46" Target="https://doi.org/10.20900/jpbs.20210002" TargetMode="External" /><Relationship Type="http://schemas.openxmlformats.org/officeDocument/2006/relationships/hyperlink" Id="rId89" Target="https://doi.org/10.2105/AJPH.2013.301306" TargetMode="External" /><Relationship Type="http://schemas.openxmlformats.org/officeDocument/2006/relationships/hyperlink" Id="rId62" Target="https://doi.org/10.2174/1874941001003010076" TargetMode="External" /><Relationship Type="http://schemas.openxmlformats.org/officeDocument/2006/relationships/hyperlink" Id="rId48" Target="https://doi.org/10.2196/13209" TargetMode="External" /><Relationship Type="http://schemas.openxmlformats.org/officeDocument/2006/relationships/hyperlink" Id="rId79" Target="https://doi.org/10.2196/mhealth.5787" TargetMode="External" /><Relationship Type="http://schemas.openxmlformats.org/officeDocument/2006/relationships/hyperlink" Id="rId111" Target="https://doi.org/10.31234/osf.io/cgsf7" TargetMode="External" /><Relationship Type="http://schemas.openxmlformats.org/officeDocument/2006/relationships/hyperlink" Id="rId105" Target="https://doi.org/10.32614/RJ-2022-019" TargetMode="External" /><Relationship Type="http://schemas.openxmlformats.org/officeDocument/2006/relationships/hyperlink" Id="rId75" Target="https://doi.org/10.3390/ijerph13060607" TargetMode="External" /><Relationship Type="http://schemas.openxmlformats.org/officeDocument/2006/relationships/hyperlink" Id="rId87" Target="https://doi.org/10.3390/ijerph20115984" TargetMode="External" /><Relationship Type="http://schemas.openxmlformats.org/officeDocument/2006/relationships/hyperlink" Id="rId81" Target="https://doi.org/10.7326/M18-1990" TargetMode="External" /><Relationship Type="http://schemas.openxmlformats.org/officeDocument/2006/relationships/hyperlink" Id="rId73" Target="https://www.ncbi.nlm.nih.gov/pmc/articles/PMC3625994" TargetMode="External" /><Relationship Type="http://schemas.openxmlformats.org/officeDocument/2006/relationships/hyperlink" Id="rId40"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1/jamapsychiatry.2013.4642" TargetMode="External" /><Relationship Type="http://schemas.openxmlformats.org/officeDocument/2006/relationships/hyperlink" Id="rId66" Target="https://doi.org/10.1007/978-1-4614-6849-3" TargetMode="External" /><Relationship Type="http://schemas.openxmlformats.org/officeDocument/2006/relationships/hyperlink" Id="rId70" Target="https://doi.org/10.1007/s13311-019-00824-2" TargetMode="External" /><Relationship Type="http://schemas.openxmlformats.org/officeDocument/2006/relationships/hyperlink" Id="rId101" Target="https://doi.org/10.1007/s44176-022-00006-z" TargetMode="External" /><Relationship Type="http://schemas.openxmlformats.org/officeDocument/2006/relationships/hyperlink" Id="rId97" Target="https://doi.org/10.1016/0899-3289(95)90006-3" TargetMode="External" /><Relationship Type="http://schemas.openxmlformats.org/officeDocument/2006/relationships/hyperlink" Id="rId52" Target="https://doi.org/10.1016/j.drugalcdep.2013.09.007" TargetMode="External" /><Relationship Type="http://schemas.openxmlformats.org/officeDocument/2006/relationships/hyperlink" Id="rId85" Target="https://doi.org/10.1016/j.healthplace.2020.102385" TargetMode="External" /><Relationship Type="http://schemas.openxmlformats.org/officeDocument/2006/relationships/hyperlink" Id="rId95" Target="https://doi.org/10.1016/j.socscimed.2011.08.009" TargetMode="External" /><Relationship Type="http://schemas.openxmlformats.org/officeDocument/2006/relationships/hyperlink" Id="rId99" Target="https://doi.org/10.1016/s0306-4603(01)00284-2" TargetMode="External" /><Relationship Type="http://schemas.openxmlformats.org/officeDocument/2006/relationships/hyperlink" Id="rId64" Target="https://doi.org/10.1023/A:1008987426876" TargetMode="External" /><Relationship Type="http://schemas.openxmlformats.org/officeDocument/2006/relationships/hyperlink" Id="rId109" Target="https://doi.org/10.1037/0003-066X.59.4.224" TargetMode="External" /><Relationship Type="http://schemas.openxmlformats.org/officeDocument/2006/relationships/hyperlink" Id="rId56" Target="https://doi.org/10.1037/a0038620" TargetMode="External" /><Relationship Type="http://schemas.openxmlformats.org/officeDocument/2006/relationships/hyperlink" Id="rId60" Target="https://doi.org/10.1038/s41593-020-0636-4" TargetMode="External" /><Relationship Type="http://schemas.openxmlformats.org/officeDocument/2006/relationships/hyperlink" Id="rId68" Target="https://doi.org/10.1080/13658816.2018.1503276" TargetMode="External" /><Relationship Type="http://schemas.openxmlformats.org/officeDocument/2006/relationships/hyperlink" Id="rId83" Target="https://doi.org/10.1093/schbul/sbaa121" TargetMode="External" /><Relationship Type="http://schemas.openxmlformats.org/officeDocument/2006/relationships/hyperlink" Id="rId54" Target="https://doi.org/10.1109/ICDE48307.2020.00203" TargetMode="External" /><Relationship Type="http://schemas.openxmlformats.org/officeDocument/2006/relationships/hyperlink" Id="rId107" Target="https://doi.org/10.1111/acer.12398" TargetMode="External" /><Relationship Type="http://schemas.openxmlformats.org/officeDocument/2006/relationships/hyperlink" Id="rId93" Target="https://doi.org/10.1111/acer.13285" TargetMode="External" /><Relationship Type="http://schemas.openxmlformats.org/officeDocument/2006/relationships/hyperlink" Id="rId77" Target="https://doi.org/10.1111/j.1360-0443.2006.01310.x" TargetMode="External" /><Relationship Type="http://schemas.openxmlformats.org/officeDocument/2006/relationships/hyperlink" Id="rId50" Target="https://doi.org/10.1126/sciadv.aao5580" TargetMode="External" /><Relationship Type="http://schemas.openxmlformats.org/officeDocument/2006/relationships/hyperlink" Id="rId103" Target="https://doi.org/10.1136/bmjhci-2020-100289" TargetMode="External" /><Relationship Type="http://schemas.openxmlformats.org/officeDocument/2006/relationships/hyperlink" Id="rId91" Target="https://doi.org/10.1177/17456916221134490" TargetMode="External" /><Relationship Type="http://schemas.openxmlformats.org/officeDocument/2006/relationships/hyperlink" Id="rId42" Target="https://doi.org/10.1186/s12889-017-4358-9" TargetMode="External" /><Relationship Type="http://schemas.openxmlformats.org/officeDocument/2006/relationships/hyperlink" Id="rId44" Target="https://doi.org/10.1371/journal.pone.0224127" TargetMode="External" /><Relationship Type="http://schemas.openxmlformats.org/officeDocument/2006/relationships/hyperlink" Id="rId46" Target="https://doi.org/10.20900/jpbs.20210002" TargetMode="External" /><Relationship Type="http://schemas.openxmlformats.org/officeDocument/2006/relationships/hyperlink" Id="rId89" Target="https://doi.org/10.2105/AJPH.2013.301306" TargetMode="External" /><Relationship Type="http://schemas.openxmlformats.org/officeDocument/2006/relationships/hyperlink" Id="rId62" Target="https://doi.org/10.2174/1874941001003010076" TargetMode="External" /><Relationship Type="http://schemas.openxmlformats.org/officeDocument/2006/relationships/hyperlink" Id="rId48" Target="https://doi.org/10.2196/13209" TargetMode="External" /><Relationship Type="http://schemas.openxmlformats.org/officeDocument/2006/relationships/hyperlink" Id="rId79" Target="https://doi.org/10.2196/mhealth.5787" TargetMode="External" /><Relationship Type="http://schemas.openxmlformats.org/officeDocument/2006/relationships/hyperlink" Id="rId111" Target="https://doi.org/10.31234/osf.io/cgsf7" TargetMode="External" /><Relationship Type="http://schemas.openxmlformats.org/officeDocument/2006/relationships/hyperlink" Id="rId105" Target="https://doi.org/10.32614/RJ-2022-019" TargetMode="External" /><Relationship Type="http://schemas.openxmlformats.org/officeDocument/2006/relationships/hyperlink" Id="rId75" Target="https://doi.org/10.3390/ijerph13060607" TargetMode="External" /><Relationship Type="http://schemas.openxmlformats.org/officeDocument/2006/relationships/hyperlink" Id="rId87" Target="https://doi.org/10.3390/ijerph20115984" TargetMode="External" /><Relationship Type="http://schemas.openxmlformats.org/officeDocument/2006/relationships/hyperlink" Id="rId81" Target="https://doi.org/10.7326/M18-1990" TargetMode="External" /><Relationship Type="http://schemas.openxmlformats.org/officeDocument/2006/relationships/hyperlink" Id="rId73" Target="https://www.ncbi.nlm.nih.gov/pmc/articles/PMC3625994" TargetMode="External" /><Relationship Type="http://schemas.openxmlformats.org/officeDocument/2006/relationships/hyperlink" Id="rId40"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Feasability and Equity of Geolocation Data for Lapse Prediction in AUD</dc:title>
  <dc:creator>Claire Punturieri; John J. Curtin</dc:creator>
  <cp:keywords>Substance use disorders, Precision mental health</cp:keywords>
  <dcterms:created xsi:type="dcterms:W3CDTF">2024-04-02T15:02:24Z</dcterms:created>
  <dcterms:modified xsi:type="dcterms:W3CDTF">2024-04-02T15:02:24Z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Claire’s FYP!</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Yay geolocation data!</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