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First, the system must be able to collect risk-relevant data with sufficient temporal granularity. Next, the system should communicate factors driving (or mitigating) this risk to provide personalized recommendations to address that risk (e.g., behavior modification, seeking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Even if not overburdened, risk detection and recommendations could not feasibly be done in real time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 This may lead to a loss of information, as it assumes that responses remain constant between these periods (e.g., if positive mood is reported at one survey, no shifts in mood are captured until the next survey). Factors that contribute to both maintenance of recovery and lapse events change from person-to-person and from moment-to-moment. A shift in affect may precede a lapse for one individual but not another. Time spent experiencing craving may precede a lapse, but only after a certain threshold is met (i.e., a certain amount of time has been spent craving).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utility of integrating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
          <w:iCs/>
        </w:rPr>
        <w:t xml:space="preserve">“</w:t>
      </w:r>
      <w:r>
        <w:rPr>
          <w:i/>
          <w:iCs/>
        </w:rPr>
        <w:t xml:space="preserve">You are entering a high-risk zone</w:t>
      </w:r>
      <w:r>
        <w:rPr>
          <w:i/>
          <w:iCs/>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effectively harnessed to improve our understanding of mental health outcomes broadly and substance use patterns specifically, research has not been done to understand the</w:t>
      </w:r>
      <w:r>
        <w:t xml:space="preserve"> </w:t>
      </w:r>
      <w:r>
        <w:rPr>
          <w:i/>
          <w:iCs/>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Measurement,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 Ideally, a model designed for implementation in this setting should have overall excellent performance so as to ensure that individuals receive maximally accurate health behavior guidance.</w:t>
      </w:r>
    </w:p>
    <w:p>
      <w:pPr>
        <w:pStyle w:val="BodyText"/>
      </w:pPr>
      <w:r>
        <w:t xml:space="preserve">Although performance metrics like model accuracy, for example, have been standard reporting practice for years, recent literature has begun to urge researchers to add assessments of how</w:t>
      </w:r>
      <w:r>
        <w:t xml:space="preserve"> </w:t>
      </w:r>
      <w:r>
        <w:rPr>
          <w:i/>
          <w:iCs/>
        </w:rPr>
        <w:t xml:space="preserve">fair</w:t>
      </w:r>
      <w:r>
        <w:t xml:space="preserve"> </w:t>
      </w:r>
      <w:r>
        <w:t xml:space="preserve">a model</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 As in an aggregate evaluation of performance, excellent performance in each subgroup is desired.</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 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
          <w:iCs/>
        </w:rPr>
        <w:t xml:space="preserve">Lapse</w:t>
      </w:r>
      <w:r>
        <w:t xml:space="preserve"> </w:t>
      </w:r>
      <w:r>
        <w:t xml:space="preserve">and</w:t>
      </w:r>
      <w:r>
        <w:t xml:space="preserve"> </w:t>
      </w:r>
      <w:r>
        <w:rPr>
          <w:i/>
          <w:iCs/>
        </w:rPr>
        <w:t xml:space="preserve">no lapse</w:t>
      </w:r>
      <w:r>
        <w:t xml:space="preserve"> </w:t>
      </w:r>
      <w:r>
        <w:t xml:space="preserve">occurrences were identified from the daily survey question,</w:t>
      </w:r>
      <w:r>
        <w:t xml:space="preserve"> </w:t>
      </w:r>
      <w:r>
        <w:rPr>
          <w:i/>
          <w:iCs/>
        </w:rPr>
        <w:t xml:space="preserve">“</w:t>
      </w:r>
      <w:r>
        <w:rPr>
          <w:i/>
          <w:iCs/>
        </w:rPr>
        <w:t xml:space="preserve">Have you drank any alcohol that you have not yet reported?</w:t>
      </w:r>
      <w:r>
        <w:rPr>
          <w:i/>
          <w:iCs/>
        </w:rPr>
        <w:t xml:space="preserve">”</w:t>
      </w:r>
      <w:r>
        <w:t xml:space="preserve">. Participants who responded</w:t>
      </w:r>
      <w:r>
        <w:t xml:space="preserve"> </w:t>
      </w:r>
      <w:r>
        <w:rPr>
          <w:i/>
          <w:iCs/>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
          <w:iCs/>
        </w:rPr>
        <w:t xml:space="preserve">lapse</w:t>
      </w:r>
      <w:r>
        <w:t xml:space="preserve">. Prediction windows were labeled</w:t>
      </w:r>
      <w:r>
        <w:t xml:space="preserve"> </w:t>
      </w:r>
      <w:r>
        <w:rPr>
          <w:i/>
          <w:iCs/>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
          <w:iCs/>
        </w:rPr>
        <w:t xml:space="preserve">“</w:t>
      </w:r>
      <w:r>
        <w:rPr>
          <w:i/>
          <w:iCs/>
        </w:rPr>
        <w:t xml:space="preserve">features</w:t>
      </w:r>
      <w:r>
        <w:rPr>
          <w:i/>
          <w:iCs/>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
          <w:iCs/>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
          <w:iCs/>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et al.,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
          <w:iCs/>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
          <w:iCs/>
        </w:rPr>
        <w:t xml:space="preserve">N</w:t>
      </w:r>
      <w:r>
        <w:t xml:space="preserve"> </w:t>
      </w:r>
      <w:r>
        <w:t xml:space="preserve">white = 127,</w:t>
      </w:r>
      <w:r>
        <w:t xml:space="preserve"> </w:t>
      </w:r>
      <w:r>
        <w:rPr>
          <w:i/>
          <w:iCs/>
        </w:rPr>
        <w:t xml:space="preserve">N</w:t>
      </w:r>
      <w:r>
        <w:t xml:space="preserve"> </w:t>
      </w:r>
      <w:r>
        <w:t xml:space="preserve">non-white = 19), sex (</w:t>
      </w:r>
      <w:r>
        <w:rPr>
          <w:i/>
          <w:iCs/>
        </w:rPr>
        <w:t xml:space="preserve">N</w:t>
      </w:r>
      <w:r>
        <w:t xml:space="preserve"> </w:t>
      </w:r>
      <w:r>
        <w:t xml:space="preserve">male = 74,</w:t>
      </w:r>
      <w:r>
        <w:t xml:space="preserve"> </w:t>
      </w:r>
      <w:r>
        <w:rPr>
          <w:i/>
          <w:iCs/>
        </w:rPr>
        <w:t xml:space="preserve">N</w:t>
      </w:r>
      <w:r>
        <w:t xml:space="preserve"> </w:t>
      </w:r>
      <w:r>
        <w:t xml:space="preserve">female = 72), age (</w:t>
      </w:r>
      <w:r>
        <w:rPr>
          <w:i/>
          <w:iCs/>
        </w:rPr>
        <w:t xml:space="preserve">N</w:t>
      </w:r>
      <w:r>
        <w:t xml:space="preserve"> </w:t>
      </w:r>
      <w:r>
        <w:t xml:space="preserve">younger than 55 = 126,</w:t>
      </w:r>
      <w:r>
        <w:t xml:space="preserve"> </w:t>
      </w:r>
      <w:r>
        <w:rPr>
          <w:i/>
          <w:iCs/>
        </w:rPr>
        <w:t xml:space="preserve">N</w:t>
      </w:r>
      <w:r>
        <w:t xml:space="preserve"> </w:t>
      </w:r>
      <w:r>
        <w:t xml:space="preserve">older than or equal to 55 = 20), and income (</w:t>
      </w:r>
      <w:r>
        <w:rPr>
          <w:i/>
          <w:iCs/>
        </w:rPr>
        <w:t xml:space="preserve">N</w:t>
      </w:r>
      <w:r>
        <w:t xml:space="preserve"> </w:t>
      </w:r>
      <w:r>
        <w:t xml:space="preserve">below federal poverty line = 48,</w:t>
      </w:r>
      <w:r>
        <w:t xml:space="preserve"> </w:t>
      </w:r>
      <w:r>
        <w:rPr>
          <w:i/>
          <w:iCs/>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
          <w:iCs/>
        </w:rPr>
        <w:t xml:space="preserve">riskiness</w:t>
      </w:r>
      <w:r>
        <w:t xml:space="preserve"> </w:t>
      </w:r>
      <w:r>
        <w:t xml:space="preserve">and not the</w:t>
      </w:r>
      <w:r>
        <w:t xml:space="preserve"> </w:t>
      </w:r>
      <w:r>
        <w:rPr>
          <w:i/>
          <w:iCs/>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
          <w:iCs/>
        </w:rPr>
        <w:t xml:space="preserve">“</w:t>
      </w:r>
      <w:r>
        <w:rPr>
          <w:i/>
          <w:iCs/>
        </w:rPr>
        <w:t xml:space="preserve">There is a 92% chance that you lapse back to use today</w:t>
      </w:r>
      <w:r>
        <w:rPr>
          <w:i/>
          <w:iCs/>
        </w:rPr>
        <w:t xml:space="preserve">”</w:t>
      </w:r>
      <w:r>
        <w:t xml:space="preserve">). Rather, we are more interested in communicating</w:t>
      </w:r>
      <w:r>
        <w:t xml:space="preserve"> </w:t>
      </w:r>
      <w:r>
        <w:rPr>
          <w:i/>
          <w:iCs/>
        </w:rPr>
        <w:t xml:space="preserve">relative</w:t>
      </w:r>
      <w:r>
        <w:t xml:space="preserve"> </w:t>
      </w:r>
      <w:r>
        <w:t xml:space="preserve">levels of risk (such as,</w:t>
      </w:r>
      <w:r>
        <w:t xml:space="preserve"> </w:t>
      </w:r>
      <w:r>
        <w:rPr>
          <w:i/>
          <w:iCs/>
        </w:rPr>
        <w:t xml:space="preserve">“</w:t>
      </w:r>
      <w:r>
        <w:rPr>
          <w:i/>
          <w:iCs/>
        </w:rPr>
        <w:t xml:space="preserve">You are at a low risk level of lapse today,</w:t>
      </w:r>
      <w:r>
        <w:rPr>
          <w:i/>
          <w:iCs/>
        </w:rPr>
        <w:t xml:space="preserve">”</w:t>
      </w:r>
      <w:r>
        <w:t xml:space="preserve"> </w:t>
      </w:r>
      <w:r>
        <w:t xml:space="preserve">or,</w:t>
      </w:r>
      <w:r>
        <w:t xml:space="preserve"> </w:t>
      </w:r>
      <w:r>
        <w:rPr>
          <w:i/>
          <w:iCs/>
        </w:rPr>
        <w:t xml:space="preserve">“</w:t>
      </w:r>
      <w:r>
        <w:rPr>
          <w:i/>
          <w:iCs/>
        </w:rPr>
        <w:t xml:space="preserve">Your risk of lapse is higher this week compared to last week</w:t>
      </w:r>
      <w:r>
        <w:rPr>
          <w:i/>
          <w:iCs/>
        </w:rPr>
        <w:t xml:space="preserve">”</w:t>
      </w:r>
      <w:r>
        <w:t xml:space="preserve"> </w:t>
      </w:r>
      <w:r>
        <w:t xml:space="preserve">where</w:t>
      </w:r>
      <w:r>
        <w:t xml:space="preserve"> </w:t>
      </w:r>
      <w:r>
        <w:rPr>
          <w:i/>
          <w:iCs/>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
          <w:iCs/>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
          <w:iCs/>
        </w:rPr>
        <w:t xml:space="preserve">is</w:t>
      </w:r>
      <w:r>
        <w:t xml:space="preserve"> </w:t>
      </w:r>
      <w:r>
        <w:t xml:space="preserve">well-balanced (</w:t>
      </w:r>
      <w:r>
        <w:rPr>
          <w:i/>
          <w:iCs/>
        </w:rPr>
        <w:t xml:space="preserve">N</w:t>
      </w:r>
      <w:r>
        <w:t xml:space="preserve"> </w:t>
      </w:r>
      <w:r>
        <w:t xml:space="preserve">male = 74,</w:t>
      </w:r>
      <w:r>
        <w:t xml:space="preserve"> </w:t>
      </w:r>
      <w:r>
        <w:rPr>
          <w:i/>
          <w:iCs/>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
          <w:iCs/>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
          <w:iCs/>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
          <w:iCs/>
        </w:rPr>
        <w:t xml:space="preserve">means</w:t>
      </w:r>
      <w:r>
        <w:t xml:space="preserve"> </w:t>
      </w:r>
      <w:r>
        <w:t xml:space="preserve">and</w:t>
      </w:r>
      <w:r>
        <w:t xml:space="preserve"> </w:t>
      </w:r>
      <w:r>
        <w:rPr>
          <w:i/>
          <w:iCs/>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
          <w:iCs/>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p>
      <w:r>
        <w:br w:type="page"/>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
          <w:iCs/>
        </w:rPr>
        <w:t xml:space="preserve">BMC Public Health</w:t>
      </w:r>
      <w:r>
        <w:t xml:space="preserve">,</w:t>
      </w:r>
      <w:r>
        <w:t xml:space="preserve"> </w:t>
      </w:r>
      <w:r>
        <w:rPr>
          <w:i/>
          <w:iCs/>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
          <w:iCs/>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
          <w:iCs/>
        </w:rPr>
        <w:t xml:space="preserve">Journal of Psychiatry and Brain Science</w:t>
      </w:r>
      <w:r>
        <w:t xml:space="preserve">,</w:t>
      </w:r>
      <w:r>
        <w:t xml:space="preserve"> </w:t>
      </w:r>
      <w:r>
        <w:rPr>
          <w:i/>
          <w:iCs/>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
          <w:iCs/>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
          <w:iCs/>
        </w:rPr>
        <w:t xml:space="preserve">ACM Trans. Comput.-Hum. Interact.</w:t>
      </w:r>
      <w:r>
        <w:t xml:space="preserve">,</w:t>
      </w:r>
      <w:r>
        <w:t xml:space="preserve"> </w:t>
      </w:r>
      <w:r>
        <w:rPr>
          <w:i/>
          <w:iCs/>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
          <w:iCs/>
        </w:rPr>
        <w:t xml:space="preserve">Global Ecology and Biogeography</w:t>
      </w:r>
      <w:r>
        <w:t xml:space="preserve">,</w:t>
      </w:r>
      <w:r>
        <w:t xml:space="preserve"> </w:t>
      </w:r>
      <w:r>
        <w:rPr>
          <w:i/>
          <w:iCs/>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
          <w:iCs/>
        </w:rPr>
        <w:t xml:space="preserve">JMIR mHealth and uHealth</w:t>
      </w:r>
      <w:r>
        <w:t xml:space="preserve">,</w:t>
      </w:r>
      <w:r>
        <w:t xml:space="preserve"> </w:t>
      </w:r>
      <w:r>
        <w:rPr>
          <w:i/>
          <w:iCs/>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
          <w:iCs/>
        </w:rPr>
        <w:t xml:space="preserve">Drug and Alcohol Dependence</w:t>
      </w:r>
      <w:r>
        <w:t xml:space="preserve">,</w:t>
      </w:r>
      <w:r>
        <w:t xml:space="preserve"> </w:t>
      </w:r>
      <w:r>
        <w:rPr>
          <w:i/>
          <w:iCs/>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
          <w:iCs/>
        </w:rPr>
        <w:t xml:space="preserve">Journal of Crime and Justice</w:t>
      </w:r>
      <w:r>
        <w:t xml:space="preserve">,</w:t>
      </w:r>
      <w:r>
        <w:t xml:space="preserve"> </w:t>
      </w:r>
      <w:r>
        <w:rPr>
          <w:i/>
          <w:iCs/>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
          <w:iCs/>
        </w:rPr>
        <w:t xml:space="preserve">Philosophy &amp; Technology</w:t>
      </w:r>
      <w:r>
        <w:t xml:space="preserve">,</w:t>
      </w:r>
      <w:r>
        <w:t xml:space="preserve"> </w:t>
      </w:r>
      <w:r>
        <w:rPr>
          <w:i/>
          <w:iCs/>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
          <w:iCs/>
        </w:rPr>
        <w:t xml:space="preserve">The</w:t>
      </w:r>
      <w:r>
        <w:rPr>
          <w:i/>
          <w:iCs/>
        </w:rPr>
        <w:t xml:space="preserve"> </w:t>
      </w:r>
      <w:r>
        <w:rPr>
          <w:i/>
          <w:iCs/>
        </w:rPr>
        <w:t xml:space="preserve">Myth</w:t>
      </w:r>
      <w:r>
        <w:rPr>
          <w:i/>
          <w:iCs/>
        </w:rPr>
        <w:t xml:space="preserve"> </w:t>
      </w:r>
      <w:r>
        <w:rPr>
          <w:i/>
          <w:iCs/>
        </w:rPr>
        <w:t xml:space="preserve">in the</w:t>
      </w:r>
      <w:r>
        <w:rPr>
          <w:i/>
          <w:iCs/>
        </w:rPr>
        <w:t xml:space="preserve"> </w:t>
      </w:r>
      <w:r>
        <w:rPr>
          <w:i/>
          <w:iCs/>
        </w:rPr>
        <w:t xml:space="preserve">Methodology</w:t>
      </w:r>
      <w:r>
        <w:rPr>
          <w:i/>
          <w:iCs/>
        </w:rPr>
        <w:t xml:space="preserve">:</w:t>
      </w:r>
      <w:r>
        <w:rPr>
          <w:i/>
          <w:iCs/>
        </w:rPr>
        <w:t xml:space="preserve"> </w:t>
      </w:r>
      <w:r>
        <w:rPr>
          <w:i/>
          <w:iCs/>
        </w:rPr>
        <w:t xml:space="preserve">Towards</w:t>
      </w:r>
      <w:r>
        <w:rPr>
          <w:i/>
          <w:iCs/>
        </w:rPr>
        <w:t xml:space="preserve"> </w:t>
      </w:r>
      <w:r>
        <w:rPr>
          <w:i/>
          <w:iCs/>
        </w:rPr>
        <w:t xml:space="preserve">a</w:t>
      </w:r>
      <w:r>
        <w:rPr>
          <w:i/>
          <w:iCs/>
        </w:rPr>
        <w:t xml:space="preserve"> </w:t>
      </w:r>
      <w:r>
        <w:rPr>
          <w:i/>
          <w:iCs/>
        </w:rPr>
        <w:t xml:space="preserve">Recontextualization</w:t>
      </w:r>
      <w:r>
        <w:rPr>
          <w:i/>
          <w:iCs/>
        </w:rPr>
        <w:t xml:space="preserve"> </w:t>
      </w:r>
      <w:r>
        <w:rPr>
          <w:i/>
          <w:iCs/>
        </w:rPr>
        <w:t xml:space="preserve">of</w:t>
      </w:r>
      <w:r>
        <w:rPr>
          <w:i/>
          <w:iCs/>
        </w:rPr>
        <w:t xml:space="preserve"> </w:t>
      </w:r>
      <w:r>
        <w:rPr>
          <w:i/>
          <w:iCs/>
        </w:rPr>
        <w:t xml:space="preserve">Fairness</w:t>
      </w:r>
      <w:r>
        <w:rPr>
          <w:i/>
          <w:iCs/>
        </w:rPr>
        <w:t xml:space="preserve"> </w:t>
      </w:r>
      <w:r>
        <w:rPr>
          <w:i/>
          <w:iCs/>
        </w:rPr>
        <w:t xml:space="preserve">in</w:t>
      </w:r>
      <w:r>
        <w:rPr>
          <w:i/>
          <w:iCs/>
        </w:rPr>
        <w:t xml:space="preserve"> </w:t>
      </w:r>
      <w:r>
        <w:rPr>
          <w:i/>
          <w:iCs/>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
          <w:iCs/>
        </w:rPr>
        <w:t xml:space="preserve">Proceedings of the AAAI Conference on Artificial Intelligence</w:t>
      </w:r>
      <w:r>
        <w:t xml:space="preserve">,</w:t>
      </w:r>
      <w:r>
        <w:t xml:space="preserve"> </w:t>
      </w:r>
      <w:r>
        <w:rPr>
          <w:i/>
          <w:iCs/>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
          <w:iCs/>
        </w:rPr>
        <w:t xml:space="preserve">JAMA Psychiatry</w:t>
      </w:r>
      <w:r>
        <w:t xml:space="preserve">,</w:t>
      </w:r>
      <w:r>
        <w:t xml:space="preserve"> </w:t>
      </w:r>
      <w:r>
        <w:rPr>
          <w:i/>
          <w:iCs/>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
          <w:iCs/>
        </w:rPr>
        <w:t xml:space="preserve">Nature Neuroscience</w:t>
      </w:r>
      <w:r>
        <w:t xml:space="preserve">,</w:t>
      </w:r>
      <w:r>
        <w:t xml:space="preserve"> </w:t>
      </w:r>
      <w:r>
        <w:rPr>
          <w:i/>
          <w:iCs/>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
          <w:iCs/>
        </w:rPr>
        <w:t xml:space="preserve">Frontiers in Psychiatry</w:t>
      </w:r>
      <w:r>
        <w:t xml:space="preserve">,</w:t>
      </w:r>
      <w:r>
        <w:t xml:space="preserve"> </w:t>
      </w:r>
      <w:r>
        <w:rPr>
          <w:i/>
          <w:iCs/>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
          <w:iCs/>
        </w:rPr>
        <w:t xml:space="preserve">The Open Addiction Journal</w:t>
      </w:r>
      <w:r>
        <w:t xml:space="preserve">,</w:t>
      </w:r>
      <w:r>
        <w:t xml:space="preserve"> </w:t>
      </w:r>
      <w:r>
        <w:rPr>
          <w:i/>
          <w:iCs/>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
          <w:iCs/>
        </w:rPr>
        <w:t xml:space="preserve">Proc. Of the</w:t>
      </w:r>
      <w:r>
        <w:rPr>
          <w:i/>
          <w:iCs/>
        </w:rPr>
        <w:t xml:space="preserve"> </w:t>
      </w:r>
      <w:r>
        <w:rPr>
          <w:i/>
          <w:iCs/>
        </w:rPr>
        <w:t xml:space="preserve">Int</w:t>
      </w:r>
      <w:r>
        <w:rPr>
          <w:i/>
          <w:iCs/>
        </w:rPr>
        <w:t xml:space="preserve">’l</w:t>
      </w:r>
      <w:r>
        <w:rPr>
          <w:i/>
          <w:iCs/>
        </w:rPr>
        <w:t xml:space="preserve"> </w:t>
      </w:r>
      <w:r>
        <w:rPr>
          <w:i/>
          <w:iCs/>
        </w:rPr>
        <w:t xml:space="preserve">Conf</w:t>
      </w:r>
      <w:r>
        <w:rPr>
          <w:i/>
          <w:iCs/>
        </w:rPr>
        <w:t xml:space="preserve">. On Artificial Intelligence</w:t>
      </w:r>
      <w:r>
        <w:t xml:space="preserve">,</w:t>
      </w:r>
      <w:r>
        <w:t xml:space="preserve"> </w:t>
      </w:r>
      <w:r>
        <w:rPr>
          <w:i/>
          <w:iCs/>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
          <w:iCs/>
        </w:rPr>
        <w:t xml:space="preserve">Statistics and Computing</w:t>
      </w:r>
      <w:r>
        <w:t xml:space="preserve">,</w:t>
      </w:r>
      <w:r>
        <w:t xml:space="preserve"> </w:t>
      </w:r>
      <w:r>
        <w:rPr>
          <w:i/>
          <w:iCs/>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
          <w:iCs/>
        </w:rPr>
        <w:t xml:space="preserve">Proceedings of the 2024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
          <w:iCs/>
        </w:rPr>
        <w:t xml:space="preserve">Applied</w:t>
      </w:r>
      <w:r>
        <w:rPr>
          <w:i/>
          <w:iCs/>
        </w:rPr>
        <w:t xml:space="preserve"> </w:t>
      </w:r>
      <w:r>
        <w:rPr>
          <w:i/>
          <w:iCs/>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
          <w:iCs/>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
          <w:iCs/>
        </w:rPr>
        <w:t xml:space="preserve">International Journal of Geographical Information Science</w:t>
      </w:r>
      <w:r>
        <w:t xml:space="preserve">,</w:t>
      </w:r>
      <w:r>
        <w:t xml:space="preserve"> </w:t>
      </w:r>
      <w:r>
        <w:rPr>
          <w:i/>
          <w:iCs/>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
          <w:iCs/>
        </w:rPr>
        <w:t xml:space="preserve">Alcohol Research &amp; Health</w:t>
      </w:r>
      <w:r>
        <w:t xml:space="preserve">,</w:t>
      </w:r>
      <w:r>
        <w:t xml:space="preserve"> </w:t>
      </w:r>
      <w:r>
        <w:rPr>
          <w:i/>
          <w:iCs/>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
          <w:iCs/>
        </w:rPr>
        <w:t xml:space="preserve">Neurotherapeutics: The Journal of the American Society for Experimental NeuroTherapeutics</w:t>
      </w:r>
      <w:r>
        <w:t xml:space="preserve">,</w:t>
      </w:r>
      <w:r>
        <w:t xml:space="preserve"> </w:t>
      </w:r>
      <w:r>
        <w:rPr>
          <w:i/>
          <w:iCs/>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
          <w:iCs/>
        </w:rPr>
        <w:t xml:space="preserve">Alcoholism, Clinical and Experimental Research</w:t>
      </w:r>
      <w:r>
        <w:t xml:space="preserve">,</w:t>
      </w:r>
      <w:r>
        <w:t xml:space="preserve"> </w:t>
      </w:r>
      <w:r>
        <w:rPr>
          <w:i/>
          <w:iCs/>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
          <w:iCs/>
        </w:rPr>
        <w:t xml:space="preserve">Alcohol Research : Current Reviews</w:t>
      </w:r>
      <w:r>
        <w:t xml:space="preserve">,</w:t>
      </w:r>
      <w:r>
        <w:t xml:space="preserve"> </w:t>
      </w:r>
      <w:r>
        <w:rPr>
          <w:i/>
          <w:iCs/>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
          <w:iCs/>
        </w:rPr>
        <w:t xml:space="preserve">Alcohol Research &amp; Health: The Journal of the National Institute on Alcohol Abuse and Alcoholism</w:t>
      </w:r>
      <w:r>
        <w:t xml:space="preserve">,</w:t>
      </w:r>
      <w:r>
        <w:t xml:space="preserve"> </w:t>
      </w:r>
      <w:r>
        <w:rPr>
          <w:i/>
          <w:iCs/>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
          <w:iCs/>
        </w:rPr>
        <w:t xml:space="preserve">Journal of Substance Abuse Treatment</w:t>
      </w:r>
      <w:r>
        <w:t xml:space="preserve">,</w:t>
      </w:r>
      <w:r>
        <w:t xml:space="preserve"> </w:t>
      </w:r>
      <w:r>
        <w:rPr>
          <w:i/>
          <w:iCs/>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
          <w:iCs/>
        </w:rPr>
        <w:t xml:space="preserve">Annual Review of Statistics and Its Application</w:t>
      </w:r>
      <w:r>
        <w:t xml:space="preserve">,</w:t>
      </w:r>
      <w:r>
        <w:t xml:space="preserve"> </w:t>
      </w:r>
      <w:r>
        <w:rPr>
          <w:i/>
          <w:iCs/>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
          <w:iCs/>
        </w:rPr>
        <w:t xml:space="preserve">Addiction (Abingdon, England)</w:t>
      </w:r>
      <w:r>
        <w:t xml:space="preserve">,</w:t>
      </w:r>
      <w:r>
        <w:t xml:space="preserve"> </w:t>
      </w:r>
      <w:r>
        <w:rPr>
          <w:i/>
          <w:iCs/>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
          <w:iCs/>
        </w:rPr>
        <w:t xml:space="preserve">JMIR mHealth and uHealth</w:t>
      </w:r>
      <w:r>
        <w:t xml:space="preserve">,</w:t>
      </w:r>
      <w:r>
        <w:t xml:space="preserve"> </w:t>
      </w:r>
      <w:r>
        <w:rPr>
          <w:i/>
          <w:iCs/>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
          <w:iCs/>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
          <w:iCs/>
        </w:rPr>
        <w:t xml:space="preserve">Annals of Internal Medicine</w:t>
      </w:r>
      <w:r>
        <w:t xml:space="preserve">,</w:t>
      </w:r>
      <w:r>
        <w:t xml:space="preserve"> </w:t>
      </w:r>
      <w:r>
        <w:rPr>
          <w:i/>
          <w:iCs/>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
          <w:iCs/>
        </w:rPr>
        <w:t xml:space="preserve">Schizophrenia Bulletin</w:t>
      </w:r>
      <w:r>
        <w:t xml:space="preserve">,</w:t>
      </w:r>
      <w:r>
        <w:t xml:space="preserve"> </w:t>
      </w:r>
      <w:r>
        <w:rPr>
          <w:i/>
          <w:iCs/>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
          <w:iCs/>
        </w:rPr>
        <w:t xml:space="preserve">Journal of Medical Internet Research</w:t>
      </w:r>
      <w:r>
        <w:t xml:space="preserve">,</w:t>
      </w:r>
      <w:r>
        <w:t xml:space="preserve"> </w:t>
      </w:r>
      <w:r>
        <w:rPr>
          <w:i/>
          <w:iCs/>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
          <w:iCs/>
        </w:rPr>
        <w:t xml:space="preserve">2015 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Pervasive Computing Technologies</w:t>
      </w:r>
      <w:r>
        <w:rPr>
          <w:i/>
          <w:iCs/>
        </w:rPr>
        <w:t xml:space="preserve"> </w:t>
      </w:r>
      <w:r>
        <w:rPr>
          <w:i/>
          <w:iCs/>
        </w:rPr>
        <w:t xml:space="preserve">for</w:t>
      </w:r>
      <w:r>
        <w:rPr>
          <w:i/>
          <w:iCs/>
        </w:rPr>
        <w:t xml:space="preserve"> </w:t>
      </w:r>
      <w:r>
        <w:rPr>
          <w:i/>
          <w:iCs/>
        </w:rPr>
        <w:t xml:space="preserve">Healthcare</w:t>
      </w:r>
      <w:r>
        <w:rPr>
          <w:i/>
          <w:iCs/>
        </w:rPr>
        <w:t xml:space="preserve"> </w:t>
      </w:r>
      <w:r>
        <w:rPr>
          <w:i/>
          <w:iCs/>
        </w:rPr>
        <w:t xml:space="preserve">(</w:t>
      </w:r>
      <w:r>
        <w:rPr>
          <w:i/>
          <w:iCs/>
        </w:rPr>
        <w:t xml:space="preserve">PervasiveHealth</w:t>
      </w:r>
      <w:r>
        <w:rPr>
          <w:i/>
          <w:iCs/>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
          <w:iCs/>
        </w:rPr>
        <w:t xml:space="preserve">Highlights for the 2022</w:t>
      </w:r>
      <w:r>
        <w:rPr>
          <w:i/>
          <w:iCs/>
        </w:rPr>
        <w:t xml:space="preserve"> </w:t>
      </w:r>
      <w:r>
        <w:rPr>
          <w:i/>
          <w:iCs/>
        </w:rPr>
        <w:t xml:space="preserve">National Survey</w:t>
      </w:r>
      <w:r>
        <w:rPr>
          <w:i/>
          <w:iCs/>
        </w:rPr>
        <w:t xml:space="preserve"> </w:t>
      </w:r>
      <w:r>
        <w:rPr>
          <w:i/>
          <w:iCs/>
        </w:rPr>
        <w:t xml:space="preserve">on</w:t>
      </w:r>
      <w:r>
        <w:rPr>
          <w:i/>
          <w:iCs/>
        </w:rPr>
        <w:t xml:space="preserve"> </w:t>
      </w:r>
      <w:r>
        <w:rPr>
          <w:i/>
          <w:iCs/>
        </w:rPr>
        <w:t xml:space="preserve">Drug Use</w:t>
      </w:r>
      <w:r>
        <w:rPr>
          <w:i/>
          <w:iCs/>
        </w:rPr>
        <w:t xml:space="preserve"> </w:t>
      </w:r>
      <w:r>
        <w:rPr>
          <w:i/>
          <w:iCs/>
        </w:rPr>
        <w:t xml:space="preserve">and</w:t>
      </w:r>
      <w:r>
        <w:rPr>
          <w:i/>
          <w:iCs/>
        </w:rPr>
        <w:t xml:space="preserve"> </w:t>
      </w:r>
      <w:r>
        <w:rPr>
          <w:i/>
          <w:iCs/>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
          <w:iCs/>
        </w:rPr>
        <w:t xml:space="preserve">Alcoholism: Clinical and Experimental Research</w:t>
      </w:r>
      <w:r>
        <w:t xml:space="preserve">,</w:t>
      </w:r>
      <w:r>
        <w:t xml:space="preserve"> </w:t>
      </w:r>
      <w:r>
        <w:rPr>
          <w:i/>
          <w:iCs/>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
          <w:iCs/>
        </w:rPr>
        <w:t xml:space="preserve">International Journal of Environmental Research and Public Health</w:t>
      </w:r>
      <w:r>
        <w:t xml:space="preserve">,</w:t>
      </w:r>
      <w:r>
        <w:t xml:space="preserve"> </w:t>
      </w:r>
      <w:r>
        <w:rPr>
          <w:i/>
          <w:iCs/>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
          <w:iCs/>
        </w:rPr>
        <w:t xml:space="preserve">American Journal of Public Health</w:t>
      </w:r>
      <w:r>
        <w:t xml:space="preserve">,</w:t>
      </w:r>
      <w:r>
        <w:t xml:space="preserve"> </w:t>
      </w:r>
      <w:r>
        <w:rPr>
          <w:i/>
          <w:iCs/>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
          <w:iCs/>
        </w:rPr>
        <w:t xml:space="preserve">Pharmacology Biochemistry and Behavior</w:t>
      </w:r>
      <w:r>
        <w:t xml:space="preserve">,</w:t>
      </w:r>
      <w:r>
        <w:t xml:space="preserve"> </w:t>
      </w:r>
      <w:r>
        <w:rPr>
          <w:i/>
          <w:iCs/>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
          <w:iCs/>
        </w:rPr>
        <w:t xml:space="preserve">Physical</w:t>
      </w:r>
      <w:r>
        <w:rPr>
          <w:i/>
          <w:iCs/>
        </w:rPr>
        <w:t xml:space="preserve"> </w:t>
      </w:r>
      <w:r>
        <w:rPr>
          <w:i/>
          <w:iCs/>
        </w:rPr>
        <w:t xml:space="preserve">Activity Guidelines</w:t>
      </w:r>
      <w:r>
        <w:rPr>
          <w:i/>
          <w:iCs/>
        </w:rPr>
        <w:t xml:space="preserve"> </w:t>
      </w:r>
      <w:r>
        <w:rPr>
          <w:i/>
          <w:iCs/>
        </w:rPr>
        <w:t xml:space="preserve">for</w:t>
      </w:r>
      <w:r>
        <w:rPr>
          <w:i/>
          <w:iCs/>
        </w:rPr>
        <w:t xml:space="preserve"> </w:t>
      </w:r>
      <w:r>
        <w:rPr>
          <w:i/>
          <w:iCs/>
        </w:rPr>
        <w:t xml:space="preserve">Americans</w:t>
      </w:r>
      <w:r>
        <w:rPr>
          <w:i/>
          <w:iCs/>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
          <w:iCs/>
        </w:rPr>
        <w:t xml:space="preserve">Journal of Clinical Epidemiology</w:t>
      </w:r>
      <w:r>
        <w:t xml:space="preserve">,</w:t>
      </w:r>
      <w:r>
        <w:t xml:space="preserve"> </w:t>
      </w:r>
      <w:r>
        <w:rPr>
          <w:i/>
          <w:iCs/>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
          <w:iCs/>
        </w:rPr>
        <w:t xml:space="preserve">The Astrophysical Journal Supplement Series</w:t>
      </w:r>
      <w:r>
        <w:t xml:space="preserve">,</w:t>
      </w:r>
      <w:r>
        <w:t xml:space="preserve"> </w:t>
      </w:r>
      <w:r>
        <w:rPr>
          <w:i/>
          <w:iCs/>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
          <w:iCs/>
        </w:rPr>
        <w:t xml:space="preserve">Addictive Behaviors</w:t>
      </w:r>
      <w:r>
        <w:t xml:space="preserve">,</w:t>
      </w:r>
      <w:r>
        <w:t xml:space="preserve"> </w:t>
      </w:r>
      <w:r>
        <w:rPr>
          <w:i/>
          <w:iCs/>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
          <w:iCs/>
        </w:rPr>
        <w:t xml:space="preserve">Journal of Substance Abuse</w:t>
      </w:r>
      <w:r>
        <w:t xml:space="preserve">,</w:t>
      </w:r>
      <w:r>
        <w:t xml:space="preserve"> </w:t>
      </w:r>
      <w:r>
        <w:rPr>
          <w:i/>
          <w:iCs/>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
          <w:iCs/>
        </w:rPr>
        <w:t xml:space="preserve">Proceedings of the 2022</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
          <w:iCs/>
        </w:rPr>
        <w:t xml:space="preserve">Management System Engineering</w:t>
      </w:r>
      <w:r>
        <w:t xml:space="preserve">,</w:t>
      </w:r>
      <w:r>
        <w:t xml:space="preserve"> </w:t>
      </w:r>
      <w:r>
        <w:rPr>
          <w:i/>
          <w:iCs/>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
          <w:iCs/>
        </w:rPr>
        <w:t xml:space="preserve">BMJ Health &amp; Care Informatics</w:t>
      </w:r>
      <w:r>
        <w:t xml:space="preserve">,</w:t>
      </w:r>
      <w:r>
        <w:t xml:space="preserve"> </w:t>
      </w:r>
      <w:r>
        <w:rPr>
          <w:i/>
          <w:iCs/>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ayout w:type="fixed"/>
        <w:tblLook w:firstRow="0" w:lastRow="0" w:firstColumn="0" w:lastColumn="0" w:noHBand="0" w:noVBand="0" w:val="0000"/>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tblPr>
            <w:tblGrid>
              <w:gridCol w:w="7920"/>
            </w:tblGrid>
            <w:tr>
              <w:trPr>
                <w:tblHeader w:val="on"/>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ayout w:type="fixed"/>
        <w:tblLook w:firstRow="0" w:lastRow="0" w:firstColumn="0" w:lastColumn="0" w:noHBand="0" w:noVBand="0" w:val="0000"/>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ayout w:type="fixed"/>
        <w:tblLook w:firstRow="0" w:lastRow="0" w:firstColumn="0" w:lastColumn="0" w:noHBand="0" w:noVBand="0" w:val="0000"/>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ayout w:type="fixed"/>
        <w:tblLook w:firstRow="0" w:lastRow="0" w:firstColumn="0" w:lastColumn="0" w:noHBand="0" w:noVBand="0" w:val="0000"/>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tbl>
      <w:tblPr>
        <w:tblStyle w:val="Table"/>
        <w:tblW w:type="pct" w:w="5000"/>
        <w:tblLayout w:type="fixed"/>
        <w:tblLook w:firstRow="0" w:lastRow="0" w:firstColumn="0" w:lastColumn="0" w:noHBand="0" w:noVBand="0" w:val="0000"/>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ayout w:type="fixed"/>
        <w:tblLook w:firstRow="0" w:lastRow="0" w:firstColumn="0" w:lastColumn="0" w:noHBand="0" w:noVBand="0" w:val="0000"/>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ayout w:type="fixed"/>
        <w:tblLook w:firstRow="0" w:lastRow="0" w:firstColumn="0" w:lastColumn="0" w:noHBand="0" w:noVBand="0" w:val="0000"/>
      </w:tblPr>
      <w:tblGrid>
        <w:gridCol w:w="7920"/>
      </w:tblGrid>
      <w:tr>
        <w:tc>
          <w:tcPr/>
          <w:bookmarkStart w:id="170" w:name="fig-pp"/>
          <w:p>
            <w:pPr>
              <w:pStyle w:val="Compact"/>
              <w:jc w:val="center"/>
            </w:pPr>
            <w:r>
              <w:drawing>
                <wp:inline>
                  <wp:extent cx="5334000" cy="26670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ayout w:type="fixed"/>
        <w:tblLook w:firstRow="0" w:lastRow="0" w:firstColumn="0" w:lastColumn="0" w:noHBand="0" w:noVBand="0" w:val="0000"/>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ayout w:type="fixed"/>
        <w:tblLook w:firstRow="0" w:lastRow="0" w:firstColumn="0" w:lastColumn="0" w:noHBand="0" w:noVBand="0" w:val="0000"/>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ayout w:type="fixed"/>
        <w:tblLook w:firstRow="0" w:lastRow="0" w:firstColumn="0" w:lastColumn="0" w:noHBand="0" w:noVBand="0" w:val="0000"/>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2024-10-23T22:07:13Z</dcterms:created>
  <dcterms:modified xsi:type="dcterms:W3CDTF">2024-10-23T22:07:13Z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