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Of these individuals, many will experience AUD as a chronic, relapsing disorder marked by periods of recovery interspersed with returns back to harmful use</w:t>
      </w:r>
      <w:r>
        <w:t xml:space="preserve"> </w:t>
      </w:r>
      <w:r>
        <w:t xml:space="preserve">(McKay and Hiller-Sturmhofel 2011; Moos and Moos 2006)</w:t>
      </w:r>
      <w:r>
        <w:t xml:space="preserve">. The precipitants</w:t>
      </w:r>
      <w:r>
        <w:t xml:space="preserve"> </w:t>
      </w:r>
      <w:r>
        <w:t xml:space="preserve">to these periods of relapse are single instances of goal-inconsistent use known as lapses</w:t>
      </w:r>
      <w:r>
        <w:t xml:space="preserve"> </w:t>
      </w:r>
      <w:r>
        <w:t xml:space="preserve">(Witkiewitz and Marlatt 2004)</w:t>
      </w:r>
      <w:r>
        <w:t xml:space="preserve">. Because of their clear definition, ease of observation, and temporal precedence to relapse, lapses have been identified as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r>
        <w:t xml:space="preserve"> </w:t>
      </w:r>
    </w:p>
    <w:p>
      <w:pPr>
        <w:pStyle w:val="BodyText"/>
      </w:pPr>
      <w:r>
        <w:t xml:space="preserve">One way to provide ongoing support to individuals in recovery is through the development of a continuous risk monitoring and support system to both predict and communicate information about lapse risk.</w:t>
      </w:r>
      <w:r>
        <w:t xml:space="preserve"> </w:t>
      </w:r>
      <w:r>
        <w:t xml:space="preserve">First, data should be harnessed and used to understand lapse risk. Next, the system should communicate factors driving (or mitigating) this risk to provide personalized recommendations so an individual might modify their behavior or seek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real-time, and long-term lapse risk detection and accompanying recommendations cannot realistically be provided by clinicians in an already overburdened addiction treatment system</w:t>
      </w:r>
      <w:r>
        <w:t xml:space="preserve"> </w:t>
      </w:r>
      <w:r>
        <w:t xml:space="preserve">(</w:t>
      </w:r>
      <w:r>
        <w:t xml:space="preserve">“Can the National Addiction Treatment Infrastructure Support the Public’s Demand for Quality Care?”</w:t>
      </w:r>
      <w:r>
        <w:t xml:space="preserve"> </w:t>
      </w:r>
      <w:r>
        <w:t xml:space="preserve">2003)</w:t>
      </w:r>
      <w:r>
        <w:t xml:space="preserve">.</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w:t>
      </w:r>
      <w:r>
        <w:t xml:space="preserve"> </w:t>
      </w:r>
      <w:r>
        <w:t xml:space="preserve">Factors that contribute to both maintenance of recovery and lapse events change from person-to-person and from moment-to-moment. A shift in social supports (e.g., a move, a break-up) may precede a lapse for one individual but not another. Time spent in locations where alcohol is available, like bars or restaurants, may precede a lapse, but only after a certain threshold is met (i.e., a certain amount of time has been spent in that location).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r>
        <w:t xml:space="preserve"> </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r>
        <w:t xml:space="preserve"> </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and Bae 2023)</w:t>
      </w:r>
      <w:r>
        <w:t xml:space="preserve">.</w:t>
      </w:r>
    </w:p>
    <w:p>
      <w:pPr>
        <w:pStyle w:val="BodyText"/>
      </w:pPr>
      <w:r>
        <w:t xml:space="preserve">Despite promising results suggesting that geolocation data can be effectively harnessed to improve our understanding mental health outcomes broadly and substance use patterns specifically, research has not been done to understand the</w:t>
      </w:r>
      <w:r>
        <w:t xml:space="preserve"> </w:t>
      </w:r>
      <w:r>
        <w:rPr>
          <w:iCs/>
          <w:i/>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r>
        <w:t xml:space="preserve"> </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w:t>
      </w:r>
      <w:r>
        <w:t xml:space="preserve"> </w:t>
      </w:r>
      <w:r>
        <w:t xml:space="preserve"> </w:t>
      </w:r>
      <w:r>
        <w:t xml:space="preserve">Although performance metrics like model accuracy, for example, have been standard reporting practice for years, recent literature has begun to urge researchers to add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Cs/>
          <w:i/>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Krzanowski, and McCarthy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r>
        <w:t xml:space="preserve"> </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(such as,</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Ramaswamy, and Russakovsky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Cs/>
          <w:i/>
        </w:rPr>
        <w:t xml:space="preserve">is</w:t>
      </w:r>
      <w:r>
        <w:t xml:space="preserve"> </w:t>
      </w:r>
      <w:r>
        <w:t xml:space="preserve">well-balanced (</w:t>
      </w:r>
      <w:r>
        <w:rPr>
          <w:iCs/>
          <w:i/>
        </w:rPr>
        <w:t xml:space="preserve">N</w:t>
      </w:r>
      <w:r>
        <w:t xml:space="preserve"> </w:t>
      </w:r>
      <w:r>
        <w:t xml:space="preserve">male = 74,</w:t>
      </w:r>
      <w:r>
        <w:t xml:space="preserve"> </w:t>
      </w:r>
      <w:r>
        <w:rPr>
          <w:iCs/>
          <w:i/>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Cs/>
          <w:i/>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Cs/>
          <w:i/>
        </w:rPr>
        <w:t xml:space="preserve">means</w:t>
      </w:r>
      <w:r>
        <w:t xml:space="preserve"> </w:t>
      </w:r>
      <w:r>
        <w:t xml:space="preserve">and</w:t>
      </w:r>
      <w:r>
        <w:t xml:space="preserve"> </w:t>
      </w:r>
      <w:r>
        <w:rPr>
          <w:iCs/>
          <w:i/>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Epstein, and Fokas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n.d.)</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Hoch, and Landgraf 2021; Tamura et al. 2021)</w:t>
      </w:r>
      <w:r>
        <w:t xml:space="preserve">. These features are not only clinically meaningful, but are also clinically</w:t>
      </w:r>
      <w:r>
        <w:t xml:space="preserve"> </w:t>
      </w:r>
      <w:r>
        <w:rPr>
          <w:iCs/>
          <w:i/>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3">
        <w:r>
          <w:rPr>
            <w:rStyle w:val="Hyperlink"/>
          </w:rPr>
          <w:t xml:space="preserve">https://doi.org/10.1186/s12889-017-4358-9</w:t>
        </w:r>
      </w:hyperlink>
      <w:r>
        <w:t xml:space="preserve">.</w:t>
      </w:r>
    </w:p>
    <w:bookmarkEnd w:id="44"/>
    <w:bookmarkStart w:id="46" w:name="ref-CanNationalAddiction2003"/>
    <w:p>
      <w:pPr>
        <w:pStyle w:val="Bibliography"/>
      </w:pPr>
      <w:r>
        <w:t xml:space="preserve">“Can the National Addiction Treatment Infrastructure Support the Public’s Demand for Quality Care?”</w:t>
      </w:r>
      <w:r>
        <w:t xml:space="preserve"> 2003.</w:t>
      </w:r>
      <w:r>
        <w:t xml:space="preserve"> </w:t>
      </w:r>
      <w:r>
        <w:rPr>
          <w:iCs/>
          <w:i/>
        </w:rPr>
        <w:t xml:space="preserve">Journal of Substance Abuse Treatment</w:t>
      </w:r>
      <w:r>
        <w:t xml:space="preserve"> </w:t>
      </w:r>
      <w:r>
        <w:t xml:space="preserve">25 (2): 117–21.</w:t>
      </w:r>
      <w:r>
        <w:t xml:space="preserve"> </w:t>
      </w:r>
      <w:hyperlink r:id="rId45">
        <w:r>
          <w:rPr>
            <w:rStyle w:val="Hyperlink"/>
          </w:rPr>
          <w:t xml:space="preserve">https://doi.org/10.1016/S0740-5472(03)00156-9</w:t>
        </w:r>
      </w:hyperlink>
      <w:r>
        <w:t xml:space="preserve">.</w:t>
      </w:r>
    </w:p>
    <w:bookmarkEnd w:id="46"/>
    <w:bookmarkStart w:id="48"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47">
        <w:r>
          <w:rPr>
            <w:rStyle w:val="Hyperlink"/>
          </w:rPr>
          <w:t xml:space="preserve">https://doi.org/10.20900/jpbs.20210002</w:t>
        </w:r>
      </w:hyperlink>
      <w:r>
        <w:t xml:space="preserve">.</w:t>
      </w:r>
    </w:p>
    <w:bookmarkEnd w:id="48"/>
    <w:bookmarkStart w:id="5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49">
        <w:r>
          <w:rPr>
            <w:rStyle w:val="Hyperlink"/>
          </w:rPr>
          <w:t xml:space="preserve">https://doi.org/10.21231/GNT1-HW21</w:t>
        </w:r>
      </w:hyperlink>
      <w:r>
        <w:t xml:space="preserve">.</w:t>
      </w:r>
    </w:p>
    <w:bookmarkEnd w:id="50"/>
    <w:bookmarkStart w:id="52" w:name="X5bfe464f7e5f7f86cf44e333b30e35383264444"/>
    <w:p>
      <w:pPr>
        <w:pStyle w:val="Bibliography"/>
      </w:pPr>
      <w:r>
        <w:t xml:space="preserve">Chikersal, Prerna, Afsaneh Doryab, Michael Tumminia, Daniella K. Villalba, Janine M. Dutcher, Xinwen Liu, Sheldon Cohen, et al. 2021.</w:t>
      </w:r>
      <w:r>
        <w:t xml:space="preserve"> </w:t>
      </w:r>
      <w:r>
        <w:t xml:space="preserve">“Detecting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Cs/>
          <w:i/>
        </w:rPr>
        <w:t xml:space="preserve">ACM Trans. Comput.-Hum. Interact.</w:t>
      </w:r>
      <w:r>
        <w:t xml:space="preserve"> </w:t>
      </w:r>
      <w:r>
        <w:t xml:space="preserve">28 (1): 3:1–41.</w:t>
      </w:r>
      <w:r>
        <w:t xml:space="preserve"> </w:t>
      </w:r>
      <w:hyperlink r:id="rId51">
        <w:r>
          <w:rPr>
            <w:rStyle w:val="Hyperlink"/>
          </w:rPr>
          <w:t xml:space="preserve">https://doi.org/10.1145/3422821</w:t>
        </w:r>
      </w:hyperlink>
      <w:r>
        <w:t xml:space="preserve">.</w:t>
      </w:r>
    </w:p>
    <w:bookmarkEnd w:id="52"/>
    <w:bookmarkStart w:id="54"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3">
        <w:r>
          <w:rPr>
            <w:rStyle w:val="Hyperlink"/>
          </w:rPr>
          <w:t xml:space="preserve">https://doi.org/10.1111/geb.13070</w:t>
        </w:r>
      </w:hyperlink>
      <w:r>
        <w:t xml:space="preserve">.</w:t>
      </w:r>
    </w:p>
    <w:bookmarkEnd w:id="54"/>
    <w:bookmarkStart w:id="56"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5">
        <w:r>
          <w:rPr>
            <w:rStyle w:val="Hyperlink"/>
          </w:rPr>
          <w:t xml:space="preserve">https://doi.org/10.2196/13209</w:t>
        </w:r>
      </w:hyperlink>
      <w:r>
        <w:t xml:space="preserve">.</w:t>
      </w:r>
    </w:p>
    <w:bookmarkEnd w:id="56"/>
    <w:bookmarkStart w:id="58"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7">
        <w:r>
          <w:rPr>
            <w:rStyle w:val="Hyperlink"/>
          </w:rPr>
          <w:t xml:space="preserve">https://doi.org/10.1016/j.drugalcdep.2013.09.007</w:t>
        </w:r>
      </w:hyperlink>
      <w:r>
        <w:t xml:space="preserve">.</w:t>
      </w:r>
    </w:p>
    <w:bookmarkEnd w:id="58"/>
    <w:bookmarkStart w:id="60" w:name="ref-gajosUsingRiskTerrain"/>
    <w:p>
      <w:pPr>
        <w:pStyle w:val="Bibliography"/>
      </w:pPr>
      <w:r>
        <w:t xml:space="preserve">Gajos, Jamie M., Alejandro Gimenez-Santana, Jeffery T. Walker, Karen L. Cropsey, Scott T. Walters, and Michael S. Businelle. n.d.</w:t>
      </w:r>
      <w:r>
        <w:t xml:space="preserve"> </w:t>
      </w:r>
      <w:r>
        <w:t xml:space="preserve">“Using Risk Terrain Modeling and Geographically-Explicit Ecological Momentary Assessments to Examine Alcohol Use in Adults Experiencing Homelessness.”</w:t>
      </w:r>
      <w:r>
        <w:t xml:space="preserve"> </w:t>
      </w:r>
      <w:r>
        <w:rPr>
          <w:iCs/>
          <w:i/>
        </w:rPr>
        <w:t xml:space="preserve">Journal of Crime and Justice</w:t>
      </w:r>
      <w:r>
        <w:t xml:space="preserve"> </w:t>
      </w:r>
      <w:r>
        <w:t xml:space="preserve">0 (0): 1–14. Accessed October 19, 2024.</w:t>
      </w:r>
      <w:r>
        <w:t xml:space="preserve"> </w:t>
      </w:r>
      <w:hyperlink r:id="rId59">
        <w:r>
          <w:rPr>
            <w:rStyle w:val="Hyperlink"/>
          </w:rPr>
          <w:t xml:space="preserve">https://doi.org/10.1080/0735648X.2024.2396406</w:t>
        </w:r>
      </w:hyperlink>
      <w:r>
        <w:t xml:space="preserve">.</w:t>
      </w:r>
    </w:p>
    <w:bookmarkEnd w:id="60"/>
    <w:bookmarkStart w:id="62"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1">
        <w:r>
          <w:rPr>
            <w:rStyle w:val="Hyperlink"/>
          </w:rPr>
          <w:t xml:space="preserve">https://doi.org/10.1007/s13347-022-00584-6</w:t>
        </w:r>
      </w:hyperlink>
      <w:r>
        <w:t xml:space="preserve">.</w:t>
      </w:r>
    </w:p>
    <w:bookmarkEnd w:id="62"/>
    <w:bookmarkStart w:id="63"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3"/>
    <w:bookmarkStart w:id="65" w:name="Xb9dba2198a78c2adf1ec8e56ff17b98175e64a3"/>
    <w:p>
      <w:pPr>
        <w:pStyle w:val="Bibliography"/>
      </w:pPr>
      <w:r>
        <w:t xml:space="preserve">Grgić-Hlača, Nina, Muhammad Bilal Zafar, Krishna P. Gummadi, and Adrian Weller. 2018.</w:t>
      </w:r>
      <w:r>
        <w:t xml:space="preserve"> </w:t>
      </w:r>
      <w:r>
        <w:t xml:space="preserve">“Beyond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Cs/>
          <w:i/>
        </w:rPr>
        <w:t xml:space="preserve">Proceedings of the AAAI Conference on Artificial Intelligence</w:t>
      </w:r>
      <w:r>
        <w:t xml:space="preserve"> </w:t>
      </w:r>
      <w:r>
        <w:t xml:space="preserve">32 (1).</w:t>
      </w:r>
      <w:r>
        <w:t xml:space="preserve"> </w:t>
      </w:r>
      <w:hyperlink r:id="rId64">
        <w:r>
          <w:rPr>
            <w:rStyle w:val="Hyperlink"/>
          </w:rPr>
          <w:t xml:space="preserve">https://doi.org/10.1609/aaai.v32i1.11296</w:t>
        </w:r>
      </w:hyperlink>
      <w:r>
        <w:t xml:space="preserve">.</w:t>
      </w:r>
    </w:p>
    <w:bookmarkEnd w:id="65"/>
    <w:bookmarkStart w:id="67"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6">
        <w:r>
          <w:rPr>
            <w:rStyle w:val="Hyperlink"/>
          </w:rPr>
          <w:t xml:space="preserve">https://doi.org/10.1001/jamapsychiatry.2013.4642</w:t>
        </w:r>
      </w:hyperlink>
      <w:r>
        <w:t xml:space="preserve">.</w:t>
      </w:r>
    </w:p>
    <w:bookmarkEnd w:id="67"/>
    <w:bookmarkStart w:id="69"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8">
        <w:r>
          <w:rPr>
            <w:rStyle w:val="Hyperlink"/>
          </w:rPr>
          <w:t xml:space="preserve">https://doi.org/10.1038/s41593-020-0636-4</w:t>
        </w:r>
      </w:hyperlink>
      <w:r>
        <w:t xml:space="preserve">.</w:t>
      </w:r>
    </w:p>
    <w:bookmarkEnd w:id="69"/>
    <w:bookmarkStart w:id="70"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70"/>
    <w:bookmarkStart w:id="72" w:name="ref-huhneDAILYPersonalizedCircadian2021"/>
    <w:p>
      <w:pPr>
        <w:pStyle w:val="Bibliography"/>
      </w:pPr>
      <w:r>
        <w:t xml:space="preserve">Hühne, Anisja, Eva Hoch, and Dominic Landgraf. 2021.</w:t>
      </w:r>
      <w:r>
        <w:t xml:space="preserve"> </w:t>
      </w:r>
      <w:r>
        <w:t xml:space="preserve">“</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Cs/>
          <w:i/>
        </w:rPr>
        <w:t xml:space="preserve">Frontiers in Psychiatry</w:t>
      </w:r>
      <w:r>
        <w:t xml:space="preserve"> </w:t>
      </w:r>
      <w:r>
        <w:t xml:space="preserve">11 (January).</w:t>
      </w:r>
      <w:r>
        <w:t xml:space="preserve"> </w:t>
      </w:r>
      <w:hyperlink r:id="rId71">
        <w:r>
          <w:rPr>
            <w:rStyle w:val="Hyperlink"/>
          </w:rPr>
          <w:t xml:space="preserve">https://doi.org/10.3389/fpsyt.2020.569864</w:t>
        </w:r>
      </w:hyperlink>
      <w:r>
        <w:t xml:space="preserve">.</w:t>
      </w:r>
    </w:p>
    <w:bookmarkEnd w:id="72"/>
    <w:bookmarkStart w:id="7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3">
        <w:r>
          <w:rPr>
            <w:rStyle w:val="Hyperlink"/>
          </w:rPr>
          <w:t xml:space="preserve">https://doi.org/10.2174/1874941001003010076</w:t>
        </w:r>
      </w:hyperlink>
      <w:r>
        <w:t xml:space="preserve">.</w:t>
      </w:r>
    </w:p>
    <w:bookmarkEnd w:id="74"/>
    <w:bookmarkStart w:id="75"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5"/>
    <w:bookmarkStart w:id="77"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6">
        <w:r>
          <w:rPr>
            <w:rStyle w:val="Hyperlink"/>
          </w:rPr>
          <w:t xml:space="preserve">https://doi.org/10.1023/A:1008987426876</w:t>
        </w:r>
      </w:hyperlink>
      <w:r>
        <w:t xml:space="preserve">.</w:t>
      </w:r>
    </w:p>
    <w:bookmarkEnd w:id="77"/>
    <w:bookmarkStart w:id="79"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78">
        <w:r>
          <w:rPr>
            <w:rStyle w:val="Hyperlink"/>
          </w:rPr>
          <w:t xml:space="preserve">https://doi.org/10.1145/3674029.3674034</w:t>
        </w:r>
      </w:hyperlink>
      <w:r>
        <w:t xml:space="preserve">.</w:t>
      </w:r>
    </w:p>
    <w:bookmarkEnd w:id="79"/>
    <w:bookmarkStart w:id="81"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80">
        <w:r>
          <w:rPr>
            <w:rStyle w:val="Hyperlink"/>
          </w:rPr>
          <w:t xml:space="preserve">https://doi.org/10.1007/978-1-4614-6849-3</w:t>
        </w:r>
      </w:hyperlink>
      <w:r>
        <w:t xml:space="preserve">.</w:t>
      </w:r>
    </w:p>
    <w:bookmarkEnd w:id="81"/>
    <w:bookmarkStart w:id="8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2"/>
    <w:bookmarkStart w:id="84"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3">
        <w:r>
          <w:rPr>
            <w:rStyle w:val="Hyperlink"/>
          </w:rPr>
          <w:t xml:space="preserve">https://doi.org/10.1080/13658816.2018.1503276</w:t>
        </w:r>
      </w:hyperlink>
      <w:r>
        <w:t xml:space="preserve">.</w:t>
      </w:r>
    </w:p>
    <w:bookmarkEnd w:id="84"/>
    <w:bookmarkStart w:id="86" w:name="X37a1ac456fec1ab26cb86bd87934b700ddc3ec3"/>
    <w:p>
      <w:pPr>
        <w:pStyle w:val="Bibliography"/>
      </w:pPr>
      <w:r>
        <w:t xml:space="preserve">Larimer, Mary E., Rebekka S. Palmer, and G. Alan Marlatt. 1999.</w:t>
      </w:r>
      <w:r>
        <w:t xml:space="preserve"> </w:t>
      </w:r>
      <w:r>
        <w:t xml:space="preserve">“</w:t>
      </w:r>
      <w:hyperlink r:id="rId85">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86"/>
    <w:bookmarkStart w:id="88"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87">
        <w:r>
          <w:rPr>
            <w:rStyle w:val="Hyperlink"/>
          </w:rPr>
          <w:t xml:space="preserve">https://doi.org/10.1007/s13311-019-00824-2</w:t>
        </w:r>
      </w:hyperlink>
      <w:r>
        <w:t xml:space="preserve">.</w:t>
      </w:r>
    </w:p>
    <w:bookmarkEnd w:id="88"/>
    <w:bookmarkStart w:id="8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9"/>
    <w:bookmarkStart w:id="90"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0"/>
    <w:bookmarkStart w:id="91"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1"/>
    <w:bookmarkStart w:id="93" w:name="ref-mccaulAlcoholWomenBrief2019"/>
    <w:p>
      <w:pPr>
        <w:pStyle w:val="Bibliography"/>
      </w:pPr>
      <w:r>
        <w:t xml:space="preserve">McCaul, M. E., D. Roach, D. S. Hasin, C. Weisner, G. Chang, and R. Sinha. 2019.</w:t>
      </w:r>
      <w:r>
        <w:t xml:space="preserve"> </w:t>
      </w:r>
      <w:r>
        <w:t xml:space="preserve">“Alcohol and</w:t>
      </w:r>
      <w:r>
        <w:t xml:space="preserve"> </w:t>
      </w:r>
      <w:r>
        <w:t xml:space="preserve">Women</w:t>
      </w:r>
      <w:r>
        <w:t xml:space="preserve">:</w:t>
      </w:r>
      <w:r>
        <w:t xml:space="preserve"> </w:t>
      </w:r>
      <w:r>
        <w:t xml:space="preserve">A Brief Overview</w:t>
      </w:r>
      <w:r>
        <w:t xml:space="preserve">.”</w:t>
      </w:r>
      <w:r>
        <w:t xml:space="preserve"> </w:t>
      </w:r>
      <w:r>
        <w:rPr>
          <w:iCs/>
          <w:i/>
        </w:rPr>
        <w:t xml:space="preserve">Alcoholism, Clinical and Experimental Research</w:t>
      </w:r>
      <w:r>
        <w:t xml:space="preserve"> </w:t>
      </w:r>
      <w:r>
        <w:t xml:space="preserve">43 (5): 774.</w:t>
      </w:r>
      <w:r>
        <w:t xml:space="preserve"> </w:t>
      </w:r>
      <w:hyperlink r:id="rId92">
        <w:r>
          <w:rPr>
            <w:rStyle w:val="Hyperlink"/>
          </w:rPr>
          <w:t xml:space="preserve">https://doi.org/10.1111/acer.13985</w:t>
        </w:r>
      </w:hyperlink>
      <w:r>
        <w:t xml:space="preserve">.</w:t>
      </w:r>
    </w:p>
    <w:bookmarkEnd w:id="93"/>
    <w:bookmarkStart w:id="95" w:name="Xb9842149bf4d653aaac917c5fb9eebdd3d18743"/>
    <w:p>
      <w:pPr>
        <w:pStyle w:val="Bibliography"/>
      </w:pPr>
      <w:r>
        <w:t xml:space="preserve">McCrady, Barbara S., Elizabeth E. Epstein, and Kathryn F. Fokas. 2020.</w:t>
      </w:r>
      <w:r>
        <w:t xml:space="preserve"> </w:t>
      </w:r>
      <w:r>
        <w:t xml:space="preserve">“Treatment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Cs/>
          <w:i/>
        </w:rPr>
        <w:t xml:space="preserve">Alcohol Research : Current Reviews</w:t>
      </w:r>
      <w:r>
        <w:t xml:space="preserve"> </w:t>
      </w:r>
      <w:r>
        <w:t xml:space="preserve">40 (2): 08.</w:t>
      </w:r>
      <w:r>
        <w:t xml:space="preserve"> </w:t>
      </w:r>
      <w:hyperlink r:id="rId94">
        <w:r>
          <w:rPr>
            <w:rStyle w:val="Hyperlink"/>
          </w:rPr>
          <w:t xml:space="preserve">https://doi.org/10.35946/arcr.v40.2.08</w:t>
        </w:r>
      </w:hyperlink>
      <w:r>
        <w:t xml:space="preserve">.</w:t>
      </w:r>
    </w:p>
    <w:bookmarkEnd w:id="95"/>
    <w:bookmarkStart w:id="97" w:name="ref-mckayTreatingAlcoholismChronic2011a"/>
    <w:p>
      <w:pPr>
        <w:pStyle w:val="Bibliography"/>
      </w:pPr>
      <w:r>
        <w:t xml:space="preserve">McKay, James R., and Susanne Hiller-Sturmhofel. 2011.</w:t>
      </w:r>
      <w:r>
        <w:t xml:space="preserve"> </w:t>
      </w:r>
      <w:r>
        <w:t xml:space="preserve">“</w:t>
      </w:r>
      <w:hyperlink r:id="rId96">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97"/>
    <w:bookmarkStart w:id="99"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98">
        <w:r>
          <w:rPr>
            <w:rStyle w:val="Hyperlink"/>
          </w:rPr>
          <w:t xml:space="preserve">https://doi.org/10.1146/annurev-statistics-042720-125902</w:t>
        </w:r>
      </w:hyperlink>
      <w:r>
        <w:t xml:space="preserve">.</w:t>
      </w:r>
    </w:p>
    <w:bookmarkEnd w:id="99"/>
    <w:bookmarkStart w:id="101"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0">
        <w:r>
          <w:rPr>
            <w:rStyle w:val="Hyperlink"/>
          </w:rPr>
          <w:t xml:space="preserve">https://doi.org/10.1146/annurev-clinpsy-032816-044949</w:t>
        </w:r>
      </w:hyperlink>
      <w:r>
        <w:t xml:space="preserve">.</w:t>
      </w:r>
    </w:p>
    <w:bookmarkEnd w:id="101"/>
    <w:bookmarkStart w:id="103"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102">
        <w:r>
          <w:rPr>
            <w:rStyle w:val="Hyperlink"/>
          </w:rPr>
          <w:t xml:space="preserve">https://doi.org/10.1111/j.1360-0443.2006.01310.x</w:t>
        </w:r>
      </w:hyperlink>
      <w:r>
        <w:t xml:space="preserve">.</w:t>
      </w:r>
    </w:p>
    <w:bookmarkEnd w:id="103"/>
    <w:bookmarkStart w:id="10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04">
        <w:r>
          <w:rPr>
            <w:rStyle w:val="Hyperlink"/>
          </w:rPr>
          <w:t xml:space="preserve">https://doi.org/10.2196/mhealth.5787</w:t>
        </w:r>
      </w:hyperlink>
      <w:r>
        <w:t xml:space="preserve">.</w:t>
      </w:r>
    </w:p>
    <w:bookmarkEnd w:id="105"/>
    <w:bookmarkStart w:id="106"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106"/>
    <w:bookmarkStart w:id="107"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07"/>
    <w:bookmarkStart w:id="109"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08">
        <w:r>
          <w:rPr>
            <w:rStyle w:val="Hyperlink"/>
          </w:rPr>
          <w:t xml:space="preserve">https://doi.org/10.7326/M18-1990</w:t>
        </w:r>
      </w:hyperlink>
      <w:r>
        <w:t xml:space="preserve">.</w:t>
      </w:r>
    </w:p>
    <w:bookmarkEnd w:id="109"/>
    <w:bookmarkStart w:id="111"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0">
        <w:r>
          <w:rPr>
            <w:rStyle w:val="Hyperlink"/>
          </w:rPr>
          <w:t xml:space="preserve">https://doi.org/10.1093/schbul/sbaa121</w:t>
        </w:r>
      </w:hyperlink>
      <w:r>
        <w:t xml:space="preserve">.</w:t>
      </w:r>
    </w:p>
    <w:bookmarkEnd w:id="111"/>
    <w:bookmarkStart w:id="113" w:name="ref-saebMobilePhoneSensor2015b"/>
    <w:p>
      <w:pPr>
        <w:pStyle w:val="Bibliography"/>
      </w:pPr>
      <w:r>
        <w:t xml:space="preserve">Saeb, Sohrab, Mi Zhang, Christopher J. Karr, Stephen M. Schueller, Marya E. Corden, Konrad P. Kording, and David C. Mohr. 2015.</w:t>
      </w:r>
      <w:r>
        <w:t xml:space="preserve"> </w:t>
      </w:r>
      <w:r>
        <w:t xml:space="preserve">“Mobile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Cs/>
          <w:i/>
        </w:rPr>
        <w:t xml:space="preserve">Journal of Medical Internet Research</w:t>
      </w:r>
      <w:r>
        <w:t xml:space="preserve"> </w:t>
      </w:r>
      <w:r>
        <w:t xml:space="preserve">17 (7): e4273.</w:t>
      </w:r>
      <w:r>
        <w:t xml:space="preserve"> </w:t>
      </w:r>
      <w:hyperlink r:id="rId112">
        <w:r>
          <w:rPr>
            <w:rStyle w:val="Hyperlink"/>
          </w:rPr>
          <w:t xml:space="preserve">https://doi.org/10.2196/jmir.4273</w:t>
        </w:r>
      </w:hyperlink>
      <w:r>
        <w:t xml:space="preserve">.</w:t>
      </w:r>
    </w:p>
    <w:bookmarkEnd w:id="113"/>
    <w:bookmarkStart w:id="115" w:name="X399194769b13c1a72798823eabcbf05e42506e9"/>
    <w:p>
      <w:pPr>
        <w:pStyle w:val="Bibliography"/>
      </w:pPr>
      <w:r>
        <w:t xml:space="preserve">Saeb, Sohrab, Mi Zhang, Mary Kwasny, Christopher J. Karr, Konrad Kording, and David C. Mohr. 2015.</w:t>
      </w:r>
      <w:r>
        <w:t xml:space="preserve"> </w:t>
      </w:r>
      <w:r>
        <w:t xml:space="preserve">“The Relationship Between Clinical, Momentary, and Sensor-Based Assessment of Depression.”</w:t>
      </w:r>
      <w:r>
        <w:t xml:space="preserve"> </w:t>
      </w:r>
      <w:r>
        <w:t xml:space="preserve">In</w:t>
      </w:r>
      <w:r>
        <w:t xml:space="preserve"> </w:t>
      </w:r>
      <w:r>
        <w:rPr>
          <w:iCs/>
          <w:i/>
        </w:rPr>
        <w:t xml:space="preserve">2015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Pervasive Computing Technologies</w:t>
      </w:r>
      <w:r>
        <w:rPr>
          <w:iCs/>
          <w:i/>
        </w:rPr>
        <w:t xml:space="preserve"> </w:t>
      </w:r>
      <w:r>
        <w:rPr>
          <w:iCs/>
          <w:i/>
        </w:rPr>
        <w:t xml:space="preserve">for</w:t>
      </w:r>
      <w:r>
        <w:rPr>
          <w:iCs/>
          <w:i/>
        </w:rPr>
        <w:t xml:space="preserve"> </w:t>
      </w:r>
      <w:r>
        <w:rPr>
          <w:iCs/>
          <w:i/>
        </w:rPr>
        <w:t xml:space="preserve">Healthcare</w:t>
      </w:r>
      <w:r>
        <w:rPr>
          <w:iCs/>
          <w:i/>
        </w:rPr>
        <w:t xml:space="preserve"> </w:t>
      </w:r>
      <w:r>
        <w:rPr>
          <w:iCs/>
          <w:i/>
        </w:rPr>
        <w:t xml:space="preserve">(</w:t>
      </w:r>
      <w:r>
        <w:rPr>
          <w:iCs/>
          <w:i/>
        </w:rPr>
        <w:t xml:space="preserve">PervasiveHealth</w:t>
      </w:r>
      <w:r>
        <w:rPr>
          <w:iCs/>
          <w:i/>
        </w:rPr>
        <w:t xml:space="preserve">)</w:t>
      </w:r>
      <w:r>
        <w:t xml:space="preserve">, 229–32.</w:t>
      </w:r>
      <w:r>
        <w:t xml:space="preserve"> </w:t>
      </w:r>
      <w:hyperlink r:id="rId114">
        <w:r>
          <w:rPr>
            <w:rStyle w:val="Hyperlink"/>
          </w:rPr>
          <w:t xml:space="preserve">https://doi.org/10.4108/icst.pervasivehealth.2015.259034</w:t>
        </w:r>
      </w:hyperlink>
      <w:r>
        <w:t xml:space="preserve">.</w:t>
      </w:r>
    </w:p>
    <w:bookmarkEnd w:id="115"/>
    <w:bookmarkStart w:id="117"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6">
        <w:r>
          <w:rPr>
            <w:rStyle w:val="Hyperlink"/>
          </w:rPr>
          <w:t xml:space="preserve">https://doi.org/10.1111/acer.14440</w:t>
        </w:r>
      </w:hyperlink>
      <w:r>
        <w:t xml:space="preserve">.</w:t>
      </w:r>
    </w:p>
    <w:bookmarkEnd w:id="117"/>
    <w:bookmarkStart w:id="119"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18">
        <w:r>
          <w:rPr>
            <w:rStyle w:val="Hyperlink"/>
          </w:rPr>
          <w:t xml:space="preserve">https://doi.org/10.3390/ijerph20115984</w:t>
        </w:r>
      </w:hyperlink>
      <w:r>
        <w:t xml:space="preserve">.</w:t>
      </w:r>
    </w:p>
    <w:bookmarkEnd w:id="119"/>
    <w:bookmarkStart w:id="121"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0">
        <w:r>
          <w:rPr>
            <w:rStyle w:val="Hyperlink"/>
          </w:rPr>
          <w:t xml:space="preserve">https://doi.org/10.2105/AJPH.2013.301306</w:t>
        </w:r>
      </w:hyperlink>
      <w:r>
        <w:t xml:space="preserve">.</w:t>
      </w:r>
    </w:p>
    <w:bookmarkEnd w:id="121"/>
    <w:bookmarkStart w:id="123" w:name="ref-tamuraCircadianRhythmsSubstance2021"/>
    <w:p>
      <w:pPr>
        <w:pStyle w:val="Bibliography"/>
      </w:pPr>
      <w:r>
        <w:t xml:space="preserve">Tamura, Eduardo K., Kallyane S. Oliveira-Silva, Felipe A. Ferreira-Moraes, Eduardo A. V. Marinho, and Natalí N. Guerrero-Vargas. 2021.</w:t>
      </w:r>
      <w:r>
        <w:t xml:space="preserve"> </w:t>
      </w:r>
      <w:r>
        <w:t xml:space="preserve">“Circadian Rhythms and Substance Use Disorders:</w:t>
      </w:r>
      <w:r>
        <w:t xml:space="preserve"> </w:t>
      </w:r>
      <w:r>
        <w:t xml:space="preserve">A</w:t>
      </w:r>
      <w:r>
        <w:t xml:space="preserve"> </w:t>
      </w:r>
      <w:r>
        <w:t xml:space="preserve">Bidirectional Relationship.”</w:t>
      </w:r>
      <w:r>
        <w:t xml:space="preserve"> </w:t>
      </w:r>
      <w:r>
        <w:rPr>
          <w:iCs/>
          <w:i/>
        </w:rPr>
        <w:t xml:space="preserve">Pharmacology Biochemistry and Behavior</w:t>
      </w:r>
      <w:r>
        <w:t xml:space="preserve"> </w:t>
      </w:r>
      <w:r>
        <w:t xml:space="preserve">201 (February): 173105.</w:t>
      </w:r>
      <w:r>
        <w:t xml:space="preserve"> </w:t>
      </w:r>
      <w:hyperlink r:id="rId122">
        <w:r>
          <w:rPr>
            <w:rStyle w:val="Hyperlink"/>
          </w:rPr>
          <w:t xml:space="preserve">https://doi.org/10.1016/j.pbb.2021.173105</w:t>
        </w:r>
      </w:hyperlink>
      <w:r>
        <w:t xml:space="preserve">.</w:t>
      </w:r>
    </w:p>
    <w:bookmarkEnd w:id="123"/>
    <w:bookmarkStart w:id="125" w:name="X248c6c40b6e20cd074113b6081c60a325419b53"/>
    <w:p>
      <w:pPr>
        <w:pStyle w:val="Bibliography"/>
      </w:pPr>
      <w:r>
        <w:t xml:space="preserve">Van Calster, Ben, Daan Nieboer, Yvonne Vergouwe, Bavo De Cock, Michael J. Pencina, and Ewout W. Steyerberg. 2016.</w:t>
      </w:r>
      <w:r>
        <w:t xml:space="preserve"> </w:t>
      </w:r>
      <w:r>
        <w:t xml:space="preserve">“A Calibration Hierarchy for Risk Models Was Defined: From Utopia to Empirical Data.”</w:t>
      </w:r>
      <w:r>
        <w:t xml:space="preserve"> </w:t>
      </w:r>
      <w:r>
        <w:rPr>
          <w:iCs/>
          <w:i/>
        </w:rPr>
        <w:t xml:space="preserve">Journal of Clinical Epidemiology</w:t>
      </w:r>
      <w:r>
        <w:t xml:space="preserve"> </w:t>
      </w:r>
      <w:r>
        <w:t xml:space="preserve">74 (June): 167–76.</w:t>
      </w:r>
      <w:r>
        <w:t xml:space="preserve"> </w:t>
      </w:r>
      <w:hyperlink r:id="rId124">
        <w:r>
          <w:rPr>
            <w:rStyle w:val="Hyperlink"/>
          </w:rPr>
          <w:t xml:space="preserve">https://doi.org/10.1016/j.jclinepi.2015.12.005</w:t>
        </w:r>
      </w:hyperlink>
      <w:r>
        <w:t xml:space="preserve">.</w:t>
      </w:r>
    </w:p>
    <w:bookmarkEnd w:id="125"/>
    <w:bookmarkStart w:id="127" w:name="X7d2b78e9f922c6e858c9aa0ecdc2a69edb406c2"/>
    <w:p>
      <w:pPr>
        <w:pStyle w:val="Bibliography"/>
      </w:pPr>
      <w:r>
        <w:t xml:space="preserve">VanderPlas, Jacob T. 2018.</w:t>
      </w:r>
      <w:r>
        <w:t xml:space="preserve"> </w:t>
      </w:r>
      <w:r>
        <w:t xml:space="preserve">“Understanding the</w:t>
      </w:r>
      <w:r>
        <w:t xml:space="preserve"> </w:t>
      </w:r>
      <w:r>
        <w:t xml:space="preserve">Lomb</w:t>
      </w:r>
      <w:r>
        <w:t xml:space="preserve">–</w:t>
      </w:r>
      <w:r>
        <w:t xml:space="preserve">Scargle Periodogram</w:t>
      </w:r>
      <w:r>
        <w:t xml:space="preserve">.”</w:t>
      </w:r>
      <w:r>
        <w:t xml:space="preserve"> </w:t>
      </w:r>
      <w:r>
        <w:rPr>
          <w:iCs/>
          <w:i/>
        </w:rPr>
        <w:t xml:space="preserve">The Astrophysical Journal Supplement Series</w:t>
      </w:r>
      <w:r>
        <w:t xml:space="preserve"> </w:t>
      </w:r>
      <w:r>
        <w:t xml:space="preserve">236 (1): 16.</w:t>
      </w:r>
      <w:r>
        <w:t xml:space="preserve"> </w:t>
      </w:r>
      <w:hyperlink r:id="rId126">
        <w:r>
          <w:rPr>
            <w:rStyle w:val="Hyperlink"/>
          </w:rPr>
          <w:t xml:space="preserve">https://doi.org/10.3847/1538-4365/aab766</w:t>
        </w:r>
      </w:hyperlink>
      <w:r>
        <w:t xml:space="preserve">.</w:t>
      </w:r>
    </w:p>
    <w:bookmarkEnd w:id="127"/>
    <w:bookmarkStart w:id="12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8">
        <w:r>
          <w:rPr>
            <w:rStyle w:val="Hyperlink"/>
          </w:rPr>
          <w:t xml:space="preserve">https://doi.org/10.1016/0899-3289(95)90006-3</w:t>
        </w:r>
      </w:hyperlink>
      <w:r>
        <w:t xml:space="preserve">.</w:t>
      </w:r>
    </w:p>
    <w:bookmarkEnd w:id="129"/>
    <w:bookmarkStart w:id="13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0">
        <w:r>
          <w:rPr>
            <w:rStyle w:val="Hyperlink"/>
          </w:rPr>
          <w:t xml:space="preserve">https://doi.org/10.1016/s0306-4603(01)00284-2</w:t>
        </w:r>
      </w:hyperlink>
      <w:r>
        <w:t xml:space="preserve">.</w:t>
      </w:r>
    </w:p>
    <w:bookmarkEnd w:id="131"/>
    <w:bookmarkStart w:id="13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2">
        <w:r>
          <w:rPr>
            <w:rStyle w:val="Hyperlink"/>
          </w:rPr>
          <w:t xml:space="preserve">https://doi.org/10.1145/3531146.3533101</w:t>
        </w:r>
      </w:hyperlink>
      <w:r>
        <w:t xml:space="preserve">.</w:t>
      </w:r>
    </w:p>
    <w:bookmarkEnd w:id="133"/>
    <w:bookmarkStart w:id="13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4">
        <w:r>
          <w:rPr>
            <w:rStyle w:val="Hyperlink"/>
          </w:rPr>
          <w:t xml:space="preserve">https://doi.org/10.1007/s44176-022-00006-z</w:t>
        </w:r>
      </w:hyperlink>
      <w:r>
        <w:t xml:space="preserve">.</w:t>
      </w:r>
    </w:p>
    <w:bookmarkEnd w:id="135"/>
    <w:bookmarkStart w:id="13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6">
        <w:r>
          <w:rPr>
            <w:rStyle w:val="Hyperlink"/>
          </w:rPr>
          <w:t xml:space="preserve">https://doi.org/10.1136/bmjhci-2020-100289</w:t>
        </w:r>
      </w:hyperlink>
      <w:r>
        <w:t xml:space="preserve">.</w:t>
      </w:r>
    </w:p>
    <w:bookmarkEnd w:id="137"/>
    <w:bookmarkStart w:id="139"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8">
        <w:r>
          <w:rPr>
            <w:rStyle w:val="Hyperlink"/>
          </w:rPr>
          <w:t xml:space="preserve">https://doi.org/10.1037/0003-066X.59.4.224</w:t>
        </w:r>
      </w:hyperlink>
      <w:r>
        <w:t xml:space="preserve">.</w:t>
      </w:r>
    </w:p>
    <w:bookmarkEnd w:id="139"/>
    <w:bookmarkStart w:id="14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40">
        <w:r>
          <w:rPr>
            <w:rStyle w:val="Hyperlink"/>
          </w:rPr>
          <w:t xml:space="preserve">https://doi.org/10.31234/osf.io/cgsf7</w:t>
        </w:r>
      </w:hyperlink>
      <w:r>
        <w:t xml:space="preserve">.</w:t>
      </w:r>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ook w:firstRow="0" w:lastRow="0" w:firstColumn="0" w:lastColumn="0" w:noHBand="0" w:noVBand="0" w:val="0000"/>
        <w:jc w:val="start"/>
        <w:tblLayout w:type="fixed"/>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ook w:firstRow="0" w:lastRow="0" w:firstColumn="0" w:lastColumn="0" w:noHBand="0" w:noVBand="0" w:val="0000"/>
        <w:jc w:val="start"/>
        <w:tblLayout w:type="fixed"/>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ook w:firstRow="0" w:lastRow="0" w:firstColumn="0" w:lastColumn="0" w:noHBand="0" w:noVBand="0" w:val="0000"/>
        <w:jc w:val="start"/>
        <w:tblLayout w:type="fixed"/>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ook w:firstRow="0" w:lastRow="0" w:firstColumn="0" w:lastColumn="0" w:noHBand="0" w:noVBand="0" w:val="0000"/>
        <w:jc w:val="start"/>
        <w:tblLayout w:type="fixed"/>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p>
      <w:pPr>
        <w:pStyle w:val="FirstParagraph"/>
      </w:pPr>
      <w:r>
        <w:t xml:space="preserve">Maybe add other div for when output is latex/pdf</w:t>
      </w:r>
    </w:p>
    <w:tbl>
      <w:tblPr>
        <w:tblStyle w:val="Table"/>
        <w:tblW w:type="pct" w:w="5000"/>
        <w:tblLook w:firstRow="0" w:lastRow="0" w:firstColumn="0" w:lastColumn="0" w:noHBand="0" w:noVBand="0" w:val="0000"/>
        <w:jc w:val="start"/>
        <w:tblLayout w:type="fixed"/>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ook w:firstRow="0" w:lastRow="0" w:firstColumn="0" w:lastColumn="0" w:noHBand="0" w:noVBand="0" w:val="0000"/>
        <w:jc w:val="start"/>
        <w:tblLayout w:type="fixed"/>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ook w:firstRow="0" w:lastRow="0" w:firstColumn="0" w:lastColumn="0" w:noHBand="0" w:noVBand="0" w:val="0000"/>
        <w:jc w:val="start"/>
        <w:tblLayout w:type="fixed"/>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ook w:firstRow="0" w:lastRow="0" w:firstColumn="0" w:lastColumn="0" w:noHBand="0" w:noVBand="0" w:val="0000"/>
        <w:jc w:val="start"/>
        <w:tblLayout w:type="fixed"/>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ook w:firstRow="0" w:lastRow="0" w:firstColumn="0" w:lastColumn="0" w:noHBand="0" w:noVBand="0" w:val="0000"/>
        <w:jc w:val="start"/>
        <w:tblLayout w:type="fixed"/>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ook w:firstRow="0" w:lastRow="0" w:firstColumn="0" w:lastColumn="0" w:noHBand="0" w:noVBand="0" w:val="0000"/>
        <w:jc w:val="start"/>
        <w:tblLayout w:type="fixed"/>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6" Target="https://doi.org/10.1001/jamapsychiatry.2013.4642" TargetMode="External" /><Relationship Type="http://schemas.openxmlformats.org/officeDocument/2006/relationships/hyperlink" Id="rId80" Target="https://doi.org/10.1007/978-1-4614-6849-3" TargetMode="External" /><Relationship Type="http://schemas.openxmlformats.org/officeDocument/2006/relationships/hyperlink" Id="rId87" Target="https://doi.org/10.1007/s13311-019-00824-2" TargetMode="External" /><Relationship Type="http://schemas.openxmlformats.org/officeDocument/2006/relationships/hyperlink" Id="rId61"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45" Target="https://doi.org/10.1016/S0740-5472(03)00156-9" TargetMode="External" /><Relationship Type="http://schemas.openxmlformats.org/officeDocument/2006/relationships/hyperlink" Id="rId57"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2" Target="https://doi.org/10.1016/j.pbb.2021.173105" TargetMode="External" /><Relationship Type="http://schemas.openxmlformats.org/officeDocument/2006/relationships/hyperlink" Id="rId130" Target="https://doi.org/10.1016/s0306-4603(01)00284-2" TargetMode="External" /><Relationship Type="http://schemas.openxmlformats.org/officeDocument/2006/relationships/hyperlink" Id="rId76"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8" Target="https://doi.org/10.1038/s41593-020-0636-4" TargetMode="External" /><Relationship Type="http://schemas.openxmlformats.org/officeDocument/2006/relationships/hyperlink" Id="rId59" Target="https://doi.org/10.1080/0735648X.2024.2396406" TargetMode="External" /><Relationship Type="http://schemas.openxmlformats.org/officeDocument/2006/relationships/hyperlink" Id="rId83" Target="https://doi.org/10.1080/13658816.2018.1503276" TargetMode="External" /><Relationship Type="http://schemas.openxmlformats.org/officeDocument/2006/relationships/hyperlink" Id="rId110" Target="https://doi.org/10.1093/schbul/sbaa121" TargetMode="External" /><Relationship Type="http://schemas.openxmlformats.org/officeDocument/2006/relationships/hyperlink" Id="rId92" Target="https://doi.org/10.1111/acer.13985" TargetMode="External" /><Relationship Type="http://schemas.openxmlformats.org/officeDocument/2006/relationships/hyperlink" Id="rId116" Target="https://doi.org/10.1111/acer.14440" TargetMode="External" /><Relationship Type="http://schemas.openxmlformats.org/officeDocument/2006/relationships/hyperlink" Id="rId53" Target="https://doi.org/10.1111/geb.13070" TargetMode="External" /><Relationship Type="http://schemas.openxmlformats.org/officeDocument/2006/relationships/hyperlink" Id="rId102"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1"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8" Target="https://doi.org/10.1145/3674029.3674034" TargetMode="External" /><Relationship Type="http://schemas.openxmlformats.org/officeDocument/2006/relationships/hyperlink" Id="rId100" Target="https://doi.org/10.1146/annurev-clinpsy-032816-044949" TargetMode="External" /><Relationship Type="http://schemas.openxmlformats.org/officeDocument/2006/relationships/hyperlink" Id="rId98"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4" Target="https://doi.org/10.1609/aaai.v32i1.11296" TargetMode="External" /><Relationship Type="http://schemas.openxmlformats.org/officeDocument/2006/relationships/hyperlink" Id="rId47" Target="https://doi.org/10.20900/jpbs.20210002" TargetMode="External" /><Relationship Type="http://schemas.openxmlformats.org/officeDocument/2006/relationships/hyperlink" Id="rId120" Target="https://doi.org/10.2105/AJPH.2013.301306" TargetMode="External" /><Relationship Type="http://schemas.openxmlformats.org/officeDocument/2006/relationships/hyperlink" Id="rId49" Target="https://doi.org/10.21231/GNT1-HW21" TargetMode="External" /><Relationship Type="http://schemas.openxmlformats.org/officeDocument/2006/relationships/hyperlink" Id="rId73" Target="https://doi.org/10.2174/1874941001003010076" TargetMode="External" /><Relationship Type="http://schemas.openxmlformats.org/officeDocument/2006/relationships/hyperlink" Id="rId55" Target="https://doi.org/10.2196/13209" TargetMode="External" /><Relationship Type="http://schemas.openxmlformats.org/officeDocument/2006/relationships/hyperlink" Id="rId112" Target="https://doi.org/10.2196/jmir.4273" TargetMode="External" /><Relationship Type="http://schemas.openxmlformats.org/officeDocument/2006/relationships/hyperlink" Id="rId104"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71" Target="https://doi.org/10.3389/fpsyt.2020.569864" TargetMode="External" /><Relationship Type="http://schemas.openxmlformats.org/officeDocument/2006/relationships/hyperlink" Id="rId118" Target="https://doi.org/10.3390/ijerph20115984" TargetMode="External" /><Relationship Type="http://schemas.openxmlformats.org/officeDocument/2006/relationships/hyperlink" Id="rId94"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4" Target="https://doi.org/10.4108/icst.pervasivehealth.2015.259034" TargetMode="External" /><Relationship Type="http://schemas.openxmlformats.org/officeDocument/2006/relationships/hyperlink" Id="rId108"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6" Target="https://www.ncbi.nlm.nih.gov/pmc/articles/PMC3625994" TargetMode="External" /><Relationship Type="http://schemas.openxmlformats.org/officeDocument/2006/relationships/hyperlink" Id="rId85"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1/jamapsychiatry.2013.4642" TargetMode="External" /><Relationship Type="http://schemas.openxmlformats.org/officeDocument/2006/relationships/hyperlink" Id="rId80" Target="https://doi.org/10.1007/978-1-4614-6849-3" TargetMode="External" /><Relationship Type="http://schemas.openxmlformats.org/officeDocument/2006/relationships/hyperlink" Id="rId87" Target="https://doi.org/10.1007/s13311-019-00824-2" TargetMode="External" /><Relationship Type="http://schemas.openxmlformats.org/officeDocument/2006/relationships/hyperlink" Id="rId61"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45" Target="https://doi.org/10.1016/S0740-5472(03)00156-9" TargetMode="External" /><Relationship Type="http://schemas.openxmlformats.org/officeDocument/2006/relationships/hyperlink" Id="rId57"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2" Target="https://doi.org/10.1016/j.pbb.2021.173105" TargetMode="External" /><Relationship Type="http://schemas.openxmlformats.org/officeDocument/2006/relationships/hyperlink" Id="rId130" Target="https://doi.org/10.1016/s0306-4603(01)00284-2" TargetMode="External" /><Relationship Type="http://schemas.openxmlformats.org/officeDocument/2006/relationships/hyperlink" Id="rId76"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8" Target="https://doi.org/10.1038/s41593-020-0636-4" TargetMode="External" /><Relationship Type="http://schemas.openxmlformats.org/officeDocument/2006/relationships/hyperlink" Id="rId59" Target="https://doi.org/10.1080/0735648X.2024.2396406" TargetMode="External" /><Relationship Type="http://schemas.openxmlformats.org/officeDocument/2006/relationships/hyperlink" Id="rId83" Target="https://doi.org/10.1080/13658816.2018.1503276" TargetMode="External" /><Relationship Type="http://schemas.openxmlformats.org/officeDocument/2006/relationships/hyperlink" Id="rId110" Target="https://doi.org/10.1093/schbul/sbaa121" TargetMode="External" /><Relationship Type="http://schemas.openxmlformats.org/officeDocument/2006/relationships/hyperlink" Id="rId92" Target="https://doi.org/10.1111/acer.13985" TargetMode="External" /><Relationship Type="http://schemas.openxmlformats.org/officeDocument/2006/relationships/hyperlink" Id="rId116" Target="https://doi.org/10.1111/acer.14440" TargetMode="External" /><Relationship Type="http://schemas.openxmlformats.org/officeDocument/2006/relationships/hyperlink" Id="rId53" Target="https://doi.org/10.1111/geb.13070" TargetMode="External" /><Relationship Type="http://schemas.openxmlformats.org/officeDocument/2006/relationships/hyperlink" Id="rId102"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1"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8" Target="https://doi.org/10.1145/3674029.3674034" TargetMode="External" /><Relationship Type="http://schemas.openxmlformats.org/officeDocument/2006/relationships/hyperlink" Id="rId100" Target="https://doi.org/10.1146/annurev-clinpsy-032816-044949" TargetMode="External" /><Relationship Type="http://schemas.openxmlformats.org/officeDocument/2006/relationships/hyperlink" Id="rId98"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4" Target="https://doi.org/10.1609/aaai.v32i1.11296" TargetMode="External" /><Relationship Type="http://schemas.openxmlformats.org/officeDocument/2006/relationships/hyperlink" Id="rId47" Target="https://doi.org/10.20900/jpbs.20210002" TargetMode="External" /><Relationship Type="http://schemas.openxmlformats.org/officeDocument/2006/relationships/hyperlink" Id="rId120" Target="https://doi.org/10.2105/AJPH.2013.301306" TargetMode="External" /><Relationship Type="http://schemas.openxmlformats.org/officeDocument/2006/relationships/hyperlink" Id="rId49" Target="https://doi.org/10.21231/GNT1-HW21" TargetMode="External" /><Relationship Type="http://schemas.openxmlformats.org/officeDocument/2006/relationships/hyperlink" Id="rId73" Target="https://doi.org/10.2174/1874941001003010076" TargetMode="External" /><Relationship Type="http://schemas.openxmlformats.org/officeDocument/2006/relationships/hyperlink" Id="rId55" Target="https://doi.org/10.2196/13209" TargetMode="External" /><Relationship Type="http://schemas.openxmlformats.org/officeDocument/2006/relationships/hyperlink" Id="rId112" Target="https://doi.org/10.2196/jmir.4273" TargetMode="External" /><Relationship Type="http://schemas.openxmlformats.org/officeDocument/2006/relationships/hyperlink" Id="rId104"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71" Target="https://doi.org/10.3389/fpsyt.2020.569864" TargetMode="External" /><Relationship Type="http://schemas.openxmlformats.org/officeDocument/2006/relationships/hyperlink" Id="rId118" Target="https://doi.org/10.3390/ijerph20115984" TargetMode="External" /><Relationship Type="http://schemas.openxmlformats.org/officeDocument/2006/relationships/hyperlink" Id="rId94"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4" Target="https://doi.org/10.4108/icst.pervasivehealth.2015.259034" TargetMode="External" /><Relationship Type="http://schemas.openxmlformats.org/officeDocument/2006/relationships/hyperlink" Id="rId108"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6" Target="https://www.ncbi.nlm.nih.gov/pmc/articles/PMC3625994" TargetMode="External" /><Relationship Type="http://schemas.openxmlformats.org/officeDocument/2006/relationships/hyperlink" Id="rId85"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2024-10-23T16:38:10Z</dcterms:created>
  <dcterms:modified xsi:type="dcterms:W3CDTF">2024-10-23T16:38:10Z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2024-10-23</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