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1.png" ContentType="image/png"/>
  <Override PartName="/word/media/rId167.png" ContentType="image/png"/>
  <Override PartName="/word/media/rId179.png" ContentType="image/png"/>
  <Override PartName="/word/media/rId173.png" ContentType="image/png"/>
  <Override PartName="/word/media/rId191.png" ContentType="image/png"/>
  <Override PartName="/word/media/rId185.png" ContentType="image/png"/>
  <Override PartName="/word/media/rId1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2024-10-18</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such as smartphones, smartwatches, or wearables</w:t>
      </w:r>
      <w:r>
        <w:t xml:space="preserve"> </w:t>
      </w:r>
      <w:r>
        <w:t xml:space="preserve">(Mohr, Zhang, and Schueller 2017)</w:t>
      </w:r>
      <w:r>
        <w:t xml:space="preserve">. Because these devices are already ubiquitous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Geolocation data are one such promising source.</w:t>
      </w:r>
    </w:p>
    <w:p>
      <w:pPr>
        <w:pStyle w:val="BodyText"/>
      </w:pPr>
      <w:r>
        <w:t xml:space="preserve">Geolocation data consist of latitude and longitude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development,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 solely due to group membership status.</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monitoring algorithms run the risk of providing sub-optimal mental health care to individuals who already face disadvantages.</w:t>
      </w:r>
    </w:p>
    <w:p>
      <w:pPr>
        <w:pStyle w:val="BodyText"/>
      </w:pPr>
      <w:r>
        <w:t xml:space="preserve">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The second is historical biases in the literature. This is of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for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and change in these data over the previous 6, 12, 24, 48, 72, and 168 hours.</w:t>
      </w:r>
    </w:p>
    <w:p>
      <w:pPr>
        <w:pStyle w:val="BodyText"/>
      </w:pPr>
      <w:r>
        <w:t xml:space="preserve">Here we present characterization of model performance for this prediction model in a validation set, including a discussion of feature importance and an evaluation of model fairness. 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2"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5"/>
    <w:bookmarkStart w:id="26" w:name="geolocation-and-contextual-data"/>
    <w:p>
      <w:pPr>
        <w:pStyle w:val="Heading3"/>
      </w:pPr>
      <w:r>
        <w:t xml:space="preserve">Geolocation and contextual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 Participants were considered to be at a known contextual location if they were within 0.031 miles (50 meters) of a reported frequently visited location.</w:t>
      </w:r>
    </w:p>
    <w:bookmarkEnd w:id="26"/>
    <w:bookmarkStart w:id="27"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7"/>
    <w:bookmarkStart w:id="28"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8"/>
    <w:bookmarkStart w:id="29"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were completed during feature engineering.</w:t>
      </w:r>
    </w:p>
    <w:bookmarkEnd w:id="29"/>
    <w:bookmarkStart w:id="30"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Krzanowski, and McCarthy 2000)</w:t>
      </w:r>
      <w:r>
        <w:t xml:space="preserve">. Results from the validations sets (i.e., inner loops) are presented here.</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w:t>
      </w:r>
    </w:p>
    <w:p>
      <w:pPr>
        <w:pStyle w:val="BodyText"/>
      </w:pPr>
      <w:r>
        <w:t xml:space="preserve">Shapley values were computed in log-odd units as our interpretability metric. Shapley values measure the unique contribution of features in an algorithm’s predictions and therefore identify the relative importance of difference features</w:t>
      </w:r>
      <w:r>
        <w:t xml:space="preserve"> </w:t>
      </w:r>
      <w:r>
        <w:t xml:space="preserve">(Lundberg and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Shapley values.</w:t>
      </w:r>
    </w:p>
    <w:p>
      <w:pPr>
        <w:pStyle w:val="BodyText"/>
      </w:pPr>
      <w:r>
        <w:t xml:space="preserve">Finally, a Bayesian hierarchical generalized linear model was used to estimate the posterior probability distributions and 95% Bayesian credible intervals (CIs) for auROC.</w:t>
      </w:r>
    </w:p>
    <w:bookmarkEnd w:id="30"/>
    <w:bookmarkStart w:id="31" w:name="algorithmic-fairness"/>
    <w:p>
      <w:pPr>
        <w:pStyle w:val="Heading3"/>
      </w:pPr>
      <w:r>
        <w:t xml:space="preserve">Algorithmic fairness</w:t>
      </w:r>
    </w:p>
    <w:p>
      <w:pPr>
        <w:pStyle w:val="FirstParagraph"/>
      </w:pPr>
      <w:r>
        <w:t xml:space="preserve">Subgroups were defined on the basis of personal individual characteristics divided such that groups reflected coarse dichotomies of groups which experience relatively increased and decreased societal privilege. This resulted in four broad classes: white versus non-white, younger than 55 versus equal to or older than 55, above or below the federal poverty line</w:t>
      </w:r>
      <w:r>
        <w:t xml:space="preserve"> </w:t>
      </w:r>
      <w:r>
        <w:t xml:space="preserve">(MBA 2024)</w:t>
      </w:r>
      <w:r>
        <w:t xml:space="preserve">, and sex at birth (male versus female). A Bayesian hierarchical generalized linear model was used to estimate the posterior probability distributions and 95% Bayesian CIs for auROC across these four classes. Model contrasts were used in order to identify the likelihood of differential performance of our model between subgroups within each class.</w:t>
      </w:r>
    </w:p>
    <w:bookmarkEnd w:id="31"/>
    <w:bookmarkEnd w:id="32"/>
    <w:bookmarkStart w:id="38" w:name="results"/>
    <w:p>
      <w:pPr>
        <w:pStyle w:val="Heading2"/>
      </w:pPr>
      <w:r>
        <w:t xml:space="preserve">Results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34"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model-evaluation-1"/>
    <w:p>
      <w:pPr>
        <w:pStyle w:val="Heading3"/>
      </w:pPr>
      <w:r>
        <w:t xml:space="preserve">Model Evaluation</w:t>
      </w:r>
    </w:p>
    <w:p>
      <w:pPr>
        <w:pStyle w:val="FirstParagraph"/>
      </w:pPr>
      <w:r>
        <w:t xml:space="preserve">We selected and evaluated the best performing XGBoost model across all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optimization bias</w:t>
      </w:r>
      <w:r>
        <w:t xml:space="preserve"> </w:t>
      </w:r>
      <w:r>
        <w:t xml:space="preserve">(Jonathan, Krzanowski, and McCarthy 2000)</w:t>
      </w:r>
      <w:r>
        <w:t xml:space="preserve">.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over all validation sets was 0.712. auROCs above .7 are typically considered as having</w:t>
      </w:r>
      <w:r>
        <w:t xml:space="preserve"> </w:t>
      </w:r>
      <w:r>
        <w:t xml:space="preserve">“</w:t>
      </w:r>
      <w:r>
        <w:t xml:space="preserve">acceptable</w:t>
      </w:r>
      <w:r>
        <w:t xml:space="preserve">”</w:t>
      </w:r>
      <w:r>
        <w:t xml:space="preserve"> </w:t>
      </w:r>
      <w:r>
        <w:t xml:space="preserve">performance and indicate that the model correctly assigns a higher probability of lapse to a positive case (rather than a negative case) 70% of the time</w:t>
      </w:r>
      <w:r>
        <w:t xml:space="preserve"> </w:t>
      </w:r>
      <w:r>
        <w:t xml:space="preserve">(Mandrekar 2010)</w:t>
      </w:r>
      <w:r>
        <w:t xml:space="preserve">.</w:t>
      </w:r>
      <w:r>
        <w:t xml:space="preserve"> </w:t>
      </w:r>
      <w:hyperlink w:anchor="fig-auroc-histogram">
        <w:r>
          <w:rPr>
            <w:rStyle w:val="Hyperlink"/>
          </w:rPr>
          <w:t xml:space="preserve">Figure 1</w:t>
        </w:r>
      </w:hyperlink>
      <w:r>
        <w:t xml:space="preserve"> </w:t>
      </w:r>
      <w:r>
        <w:t xml:space="preserve">displays a histogram of model performance distribution across all folds.</w:t>
      </w:r>
    </w:p>
    <w:p>
      <w:pPr>
        <w:pStyle w:val="BodyText"/>
      </w:pPr>
      <w:r>
        <w:t xml:space="preserve">Posterior probability distributions for the auROCs for our best performing validation set model were then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2</w:t>
        </w:r>
      </w:hyperlink>
      <w:r>
        <w:t xml:space="preserve">).</w:t>
      </w:r>
    </w:p>
    <w:p>
      <w:pPr>
        <w:pStyle w:val="BodyText"/>
      </w:pPr>
      <w:r>
        <w:t xml:space="preserve">Next, we performed model calibration in order to improve our trust in model predictions. Results of model calibration are displayed in</w:t>
      </w:r>
      <w:r>
        <w:t xml:space="preserve"> </w:t>
      </w:r>
      <w:hyperlink w:anchor="fig-calibration">
        <w:r>
          <w:rPr>
            <w:rStyle w:val="Hyperlink"/>
          </w:rPr>
          <w:t xml:space="preserve">Figure 3</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w:t>
      </w:r>
    </w:p>
    <w:p>
      <w:pPr>
        <w:pStyle w:val="BodyText"/>
      </w:pPr>
      <w:r>
        <w:t xml:space="preserve">Finally, a receiver operating characteristic curve is displayed in</w:t>
      </w:r>
      <w:r>
        <w:t xml:space="preserve"> </w:t>
      </w:r>
      <w:hyperlink w:anchor="fig-auroc-plot">
        <w:r>
          <w:rPr>
            <w:rStyle w:val="Hyperlink"/>
          </w:rPr>
          <w:t xml:space="preserve">Figure 4</w:t>
        </w:r>
      </w:hyperlink>
      <w:r>
        <w:t xml:space="preserve">, representing aggregate predicted lapse logistic (calibrated) probabilities across all validation sets.</w:t>
      </w:r>
    </w:p>
    <w:bookmarkEnd w:id="35"/>
    <w:bookmarkStart w:id="36"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6"/>
    <w:bookmarkStart w:id="37"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7"/>
    <w:bookmarkEnd w:id="38"/>
    <w:bookmarkStart w:id="43" w:name="discussion"/>
    <w:p>
      <w:pPr>
        <w:pStyle w:val="Heading2"/>
      </w:pPr>
      <w:r>
        <w:t xml:space="preserve">Discussion</w:t>
      </w:r>
    </w:p>
    <w:bookmarkStart w:id="39" w:name="model-performance"/>
    <w:p>
      <w:pPr>
        <w:pStyle w:val="Heading3"/>
      </w:pPr>
      <w:r>
        <w:t xml:space="preserve">Model Performance</w:t>
      </w:r>
    </w:p>
    <w:p>
      <w:pPr>
        <w:pStyle w:val="FirstParagraph"/>
      </w:pPr>
      <w:r>
        <w:t xml:space="preserve">Our day-level model of lapse prediction using geolocation data performs at an</w:t>
      </w:r>
      <w:r>
        <w:t xml:space="preserve"> </w:t>
      </w:r>
      <w:r>
        <w:t xml:space="preserve">“</w:t>
      </w:r>
      <w:r>
        <w:t xml:space="preserve">acceptable</w:t>
      </w:r>
      <w:r>
        <w:t xml:space="preserve">”</w:t>
      </w:r>
      <w:r>
        <w:t xml:space="preserve"> </w:t>
      </w:r>
      <w:r>
        <w:t xml:space="preserve">threshold [auROC between .7 and .8;</w:t>
      </w:r>
      <w:r>
        <w:t xml:space="preserve"> </w:t>
      </w:r>
      <w:r>
        <w:t xml:space="preserve">Mandrekar (2010)</w:t>
      </w:r>
      <w:r>
        <w:t xml:space="preserve">], suggesting that, while there is still a considerable amount of improvement to be made in model performance, geolocation data can predict future alcohol lapse in the next day with fair sensitivity and specificity. Bayesian model comparisons corroborated that this model performed unilaterally better than chance (auROC = .5). This study also provided explanatory insights by way of quantifying feature importance as well as a crucial examination of model fairness across subgroups,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XGBoost is not a probabilistic model and as such it is expected that probabilities would need to be calibrated. Yet, even following calibration, our model overpredicts occurrence of lapses in our sample. Identifying this in the validation stage enables us to make further changes to our algorithm, such as refitting the model, prior to moving onto the final evaluation stage</w:t>
      </w:r>
      <w:r>
        <w:t xml:space="preserve"> </w:t>
      </w:r>
      <w:r>
        <w:t xml:space="preserve">(Van Calster et al. 2019)</w:t>
      </w:r>
      <w:r>
        <w:t xml:space="preserv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Cs/>
          <w:i/>
        </w:rPr>
        <w:t xml:space="preserve">riskiness</w:t>
      </w:r>
      <w:r>
        <w:t xml:space="preserve"> </w:t>
      </w:r>
      <w:r>
        <w:t xml:space="preserve">and not the</w:t>
      </w:r>
      <w:r>
        <w:t xml:space="preserve"> </w:t>
      </w:r>
      <w:r>
        <w:rPr>
          <w:iCs/>
          <w:i/>
        </w:rPr>
        <w:t xml:space="preserve">protectiveness</w:t>
      </w:r>
      <w:r>
        <w:t xml:space="preserve"> </w:t>
      </w:r>
      <w:r>
        <w:t xml:space="preserve">of a location. However, it should be noted that this oversensitivity may not be an issue depending on what information we hope to relay to individuals using a continuous risk monitoring system. In the future development of such a system, we are not necessarily interested in communicating exact probabilities to individuals about their lapse risk (such as,</w:t>
      </w:r>
      <w:r>
        <w:t xml:space="preserve"> </w:t>
      </w:r>
      <w:r>
        <w:rPr>
          <w:iCs/>
          <w:i/>
        </w:rPr>
        <w:t xml:space="preserve">“</w:t>
      </w:r>
      <w:r>
        <w:rPr>
          <w:iCs/>
          <w:i/>
        </w:rPr>
        <w:t xml:space="preserve">There is a 92% chance that you lapse back to use today</w:t>
      </w:r>
      <w:r>
        <w:rPr>
          <w:iCs/>
          <w:i/>
        </w:rPr>
        <w:t xml:space="preserve">”</w:t>
      </w:r>
      <w:r>
        <w:t xml:space="preserve">). Rather, we are more interested in communicating</w:t>
      </w:r>
      <w:r>
        <w:t xml:space="preserve"> </w:t>
      </w:r>
      <w:r>
        <w:rPr>
          <w:iCs/>
          <w:i/>
        </w:rPr>
        <w:t xml:space="preserve">relative</w:t>
      </w:r>
      <w:r>
        <w:t xml:space="preserve"> </w:t>
      </w:r>
      <w:r>
        <w:t xml:space="preserve">levels of risk (such as,</w:t>
      </w:r>
      <w:r>
        <w:t xml:space="preserve"> </w:t>
      </w:r>
      <w:r>
        <w:rPr>
          <w:iCs/>
          <w:i/>
        </w:rPr>
        <w:t xml:space="preserve">“</w:t>
      </w:r>
      <w:r>
        <w:rPr>
          <w:iCs/>
          <w:i/>
        </w:rPr>
        <w:t xml:space="preserve">You are at a low risk level of lapse today,</w:t>
      </w:r>
      <w:r>
        <w:rPr>
          <w:iCs/>
          <w:i/>
        </w:rPr>
        <w:t xml:space="preserve">”</w:t>
      </w:r>
      <w:r>
        <w:t xml:space="preserve"> </w:t>
      </w:r>
      <w:r>
        <w:t xml:space="preserve">or,</w:t>
      </w:r>
      <w:r>
        <w:t xml:space="preserve"> </w:t>
      </w:r>
      <w:r>
        <w:rPr>
          <w:iCs/>
          <w:i/>
        </w:rPr>
        <w:t xml:space="preserve">“</w:t>
      </w:r>
      <w:r>
        <w:rPr>
          <w:iCs/>
          <w:i/>
        </w:rPr>
        <w:t xml:space="preserve">Your risk of lapse is higher this week compared to last week</w:t>
      </w:r>
      <w:r>
        <w:rPr>
          <w:iCs/>
          <w:i/>
        </w:rPr>
        <w:t xml:space="preserve">”</w:t>
      </w:r>
      <w:r>
        <w:t xml:space="preserve"> </w:t>
      </w:r>
      <w:r>
        <w:t xml:space="preserve">where</w:t>
      </w:r>
      <w:r>
        <w:t xml:space="preserve"> </w:t>
      </w:r>
      <w:r>
        <w:rPr>
          <w:iCs/>
          <w:i/>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Cs/>
          <w:i/>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Palmer, and Marlatt 1999; Marlatt and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While other measures of global feature importance were low, it will be important to examine local feature importance to better understand their potential utility. For example, a given feature may have low global importance (low mean absolute Shapley value), but may have a unidirectional relationship with a particular class (e.g., always associated with lapse predictions).</w:t>
      </w:r>
    </w:p>
    <w:bookmarkEnd w:id="39"/>
    <w:bookmarkStart w:id="40"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One of the driving forces behind these disparities is a lack of representation in these data.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Cs/>
          <w:i/>
        </w:rPr>
        <w:t xml:space="preserve">is</w:t>
      </w:r>
      <w:r>
        <w:t xml:space="preserve"> </w:t>
      </w:r>
      <w:r>
        <w:t xml:space="preserve">well-balanced (</w:t>
      </w:r>
      <w:r>
        <w:rPr>
          <w:iCs/>
          <w:i/>
        </w:rPr>
        <w:t xml:space="preserve">N</w:t>
      </w:r>
      <w:r>
        <w:t xml:space="preserve"> </w:t>
      </w:r>
      <w:r>
        <w:t xml:space="preserve">male = 74,</w:t>
      </w:r>
      <w:r>
        <w:t xml:space="preserve"> </w:t>
      </w:r>
      <w:r>
        <w:rPr>
          <w:iCs/>
          <w:i/>
        </w:rPr>
        <w:t xml:space="preserve">N</w:t>
      </w:r>
      <w:r>
        <w:t xml:space="preserve"> </w:t>
      </w:r>
      <w:r>
        <w:t xml:space="preserve">female = 72). This may be due, as predicted, to how constructs of AUD have been conceptualized. The historical literature has been built primarily on studying the experiences of AUD in men. Our features may not be as salient of predictors for lapse for women as they are for men, resulting in the differences in auROCs that we see here. This underscores the importance of</w:t>
      </w:r>
      <w:r>
        <w:t xml:space="preserve"> </w:t>
      </w:r>
      <w:r>
        <w:rPr>
          <w:iCs/>
          <w:i/>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Cs/>
          <w:i/>
        </w:rPr>
        <w:t xml:space="preserve">means</w:t>
      </w:r>
      <w:r>
        <w:t xml:space="preserve"> </w:t>
      </w:r>
      <w:r>
        <w:t xml:space="preserve">and</w:t>
      </w:r>
      <w:r>
        <w:t xml:space="preserve"> </w:t>
      </w:r>
      <w:r>
        <w:rPr>
          <w:iCs/>
          <w:i/>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Epstein, and Fokas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and Hu, n.d.; Ochigame 2020)</w:t>
      </w:r>
      <w:r>
        <w:t xml:space="preserve">.</w:t>
      </w:r>
    </w:p>
    <w:bookmarkEnd w:id="40"/>
    <w:bookmarkStart w:id="41" w:name="limitations-and-future-directions"/>
    <w:p>
      <w:pPr>
        <w:pStyle w:val="Heading3"/>
      </w:pPr>
      <w:r>
        <w:t xml:space="preserve">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n.d.)</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Hoch, and Landgraf 2021; Tamura et al. 2021)</w:t>
      </w:r>
      <w:r>
        <w:t xml:space="preserve">. These features are not only clinically meaningful, but are also clinically</w:t>
      </w:r>
      <w:r>
        <w:t xml:space="preserve"> </w:t>
      </w:r>
      <w:r>
        <w:rPr>
          <w:iCs/>
          <w:i/>
        </w:rPr>
        <w:t xml:space="preserve">intervenable</w:t>
      </w:r>
      <w:r>
        <w:t xml:space="preserve">. In the context of a continuous risk monitoring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p>
    <w:p>
      <w:pPr>
        <w:pStyle w:val="BodyText"/>
      </w:pPr>
      <w:r>
        <w:t xml:space="preserve">Secondly, we assessed auROCs from our validation sets against change performance (auROC = .5). While this is an important standard to meet, it may be more useful to instead design a baseline model against which to compare performance. 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 A more rigorous model contrast will set a higher standard with which to evaluate our model against prior to implementation in a real-world context.</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exmaine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an ecological momentary assessment (EMA)-based model designed within our lab</w:t>
      </w:r>
      <w:r>
        <w:t xml:space="preserve"> </w:t>
      </w:r>
      <w:r>
        <w:t xml:space="preserve">(Wyant et al. 2024)</w:t>
      </w:r>
      <w:r>
        <w:t xml:space="preserve">. Geolocation features may provide unique insight into lapse risk that survey-based assessments do not (or cannot) capture, and may also enable the use of less-frequent questionnaires. The final model built from these two separate endeavors will be used to optimize the development of a continuous risk monitoring system for AUD in a recently funded grant (1R01AA031762-01).</w:t>
      </w:r>
    </w:p>
    <w:bookmarkEnd w:id="41"/>
    <w:bookmarkStart w:id="42"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However, our model demonstrates differential performance across vulnerable subgroups. Moving forward, additional risk-relevant features will be added to the model in an effort to improve prediction and the final model will be evaluated.</w:t>
      </w:r>
    </w:p>
    <w:bookmarkEnd w:id="42"/>
    <w:bookmarkEnd w:id="43"/>
    <w:bookmarkStart w:id="149" w:name="references"/>
    <w:p>
      <w:pPr>
        <w:pStyle w:val="Heading2"/>
      </w:pPr>
      <w:r>
        <w:t xml:space="preserve">References</w:t>
      </w:r>
    </w:p>
    <w:bookmarkStart w:id="148" w:name="refs"/>
    <w:bookmarkStart w:id="45" w:name="ref-areanMobileTechnologyMental2016"/>
    <w:p>
      <w:pPr>
        <w:pStyle w:val="Bibliography"/>
      </w:pPr>
      <w:r>
        <w:t xml:space="preserve">Areàn, Patricia A., Kien Hoa Ly, and Gerhard Andersson. 2016.</w:t>
      </w:r>
      <w:r>
        <w:t xml:space="preserve"> </w:t>
      </w:r>
      <w:r>
        <w:t xml:space="preserve">“</w:t>
      </w:r>
      <w:hyperlink r:id="rId44">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5"/>
    <w:bookmarkStart w:id="47"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6">
        <w:r>
          <w:rPr>
            <w:rStyle w:val="Hyperlink"/>
          </w:rPr>
          <w:t xml:space="preserve">https://doi.org/10.1186/s12889-017-4358-9</w:t>
        </w:r>
      </w:hyperlink>
      <w:r>
        <w:t xml:space="preserve">.</w:t>
      </w:r>
    </w:p>
    <w:bookmarkEnd w:id="47"/>
    <w:bookmarkStart w:id="49"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48">
        <w:r>
          <w:rPr>
            <w:rStyle w:val="Hyperlink"/>
          </w:rPr>
          <w:t xml:space="preserve">https://doi.org/10.1146/annurev.clinpsy.3.022806.091455</w:t>
        </w:r>
      </w:hyperlink>
      <w:r>
        <w:t xml:space="preserve">.</w:t>
      </w:r>
    </w:p>
    <w:bookmarkEnd w:id="49"/>
    <w:bookmarkStart w:id="51"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50">
        <w:r>
          <w:rPr>
            <w:rStyle w:val="Hyperlink"/>
          </w:rPr>
          <w:t xml:space="preserve">https://doi.org/10.20900/jpbs.20210002</w:t>
        </w:r>
      </w:hyperlink>
      <w:r>
        <w:t xml:space="preserve">.</w:t>
      </w:r>
    </w:p>
    <w:bookmarkEnd w:id="51"/>
    <w:bookmarkStart w:id="5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52">
        <w:r>
          <w:rPr>
            <w:rStyle w:val="Hyperlink"/>
          </w:rPr>
          <w:t xml:space="preserve">https://doi.org/10.21231/GNT1-HW21</w:t>
        </w:r>
      </w:hyperlink>
      <w:r>
        <w:t xml:space="preserve">.</w:t>
      </w:r>
    </w:p>
    <w:bookmarkEnd w:id="53"/>
    <w:bookmarkStart w:id="55" w:name="X5bfe464f7e5f7f86cf44e333b30e35383264444"/>
    <w:p>
      <w:pPr>
        <w:pStyle w:val="Bibliography"/>
      </w:pPr>
      <w:r>
        <w:t xml:space="preserve">Chikersal, Prerna, Afsaneh Doryab, Michael Tumminia, Daniella K. Villalba, Janine M. Dutcher, Xinwen Liu, Sheldon Cohen, et al. 2021.</w:t>
      </w:r>
      <w:r>
        <w:t xml:space="preserve"> </w:t>
      </w:r>
      <w:r>
        <w:t xml:space="preserve">“Detecting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Cs/>
          <w:i/>
        </w:rPr>
        <w:t xml:space="preserve">ACM Trans. Comput.-Hum. Interact.</w:t>
      </w:r>
      <w:r>
        <w:t xml:space="preserve"> </w:t>
      </w:r>
      <w:r>
        <w:t xml:space="preserve">28 (1): 3:1–41.</w:t>
      </w:r>
      <w:r>
        <w:t xml:space="preserve"> </w:t>
      </w:r>
      <w:hyperlink r:id="rId54">
        <w:r>
          <w:rPr>
            <w:rStyle w:val="Hyperlink"/>
          </w:rPr>
          <w:t xml:space="preserve">https://doi.org/10.1145/3422821</w:t>
        </w:r>
      </w:hyperlink>
      <w:r>
        <w:t xml:space="preserve">.</w:t>
      </w:r>
    </w:p>
    <w:bookmarkEnd w:id="55"/>
    <w:bookmarkStart w:id="57" w:name="X9e721daa391aadb88ede9c4453612566b97ca1a"/>
    <w:p>
      <w:pPr>
        <w:pStyle w:val="Bibliography"/>
      </w:pPr>
      <w:r>
        <w:t xml:space="preserve">Dormann, Carsten F. 2020.</w:t>
      </w:r>
      <w:r>
        <w:t xml:space="preserve"> </w:t>
      </w:r>
      <w:r>
        <w:t xml:space="preserve">“Calibration of Probability Predictions from Machine-Learning and Statistical Models.”</w:t>
      </w:r>
      <w:r>
        <w:t xml:space="preserve"> </w:t>
      </w:r>
      <w:r>
        <w:rPr>
          <w:iCs/>
          <w:i/>
        </w:rPr>
        <w:t xml:space="preserve">Global Ecology and Biogeography</w:t>
      </w:r>
      <w:r>
        <w:t xml:space="preserve"> </w:t>
      </w:r>
      <w:r>
        <w:t xml:space="preserve">29 (4): 760–65.</w:t>
      </w:r>
      <w:r>
        <w:t xml:space="preserve"> </w:t>
      </w:r>
      <w:hyperlink r:id="rId56">
        <w:r>
          <w:rPr>
            <w:rStyle w:val="Hyperlink"/>
          </w:rPr>
          <w:t xml:space="preserve">https://doi.org/10.1111/geb.13070</w:t>
        </w:r>
      </w:hyperlink>
      <w:r>
        <w:t xml:space="preserve">.</w:t>
      </w:r>
    </w:p>
    <w:bookmarkEnd w:id="57"/>
    <w:bookmarkStart w:id="59"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8">
        <w:r>
          <w:rPr>
            <w:rStyle w:val="Hyperlink"/>
          </w:rPr>
          <w:t xml:space="preserve">https://doi.org/10.2196/13209</w:t>
        </w:r>
      </w:hyperlink>
      <w:r>
        <w:t xml:space="preserve">.</w:t>
      </w:r>
    </w:p>
    <w:bookmarkEnd w:id="59"/>
    <w:bookmarkStart w:id="61"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60">
        <w:r>
          <w:rPr>
            <w:rStyle w:val="Hyperlink"/>
          </w:rPr>
          <w:t xml:space="preserve">https://doi.org/10.1016/j.drugalcdep.2013.09.007</w:t>
        </w:r>
      </w:hyperlink>
      <w:r>
        <w:t xml:space="preserve">.</w:t>
      </w:r>
    </w:p>
    <w:bookmarkEnd w:id="61"/>
    <w:bookmarkStart w:id="63" w:name="ref-gajosUsingRiskTerrain"/>
    <w:p>
      <w:pPr>
        <w:pStyle w:val="Bibliography"/>
      </w:pPr>
      <w:r>
        <w:t xml:space="preserve">Gajos, Jamie M., Alejandro Gimenez-Santana, Jeffery T. Walker, Karen L. Cropsey, Scott T. Walters, and Michael S. Businelle. n.d.</w:t>
      </w:r>
      <w:r>
        <w:t xml:space="preserve"> </w:t>
      </w:r>
      <w:r>
        <w:t xml:space="preserve">“Using Risk Terrain Modeling and Geographically-Explicit Ecological Momentary Assessments to Examine Alcohol Use in Adults Experiencing Homelessness.”</w:t>
      </w:r>
      <w:r>
        <w:t xml:space="preserve"> </w:t>
      </w:r>
      <w:r>
        <w:rPr>
          <w:iCs/>
          <w:i/>
        </w:rPr>
        <w:t xml:space="preserve">Journal of Crime and Justice</w:t>
      </w:r>
      <w:r>
        <w:t xml:space="preserve"> </w:t>
      </w:r>
      <w:r>
        <w:t xml:space="preserve">0 (0): 1–14. Accessed October 19, 2024.</w:t>
      </w:r>
      <w:r>
        <w:t xml:space="preserve"> </w:t>
      </w:r>
      <w:hyperlink r:id="rId62">
        <w:r>
          <w:rPr>
            <w:rStyle w:val="Hyperlink"/>
          </w:rPr>
          <w:t xml:space="preserve">https://doi.org/10.1080/0735648X.2024.2396406</w:t>
        </w:r>
      </w:hyperlink>
      <w:r>
        <w:t xml:space="preserve">.</w:t>
      </w:r>
    </w:p>
    <w:bookmarkEnd w:id="63"/>
    <w:bookmarkStart w:id="65"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64">
        <w:r>
          <w:rPr>
            <w:rStyle w:val="Hyperlink"/>
          </w:rPr>
          <w:t xml:space="preserve">https://doi.org/10.1037/a0038620</w:t>
        </w:r>
      </w:hyperlink>
      <w:r>
        <w:t xml:space="preserve">.</w:t>
      </w:r>
    </w:p>
    <w:bookmarkEnd w:id="65"/>
    <w:bookmarkStart w:id="67" w:name="X8f9ce44ccebfee6d9a5b3b24efed40015bc7ec5"/>
    <w:p>
      <w:pPr>
        <w:pStyle w:val="Bibliography"/>
      </w:pPr>
      <w:r>
        <w:t xml:space="preserve">Green, Ben. 2022.</w:t>
      </w:r>
      <w:r>
        <w:t xml:space="preserve"> </w:t>
      </w:r>
      <w:r>
        <w:t xml:space="preserve">“Escaping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Cs/>
          <w:i/>
        </w:rPr>
        <w:t xml:space="preserve">Philosophy &amp; Technology</w:t>
      </w:r>
      <w:r>
        <w:t xml:space="preserve"> </w:t>
      </w:r>
      <w:r>
        <w:t xml:space="preserve">35 (4): 90.</w:t>
      </w:r>
      <w:r>
        <w:t xml:space="preserve"> </w:t>
      </w:r>
      <w:hyperlink r:id="rId66">
        <w:r>
          <w:rPr>
            <w:rStyle w:val="Hyperlink"/>
          </w:rPr>
          <w:t xml:space="preserve">https://doi.org/10.1007/s13347-022-00584-6</w:t>
        </w:r>
      </w:hyperlink>
      <w:r>
        <w:t xml:space="preserve">.</w:t>
      </w:r>
    </w:p>
    <w:bookmarkEnd w:id="67"/>
    <w:bookmarkStart w:id="68" w:name="X8b5c8fdbf21d84863e7caf3cd7d0eefc498f0e7"/>
    <w:p>
      <w:pPr>
        <w:pStyle w:val="Bibliography"/>
      </w:pPr>
      <w:r>
        <w:t xml:space="preserve">Green, Ben, and Lily Hu. n.d.</w:t>
      </w:r>
      <w:r>
        <w:t xml:space="preserve"> </w:t>
      </w:r>
      <w:r>
        <w:t xml:space="preserve">“The</w:t>
      </w:r>
      <w:r>
        <w:t xml:space="preserve"> </w:t>
      </w:r>
      <w:r>
        <w:t xml:space="preserve">Myth</w:t>
      </w:r>
      <w:r>
        <w:t xml:space="preserve"> </w:t>
      </w:r>
      <w:r>
        <w:t xml:space="preserve">in the</w:t>
      </w:r>
      <w:r>
        <w:t xml:space="preserve"> </w:t>
      </w:r>
      <w:r>
        <w:t xml:space="preserve">Methodology</w:t>
      </w:r>
      <w:r>
        <w:t xml:space="preserve">:</w:t>
      </w:r>
      <w:r>
        <w:t xml:space="preserve"> </w:t>
      </w:r>
      <w:r>
        <w:t xml:space="preserve">Towards</w:t>
      </w:r>
      <w:r>
        <w:t xml:space="preserve"> </w:t>
      </w:r>
      <w:r>
        <w:t xml:space="preserve">a</w:t>
      </w:r>
      <w:r>
        <w:t xml:space="preserve"> </w:t>
      </w:r>
      <w:r>
        <w:t xml:space="preserve">Recontextualization</w:t>
      </w:r>
      <w:r>
        <w:t xml:space="preserve"> </w:t>
      </w:r>
      <w:r>
        <w:t xml:space="preserve">of</w:t>
      </w:r>
      <w:r>
        <w:t xml:space="preserve"> </w:t>
      </w:r>
      <w:r>
        <w:t xml:space="preserve">Fairness</w:t>
      </w:r>
      <w:r>
        <w:t xml:space="preserve"> </w:t>
      </w:r>
      <w:r>
        <w:t xml:space="preserve">in</w:t>
      </w:r>
      <w:r>
        <w:t xml:space="preserve"> </w:t>
      </w:r>
      <w:r>
        <w:t xml:space="preserve">Machine Learning</w:t>
      </w:r>
      <w:r>
        <w:t xml:space="preserve">.”</w:t>
      </w:r>
    </w:p>
    <w:bookmarkEnd w:id="68"/>
    <w:bookmarkStart w:id="70" w:name="Xb9dba2198a78c2adf1ec8e56ff17b98175e64a3"/>
    <w:p>
      <w:pPr>
        <w:pStyle w:val="Bibliography"/>
      </w:pPr>
      <w:r>
        <w:t xml:space="preserve">Grgić-Hlača, Nina, Muhammad Bilal Zafar, Krishna P. Gummadi, and Adrian Weller. 2018.</w:t>
      </w:r>
      <w:r>
        <w:t xml:space="preserve"> </w:t>
      </w:r>
      <w:r>
        <w:t xml:space="preserve">“Beyond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Cs/>
          <w:i/>
        </w:rPr>
        <w:t xml:space="preserve">Proceedings of the AAAI Conference on Artificial Intelligence</w:t>
      </w:r>
      <w:r>
        <w:t xml:space="preserve"> </w:t>
      </w:r>
      <w:r>
        <w:t xml:space="preserve">32 (1).</w:t>
      </w:r>
      <w:r>
        <w:t xml:space="preserve"> </w:t>
      </w:r>
      <w:hyperlink r:id="rId69">
        <w:r>
          <w:rPr>
            <w:rStyle w:val="Hyperlink"/>
          </w:rPr>
          <w:t xml:space="preserve">https://doi.org/10.1609/aaai.v32i1.11296</w:t>
        </w:r>
      </w:hyperlink>
      <w:r>
        <w:t xml:space="preserve">.</w:t>
      </w:r>
    </w:p>
    <w:bookmarkEnd w:id="70"/>
    <w:bookmarkStart w:id="72"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71">
        <w:r>
          <w:rPr>
            <w:rStyle w:val="Hyperlink"/>
          </w:rPr>
          <w:t xml:space="preserve">https://doi.org/10.1001/jamapsychiatry.2013.4642</w:t>
        </w:r>
      </w:hyperlink>
      <w:r>
        <w:t xml:space="preserve">.</w:t>
      </w:r>
    </w:p>
    <w:bookmarkEnd w:id="72"/>
    <w:bookmarkStart w:id="74"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73">
        <w:r>
          <w:rPr>
            <w:rStyle w:val="Hyperlink"/>
          </w:rPr>
          <w:t xml:space="preserve">https://doi.org/10.1038/s41593-020-0636-4</w:t>
        </w:r>
      </w:hyperlink>
      <w:r>
        <w:t xml:space="preserve">.</w:t>
      </w:r>
    </w:p>
    <w:bookmarkEnd w:id="74"/>
    <w:bookmarkStart w:id="75"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75"/>
    <w:bookmarkStart w:id="77" w:name="ref-huhneDAILYPersonalizedCircadian2021"/>
    <w:p>
      <w:pPr>
        <w:pStyle w:val="Bibliography"/>
      </w:pPr>
      <w:r>
        <w:t xml:space="preserve">Hühne, Anisja, Eva Hoch, and Dominic Landgraf. 2021.</w:t>
      </w:r>
      <w:r>
        <w:t xml:space="preserve"> </w:t>
      </w:r>
      <w:r>
        <w:t xml:space="preserve">“</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Cs/>
          <w:i/>
        </w:rPr>
        <w:t xml:space="preserve">Frontiers in Psychiatry</w:t>
      </w:r>
      <w:r>
        <w:t xml:space="preserve"> </w:t>
      </w:r>
      <w:r>
        <w:t xml:space="preserve">11 (January).</w:t>
      </w:r>
      <w:r>
        <w:t xml:space="preserve"> </w:t>
      </w:r>
      <w:hyperlink r:id="rId76">
        <w:r>
          <w:rPr>
            <w:rStyle w:val="Hyperlink"/>
          </w:rPr>
          <w:t xml:space="preserve">https://doi.org/10.3389/fpsyt.2020.569864</w:t>
        </w:r>
      </w:hyperlink>
      <w:r>
        <w:t xml:space="preserve">.</w:t>
      </w:r>
    </w:p>
    <w:bookmarkEnd w:id="77"/>
    <w:bookmarkStart w:id="79"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78">
        <w:r>
          <w:rPr>
            <w:rStyle w:val="Hyperlink"/>
          </w:rPr>
          <w:t xml:space="preserve">https://doi.org/10.2174/1874941001003010076</w:t>
        </w:r>
      </w:hyperlink>
      <w:r>
        <w:t xml:space="preserve">.</w:t>
      </w:r>
    </w:p>
    <w:bookmarkEnd w:id="79"/>
    <w:bookmarkStart w:id="80"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80"/>
    <w:bookmarkStart w:id="82"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81">
        <w:r>
          <w:rPr>
            <w:rStyle w:val="Hyperlink"/>
          </w:rPr>
          <w:t xml:space="preserve">https://doi.org/10.1023/A:1008987426876</w:t>
        </w:r>
      </w:hyperlink>
      <w:r>
        <w:t xml:space="preserve">.</w:t>
      </w:r>
    </w:p>
    <w:bookmarkEnd w:id="82"/>
    <w:bookmarkStart w:id="84" w:name="ref-kabirBalancingFairnessUnveiling2024"/>
    <w:p>
      <w:pPr>
        <w:pStyle w:val="Bibliography"/>
      </w:pPr>
      <w:r>
        <w:t xml:space="preserve">Kabir, Md Alamgir, Mobyen Uddin Ahmed, Shahina Begum, Shaibal Barua, and Md Rakibul Islam. 2024.</w:t>
      </w:r>
      <w:r>
        <w:t xml:space="preserve"> </w:t>
      </w:r>
      <w:r>
        <w:t xml:space="preserve">“Balancing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t xml:space="preserve">In</w:t>
      </w:r>
      <w:r>
        <w:t xml:space="preserve"> </w:t>
      </w:r>
      <w:r>
        <w:rPr>
          <w:iCs/>
          <w:i/>
        </w:rPr>
        <w:t xml:space="preserve">Proceedings of the 2024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Machine Learning Technologies</w:t>
      </w:r>
      <w:r>
        <w:t xml:space="preserve">, 21–29.</w:t>
      </w:r>
      <w:r>
        <w:t xml:space="preserve"> </w:t>
      </w:r>
      <w:r>
        <w:t xml:space="preserve">ICMLT</w:t>
      </w:r>
      <w:r>
        <w:t xml:space="preserve"> </w:t>
      </w:r>
      <w:r>
        <w:t xml:space="preserve">’24. New York, NY, USA: Association for Computing Machinery.</w:t>
      </w:r>
      <w:r>
        <w:t xml:space="preserve"> </w:t>
      </w:r>
      <w:hyperlink r:id="rId83">
        <w:r>
          <w:rPr>
            <w:rStyle w:val="Hyperlink"/>
          </w:rPr>
          <w:t xml:space="preserve">https://doi.org/10.1145/3674029.3674034</w:t>
        </w:r>
      </w:hyperlink>
      <w:r>
        <w:t xml:space="preserve">.</w:t>
      </w:r>
    </w:p>
    <w:bookmarkEnd w:id="84"/>
    <w:bookmarkStart w:id="86"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85">
        <w:r>
          <w:rPr>
            <w:rStyle w:val="Hyperlink"/>
          </w:rPr>
          <w:t xml:space="preserve">https://doi.org/10.1007/978-1-4614-6849-3</w:t>
        </w:r>
      </w:hyperlink>
      <w:r>
        <w:t xml:space="preserve">.</w:t>
      </w:r>
    </w:p>
    <w:bookmarkEnd w:id="86"/>
    <w:bookmarkStart w:id="87"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7"/>
    <w:bookmarkStart w:id="89"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88">
        <w:r>
          <w:rPr>
            <w:rStyle w:val="Hyperlink"/>
          </w:rPr>
          <w:t xml:space="preserve">https://doi.org/10.1080/13658816.2018.1503276</w:t>
        </w:r>
      </w:hyperlink>
      <w:r>
        <w:t xml:space="preserve">.</w:t>
      </w:r>
    </w:p>
    <w:bookmarkEnd w:id="89"/>
    <w:bookmarkStart w:id="91" w:name="X37a1ac456fec1ab26cb86bd87934b700ddc3ec3"/>
    <w:p>
      <w:pPr>
        <w:pStyle w:val="Bibliography"/>
      </w:pPr>
      <w:r>
        <w:t xml:space="preserve">Larimer, Mary E., Rebekka S. Palmer, and G. Alan Marlatt. 1999.</w:t>
      </w:r>
      <w:r>
        <w:t xml:space="preserve"> </w:t>
      </w:r>
      <w:r>
        <w:t xml:space="preserve">“</w:t>
      </w:r>
      <w:hyperlink r:id="rId90">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Cs/>
          <w:i/>
        </w:rPr>
        <w:t xml:space="preserve">Alcohol Research &amp; Health</w:t>
      </w:r>
      <w:r>
        <w:t xml:space="preserve"> </w:t>
      </w:r>
      <w:r>
        <w:t xml:space="preserve">23 (2): 151.</w:t>
      </w:r>
    </w:p>
    <w:bookmarkEnd w:id="91"/>
    <w:bookmarkStart w:id="93"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92">
        <w:r>
          <w:rPr>
            <w:rStyle w:val="Hyperlink"/>
          </w:rPr>
          <w:t xml:space="preserve">https://doi.org/10.1007/s13311-019-00824-2</w:t>
        </w:r>
      </w:hyperlink>
      <w:r>
        <w:t xml:space="preserve">.</w:t>
      </w:r>
    </w:p>
    <w:bookmarkEnd w:id="93"/>
    <w:bookmarkStart w:id="9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94"/>
    <w:bookmarkStart w:id="96"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95">
        <w:r>
          <w:rPr>
            <w:rStyle w:val="Hyperlink"/>
          </w:rPr>
          <w:t xml:space="preserve">https://doi.org/10.1097/JTO.0b013e3181ec173d</w:t>
        </w:r>
      </w:hyperlink>
      <w:r>
        <w:t xml:space="preserve">.</w:t>
      </w:r>
    </w:p>
    <w:bookmarkEnd w:id="96"/>
    <w:bookmarkStart w:id="97"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97"/>
    <w:bookmarkStart w:id="98"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Cs/>
          <w:i/>
        </w:rPr>
        <w:t xml:space="preserve">VIN Foundation</w:t>
      </w:r>
      <w:r>
        <w:t xml:space="preserve">. https://vinfoundation.org/2024-federal-poverty-rates-published-why-that-matters-for-your-student-loans/.</w:t>
      </w:r>
    </w:p>
    <w:bookmarkEnd w:id="98"/>
    <w:bookmarkStart w:id="100" w:name="ref-mccaulAlcoholWomenBrief2019"/>
    <w:p>
      <w:pPr>
        <w:pStyle w:val="Bibliography"/>
      </w:pPr>
      <w:r>
        <w:t xml:space="preserve">McCaul, M. E., D. Roach, D. S. Hasin, C. Weisner, G. Chang, and R. Sinha. 2019.</w:t>
      </w:r>
      <w:r>
        <w:t xml:space="preserve"> </w:t>
      </w:r>
      <w:r>
        <w:t xml:space="preserve">“Alcohol and</w:t>
      </w:r>
      <w:r>
        <w:t xml:space="preserve"> </w:t>
      </w:r>
      <w:r>
        <w:t xml:space="preserve">Women</w:t>
      </w:r>
      <w:r>
        <w:t xml:space="preserve">:</w:t>
      </w:r>
      <w:r>
        <w:t xml:space="preserve"> </w:t>
      </w:r>
      <w:r>
        <w:t xml:space="preserve">A Brief Overview</w:t>
      </w:r>
      <w:r>
        <w:t xml:space="preserve">.”</w:t>
      </w:r>
      <w:r>
        <w:t xml:space="preserve"> </w:t>
      </w:r>
      <w:r>
        <w:rPr>
          <w:iCs/>
          <w:i/>
        </w:rPr>
        <w:t xml:space="preserve">Alcoholism, Clinical and Experimental Research</w:t>
      </w:r>
      <w:r>
        <w:t xml:space="preserve"> </w:t>
      </w:r>
      <w:r>
        <w:t xml:space="preserve">43 (5): 774.</w:t>
      </w:r>
      <w:r>
        <w:t xml:space="preserve"> </w:t>
      </w:r>
      <w:hyperlink r:id="rId99">
        <w:r>
          <w:rPr>
            <w:rStyle w:val="Hyperlink"/>
          </w:rPr>
          <w:t xml:space="preserve">https://doi.org/10.1111/acer.13985</w:t>
        </w:r>
      </w:hyperlink>
      <w:r>
        <w:t xml:space="preserve">.</w:t>
      </w:r>
    </w:p>
    <w:bookmarkEnd w:id="100"/>
    <w:bookmarkStart w:id="102" w:name="Xb9842149bf4d653aaac917c5fb9eebdd3d18743"/>
    <w:p>
      <w:pPr>
        <w:pStyle w:val="Bibliography"/>
      </w:pPr>
      <w:r>
        <w:t xml:space="preserve">McCrady, Barbara S., Elizabeth E. Epstein, and Kathryn F. Fokas. 2020.</w:t>
      </w:r>
      <w:r>
        <w:t xml:space="preserve"> </w:t>
      </w:r>
      <w:r>
        <w:t xml:space="preserve">“Treatment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Cs/>
          <w:i/>
        </w:rPr>
        <w:t xml:space="preserve">Alcohol Research : Current Reviews</w:t>
      </w:r>
      <w:r>
        <w:t xml:space="preserve"> </w:t>
      </w:r>
      <w:r>
        <w:t xml:space="preserve">40 (2): 08.</w:t>
      </w:r>
      <w:r>
        <w:t xml:space="preserve"> </w:t>
      </w:r>
      <w:hyperlink r:id="rId101">
        <w:r>
          <w:rPr>
            <w:rStyle w:val="Hyperlink"/>
          </w:rPr>
          <w:t xml:space="preserve">https://doi.org/10.35946/arcr.v40.2.08</w:t>
        </w:r>
      </w:hyperlink>
      <w:r>
        <w:t xml:space="preserve">.</w:t>
      </w:r>
    </w:p>
    <w:bookmarkEnd w:id="102"/>
    <w:bookmarkStart w:id="104" w:name="Xed9a0c27fdd3db63766725c7cdfe8fb6d8f21da"/>
    <w:p>
      <w:pPr>
        <w:pStyle w:val="Bibliography"/>
      </w:pPr>
      <w:r>
        <w:t xml:space="preserve">Mitchell, Shira, Eric Potash, Solon Barocas, Alexander D’Amour, and Kristian Lum. 2021.</w:t>
      </w:r>
      <w:r>
        <w:t xml:space="preserve"> </w:t>
      </w:r>
      <w:r>
        <w:t xml:space="preserve">“Algorithmic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Cs/>
          <w:i/>
        </w:rPr>
        <w:t xml:space="preserve">Annual Review of Statistics and Its Application</w:t>
      </w:r>
      <w:r>
        <w:t xml:space="preserve"> </w:t>
      </w:r>
      <w:r>
        <w:t xml:space="preserve">8 (Volume 8, 2021): 141–63.</w:t>
      </w:r>
      <w:r>
        <w:t xml:space="preserve"> </w:t>
      </w:r>
      <w:hyperlink r:id="rId103">
        <w:r>
          <w:rPr>
            <w:rStyle w:val="Hyperlink"/>
          </w:rPr>
          <w:t xml:space="preserve">https://doi.org/10.1146/annurev-statistics-042720-125902</w:t>
        </w:r>
      </w:hyperlink>
      <w:r>
        <w:t xml:space="preserve">.</w:t>
      </w:r>
    </w:p>
    <w:bookmarkEnd w:id="104"/>
    <w:bookmarkStart w:id="106"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05">
        <w:r>
          <w:rPr>
            <w:rStyle w:val="Hyperlink"/>
          </w:rPr>
          <w:t xml:space="preserve">https://doi.org/10.1146/annurev-clinpsy-032816-044949</w:t>
        </w:r>
      </w:hyperlink>
      <w:r>
        <w:t xml:space="preserve">.</w:t>
      </w:r>
    </w:p>
    <w:bookmarkEnd w:id="106"/>
    <w:bookmarkStart w:id="108"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07">
        <w:r>
          <w:rPr>
            <w:rStyle w:val="Hyperlink"/>
          </w:rPr>
          <w:t xml:space="preserve">https://doi.org/10.2196/mhealth.5787</w:t>
        </w:r>
      </w:hyperlink>
      <w:r>
        <w:t xml:space="preserve">.</w:t>
      </w:r>
    </w:p>
    <w:bookmarkEnd w:id="108"/>
    <w:bookmarkStart w:id="109" w:name="ref-ochigameLongHistoryAlgorithmic2020"/>
    <w:p>
      <w:pPr>
        <w:pStyle w:val="Bibliography"/>
      </w:pPr>
      <w:r>
        <w:t xml:space="preserve">Ochigame, Rodrigo. 2020.</w:t>
      </w:r>
      <w:r>
        <w:t xml:space="preserve"> </w:t>
      </w:r>
      <w:r>
        <w:t xml:space="preserve">“The</w:t>
      </w:r>
      <w:r>
        <w:t xml:space="preserve"> </w:t>
      </w:r>
      <w:r>
        <w:t xml:space="preserve">Long History</w:t>
      </w:r>
      <w:r>
        <w:t xml:space="preserve"> </w:t>
      </w:r>
      <w:r>
        <w:t xml:space="preserve">of</w:t>
      </w:r>
      <w:r>
        <w:t xml:space="preserve"> </w:t>
      </w:r>
      <w:r>
        <w:t xml:space="preserve">Algorithmic Fairness</w:t>
      </w:r>
      <w:r>
        <w:t xml:space="preserve">.”</w:t>
      </w:r>
      <w:r>
        <w:t xml:space="preserve"> </w:t>
      </w:r>
      <w:r>
        <w:rPr>
          <w:iCs/>
          <w:i/>
        </w:rPr>
        <w:t xml:space="preserve">Phenomenal World</w:t>
      </w:r>
      <w:r>
        <w:t xml:space="preserve">.</w:t>
      </w:r>
    </w:p>
    <w:bookmarkEnd w:id="109"/>
    <w:bookmarkStart w:id="110"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10"/>
    <w:bookmarkStart w:id="112"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1">
        <w:r>
          <w:rPr>
            <w:rStyle w:val="Hyperlink"/>
          </w:rPr>
          <w:t xml:space="preserve">https://doi.org/10.7326/M18-1990</w:t>
        </w:r>
      </w:hyperlink>
      <w:r>
        <w:t xml:space="preserve">.</w:t>
      </w:r>
    </w:p>
    <w:bookmarkEnd w:id="112"/>
    <w:bookmarkStart w:id="114"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3">
        <w:r>
          <w:rPr>
            <w:rStyle w:val="Hyperlink"/>
          </w:rPr>
          <w:t xml:space="preserve">https://doi.org/10.1093/schbul/sbaa121</w:t>
        </w:r>
      </w:hyperlink>
      <w:r>
        <w:t xml:space="preserve">.</w:t>
      </w:r>
    </w:p>
    <w:bookmarkEnd w:id="114"/>
    <w:bookmarkStart w:id="116" w:name="ref-saebMobilePhoneSensor2015b"/>
    <w:p>
      <w:pPr>
        <w:pStyle w:val="Bibliography"/>
      </w:pPr>
      <w:r>
        <w:t xml:space="preserve">Saeb, Sohrab, Mi Zhang, Christopher J. Karr, Stephen M. Schueller, Marya E. Corden, Konrad P. Kording, and David C. Mohr. 2015.</w:t>
      </w:r>
      <w:r>
        <w:t xml:space="preserve"> </w:t>
      </w:r>
      <w:r>
        <w:t xml:space="preserve">“Mobile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Cs/>
          <w:i/>
        </w:rPr>
        <w:t xml:space="preserve">Journal of Medical Internet Research</w:t>
      </w:r>
      <w:r>
        <w:t xml:space="preserve"> </w:t>
      </w:r>
      <w:r>
        <w:t xml:space="preserve">17 (7): e4273.</w:t>
      </w:r>
      <w:r>
        <w:t xml:space="preserve"> </w:t>
      </w:r>
      <w:hyperlink r:id="rId115">
        <w:r>
          <w:rPr>
            <w:rStyle w:val="Hyperlink"/>
          </w:rPr>
          <w:t xml:space="preserve">https://doi.org/10.2196/jmir.4273</w:t>
        </w:r>
      </w:hyperlink>
      <w:r>
        <w:t xml:space="preserve">.</w:t>
      </w:r>
    </w:p>
    <w:bookmarkEnd w:id="116"/>
    <w:bookmarkStart w:id="118" w:name="X399194769b13c1a72798823eabcbf05e42506e9"/>
    <w:p>
      <w:pPr>
        <w:pStyle w:val="Bibliography"/>
      </w:pPr>
      <w:r>
        <w:t xml:space="preserve">Saeb, Sohrab, Mi Zhang, Mary Kwasny, Christopher J. Karr, Konrad Kording, and David C. Mohr. 2015.</w:t>
      </w:r>
      <w:r>
        <w:t xml:space="preserve"> </w:t>
      </w:r>
      <w:r>
        <w:t xml:space="preserve">“The Relationship Between Clinical, Momentary, and Sensor-Based Assessment of Depression.”</w:t>
      </w:r>
      <w:r>
        <w:t xml:space="preserve"> </w:t>
      </w:r>
      <w:r>
        <w:t xml:space="preserve">In</w:t>
      </w:r>
      <w:r>
        <w:t xml:space="preserve"> </w:t>
      </w:r>
      <w:r>
        <w:rPr>
          <w:iCs/>
          <w:i/>
        </w:rPr>
        <w:t xml:space="preserve">2015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Pervasive Computing Technologies</w:t>
      </w:r>
      <w:r>
        <w:rPr>
          <w:iCs/>
          <w:i/>
        </w:rPr>
        <w:t xml:space="preserve"> </w:t>
      </w:r>
      <w:r>
        <w:rPr>
          <w:iCs/>
          <w:i/>
        </w:rPr>
        <w:t xml:space="preserve">for</w:t>
      </w:r>
      <w:r>
        <w:rPr>
          <w:iCs/>
          <w:i/>
        </w:rPr>
        <w:t xml:space="preserve"> </w:t>
      </w:r>
      <w:r>
        <w:rPr>
          <w:iCs/>
          <w:i/>
        </w:rPr>
        <w:t xml:space="preserve">Healthcare</w:t>
      </w:r>
      <w:r>
        <w:rPr>
          <w:iCs/>
          <w:i/>
        </w:rPr>
        <w:t xml:space="preserve"> </w:t>
      </w:r>
      <w:r>
        <w:rPr>
          <w:iCs/>
          <w:i/>
        </w:rPr>
        <w:t xml:space="preserve">(</w:t>
      </w:r>
      <w:r>
        <w:rPr>
          <w:iCs/>
          <w:i/>
        </w:rPr>
        <w:t xml:space="preserve">PervasiveHealth</w:t>
      </w:r>
      <w:r>
        <w:rPr>
          <w:iCs/>
          <w:i/>
        </w:rPr>
        <w:t xml:space="preserve">)</w:t>
      </w:r>
      <w:r>
        <w:t xml:space="preserve">, 229–32.</w:t>
      </w:r>
      <w:r>
        <w:t xml:space="preserve"> </w:t>
      </w:r>
      <w:hyperlink r:id="rId117">
        <w:r>
          <w:rPr>
            <w:rStyle w:val="Hyperlink"/>
          </w:rPr>
          <w:t xml:space="preserve">https://doi.org/10.4108/icst.pervasivehealth.2015.259034</w:t>
        </w:r>
      </w:hyperlink>
      <w:r>
        <w:t xml:space="preserve">.</w:t>
      </w:r>
    </w:p>
    <w:bookmarkEnd w:id="118"/>
    <w:bookmarkStart w:id="120"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19">
        <w:r>
          <w:rPr>
            <w:rStyle w:val="Hyperlink"/>
          </w:rPr>
          <w:t xml:space="preserve">https://doi.org/10.1111/acer.14440</w:t>
        </w:r>
      </w:hyperlink>
      <w:r>
        <w:t xml:space="preserve">.</w:t>
      </w:r>
    </w:p>
    <w:bookmarkEnd w:id="120"/>
    <w:bookmarkStart w:id="122"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21">
        <w:r>
          <w:rPr>
            <w:rStyle w:val="Hyperlink"/>
          </w:rPr>
          <w:t xml:space="preserve">https://doi.org/10.3390/ijerph20115984</w:t>
        </w:r>
      </w:hyperlink>
      <w:r>
        <w:t xml:space="preserve">.</w:t>
      </w:r>
    </w:p>
    <w:bookmarkEnd w:id="122"/>
    <w:bookmarkStart w:id="124"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3">
        <w:r>
          <w:rPr>
            <w:rStyle w:val="Hyperlink"/>
          </w:rPr>
          <w:t xml:space="preserve">https://doi.org/10.2105/AJPH.2013.301306</w:t>
        </w:r>
      </w:hyperlink>
      <w:r>
        <w:t xml:space="preserve">.</w:t>
      </w:r>
    </w:p>
    <w:bookmarkEnd w:id="124"/>
    <w:bookmarkStart w:id="126" w:name="ref-tamuraCircadianRhythmsSubstance2021"/>
    <w:p>
      <w:pPr>
        <w:pStyle w:val="Bibliography"/>
      </w:pPr>
      <w:r>
        <w:t xml:space="preserve">Tamura, Eduardo K., Kallyane S. Oliveira-Silva, Felipe A. Ferreira-Moraes, Eduardo A. V. Marinho, and Natalí N. Guerrero-Vargas. 2021.</w:t>
      </w:r>
      <w:r>
        <w:t xml:space="preserve"> </w:t>
      </w:r>
      <w:r>
        <w:t xml:space="preserve">“Circadian Rhythms and Substance Use Disorders:</w:t>
      </w:r>
      <w:r>
        <w:t xml:space="preserve"> </w:t>
      </w:r>
      <w:r>
        <w:t xml:space="preserve">A</w:t>
      </w:r>
      <w:r>
        <w:t xml:space="preserve"> </w:t>
      </w:r>
      <w:r>
        <w:t xml:space="preserve">Bidirectional Relationship.”</w:t>
      </w:r>
      <w:r>
        <w:t xml:space="preserve"> </w:t>
      </w:r>
      <w:r>
        <w:rPr>
          <w:iCs/>
          <w:i/>
        </w:rPr>
        <w:t xml:space="preserve">Pharmacology Biochemistry and Behavior</w:t>
      </w:r>
      <w:r>
        <w:t xml:space="preserve"> </w:t>
      </w:r>
      <w:r>
        <w:t xml:space="preserve">201 (February): 173105.</w:t>
      </w:r>
      <w:r>
        <w:t xml:space="preserve"> </w:t>
      </w:r>
      <w:hyperlink r:id="rId125">
        <w:r>
          <w:rPr>
            <w:rStyle w:val="Hyperlink"/>
          </w:rPr>
          <w:t xml:space="preserve">https://doi.org/10.1016/j.pbb.2021.173105</w:t>
        </w:r>
      </w:hyperlink>
      <w:r>
        <w:t xml:space="preserve">.</w:t>
      </w:r>
    </w:p>
    <w:bookmarkEnd w:id="126"/>
    <w:bookmarkStart w:id="127"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7"/>
    <w:bookmarkStart w:id="129"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8">
        <w:r>
          <w:rPr>
            <w:rStyle w:val="Hyperlink"/>
          </w:rPr>
          <w:t xml:space="preserve">https://doi.org/10.35946/arcr.v40.3.02</w:t>
        </w:r>
      </w:hyperlink>
      <w:r>
        <w:t xml:space="preserve">.</w:t>
      </w:r>
    </w:p>
    <w:bookmarkEnd w:id="129"/>
    <w:bookmarkStart w:id="131" w:name="X049d06bdc5a236c19ae4fe343df8747535c6150"/>
    <w:p>
      <w:pPr>
        <w:pStyle w:val="Bibliography"/>
      </w:pPr>
      <w:r>
        <w:t xml:space="preserve">Van Calster, Ben, David J. McLernon, Maarten van Smeden, Laure Wynants, Ewout W. Steyerberg, Patrick Bossuyt, Gary S. Collins, et al. 2019.</w:t>
      </w:r>
      <w:r>
        <w:t xml:space="preserve"> </w:t>
      </w:r>
      <w:r>
        <w:t xml:space="preserve">“Calibration: The</w:t>
      </w:r>
      <w:r>
        <w:t xml:space="preserve"> </w:t>
      </w:r>
      <w:r>
        <w:t xml:space="preserve">Achilles</w:t>
      </w:r>
      <w:r>
        <w:t xml:space="preserve"> </w:t>
      </w:r>
      <w:r>
        <w:t xml:space="preserve">Heel of Predictive Analytics.”</w:t>
      </w:r>
      <w:r>
        <w:t xml:space="preserve"> </w:t>
      </w:r>
      <w:r>
        <w:rPr>
          <w:iCs/>
          <w:i/>
        </w:rPr>
        <w:t xml:space="preserve">BMC Medicine</w:t>
      </w:r>
      <w:r>
        <w:t xml:space="preserve"> </w:t>
      </w:r>
      <w:r>
        <w:t xml:space="preserve">17 (1): 230.</w:t>
      </w:r>
      <w:r>
        <w:t xml:space="preserve"> </w:t>
      </w:r>
      <w:hyperlink r:id="rId130">
        <w:r>
          <w:rPr>
            <w:rStyle w:val="Hyperlink"/>
          </w:rPr>
          <w:t xml:space="preserve">https://doi.org/10.1186/s12916-019-1466-7</w:t>
        </w:r>
      </w:hyperlink>
      <w:r>
        <w:t xml:space="preserve">.</w:t>
      </w:r>
    </w:p>
    <w:bookmarkEnd w:id="131"/>
    <w:bookmarkStart w:id="133" w:name="X7d2b78e9f922c6e858c9aa0ecdc2a69edb406c2"/>
    <w:p>
      <w:pPr>
        <w:pStyle w:val="Bibliography"/>
      </w:pPr>
      <w:r>
        <w:t xml:space="preserve">VanderPlas, Jacob T. 2018.</w:t>
      </w:r>
      <w:r>
        <w:t xml:space="preserve"> </w:t>
      </w:r>
      <w:r>
        <w:t xml:space="preserve">“Understanding the</w:t>
      </w:r>
      <w:r>
        <w:t xml:space="preserve"> </w:t>
      </w:r>
      <w:r>
        <w:t xml:space="preserve">Lomb</w:t>
      </w:r>
      <w:r>
        <w:t xml:space="preserve">–</w:t>
      </w:r>
      <w:r>
        <w:t xml:space="preserve">Scargle Periodogram</w:t>
      </w:r>
      <w:r>
        <w:t xml:space="preserve">.”</w:t>
      </w:r>
      <w:r>
        <w:t xml:space="preserve"> </w:t>
      </w:r>
      <w:r>
        <w:rPr>
          <w:iCs/>
          <w:i/>
        </w:rPr>
        <w:t xml:space="preserve">The Astrophysical Journal Supplement Series</w:t>
      </w:r>
      <w:r>
        <w:t xml:space="preserve"> </w:t>
      </w:r>
      <w:r>
        <w:t xml:space="preserve">236 (1): 16.</w:t>
      </w:r>
      <w:r>
        <w:t xml:space="preserve"> </w:t>
      </w:r>
      <w:hyperlink r:id="rId132">
        <w:r>
          <w:rPr>
            <w:rStyle w:val="Hyperlink"/>
          </w:rPr>
          <w:t xml:space="preserve">https://doi.org/10.3847/1538-4365/aab766</w:t>
        </w:r>
      </w:hyperlink>
      <w:r>
        <w:t xml:space="preserve">.</w:t>
      </w:r>
    </w:p>
    <w:bookmarkEnd w:id="133"/>
    <w:bookmarkStart w:id="135"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34">
        <w:r>
          <w:rPr>
            <w:rStyle w:val="Hyperlink"/>
          </w:rPr>
          <w:t xml:space="preserve">https://doi.org/10.1016/0899-3289(95)90006-3</w:t>
        </w:r>
      </w:hyperlink>
      <w:r>
        <w:t xml:space="preserve">.</w:t>
      </w:r>
    </w:p>
    <w:bookmarkEnd w:id="135"/>
    <w:bookmarkStart w:id="137"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6">
        <w:r>
          <w:rPr>
            <w:rStyle w:val="Hyperlink"/>
          </w:rPr>
          <w:t xml:space="preserve">https://doi.org/10.1016/s0306-4603(01)00284-2</w:t>
        </w:r>
      </w:hyperlink>
      <w:r>
        <w:t xml:space="preserve">.</w:t>
      </w:r>
    </w:p>
    <w:bookmarkEnd w:id="137"/>
    <w:bookmarkStart w:id="139"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8">
        <w:r>
          <w:rPr>
            <w:rStyle w:val="Hyperlink"/>
          </w:rPr>
          <w:t xml:space="preserve">https://doi.org/10.1145/3531146.3533101</w:t>
        </w:r>
      </w:hyperlink>
      <w:r>
        <w:t xml:space="preserve">.</w:t>
      </w:r>
    </w:p>
    <w:bookmarkEnd w:id="139"/>
    <w:bookmarkStart w:id="141"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40">
        <w:r>
          <w:rPr>
            <w:rStyle w:val="Hyperlink"/>
          </w:rPr>
          <w:t xml:space="preserve">https://doi.org/10.1007/s44176-022-00006-z</w:t>
        </w:r>
      </w:hyperlink>
      <w:r>
        <w:t xml:space="preserve">.</w:t>
      </w:r>
    </w:p>
    <w:bookmarkEnd w:id="141"/>
    <w:bookmarkStart w:id="143"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42">
        <w:r>
          <w:rPr>
            <w:rStyle w:val="Hyperlink"/>
          </w:rPr>
          <w:t xml:space="preserve">https://doi.org/10.1136/bmjhci-2020-100289</w:t>
        </w:r>
      </w:hyperlink>
      <w:r>
        <w:t xml:space="preserve">.</w:t>
      </w:r>
    </w:p>
    <w:bookmarkEnd w:id="143"/>
    <w:bookmarkStart w:id="145"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44">
        <w:r>
          <w:rPr>
            <w:rStyle w:val="Hyperlink"/>
          </w:rPr>
          <w:t xml:space="preserve">https://doi.org/10.1037/0003-066X.59.4.224</w:t>
        </w:r>
      </w:hyperlink>
      <w:r>
        <w:t xml:space="preserve">.</w:t>
      </w:r>
    </w:p>
    <w:bookmarkEnd w:id="145"/>
    <w:bookmarkStart w:id="147"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46">
        <w:r>
          <w:rPr>
            <w:rStyle w:val="Hyperlink"/>
          </w:rPr>
          <w:t xml:space="preserve">https://doi.org/10.31234/osf.io/cgsf7</w:t>
        </w:r>
      </w:hyperlink>
      <w:r>
        <w:t xml:space="preserve">.</w:t>
      </w:r>
    </w:p>
    <w:bookmarkEnd w:id="147"/>
    <w:bookmarkEnd w:id="148"/>
    <w:p>
      <w:r>
        <w:br w:type="page"/>
      </w:r>
    </w:p>
    <w:bookmarkEnd w:id="149"/>
    <w:bookmarkStart w:id="197" w:name="tables-and-figures"/>
    <w:p>
      <w:pPr>
        <w:pStyle w:val="Heading2"/>
      </w:pPr>
      <w:r>
        <w:t xml:space="preserve">Tables and Figures</w:t>
      </w:r>
    </w:p>
    <w:bookmarkStart w:id="151" w:name="table-1-eligibility-criteria"/>
    <w:p>
      <w:pPr>
        <w:pStyle w:val="Heading3"/>
      </w:pPr>
      <w:r>
        <w:t xml:space="preserve">Table 1: Eligibility Criteria</w:t>
      </w:r>
    </w:p>
    <w:tbl>
      <w:tblPr>
        <w:tblStyle w:val="Table"/>
        <w:tblW w:type="pct" w:w="5000"/>
        <w:tblLook w:firstRow="0" w:lastRow="0" w:firstColumn="0" w:lastColumn="0" w:noHBand="0" w:noVBand="0" w:val="0000"/>
        <w:jc w:val="start"/>
        <w:tblLayout w:type="fixed"/>
      </w:tblPr>
      <w:tblGrid>
        <w:gridCol w:w="7920"/>
      </w:tblGrid>
      <w:tr>
        <w:tc>
          <w:tcPr/>
          <w:bookmarkStart w:id="150"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50"/>
          <w:p/>
        </w:tc>
      </w:tr>
    </w:tbl>
    <w:p>
      <w:r>
        <w:br w:type="page"/>
      </w:r>
    </w:p>
    <w:bookmarkEnd w:id="151"/>
    <w:bookmarkStart w:id="153" w:name="X5e379402238964859a1beb1ee4b1755415d28d1"/>
    <w:p>
      <w:pPr>
        <w:pStyle w:val="Heading3"/>
      </w:pPr>
      <w:r>
        <w:t xml:space="preserve">Table 2: Collected demographic information</w:t>
      </w:r>
    </w:p>
    <w:tbl>
      <w:tblPr>
        <w:tblStyle w:val="Table"/>
        <w:tblW w:type="pct" w:w="5000"/>
        <w:tblLook w:firstRow="0" w:lastRow="0" w:firstColumn="0" w:lastColumn="0" w:noHBand="0" w:noVBand="0" w:val="0000"/>
        <w:jc w:val="start"/>
        <w:tblLayout w:type="fixed"/>
      </w:tblPr>
      <w:tblGrid>
        <w:gridCol w:w="7920"/>
      </w:tblGrid>
      <w:tr>
        <w:tc>
          <w:tcPr/>
          <w:bookmarkStart w:id="152"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52"/>
          <w:p/>
        </w:tc>
      </w:tr>
    </w:tbl>
    <w:p>
      <w:r>
        <w:br w:type="page"/>
      </w:r>
    </w:p>
    <w:bookmarkEnd w:id="153"/>
    <w:bookmarkStart w:id="155" w:name="X85d3e833fe6a1aca4e1be0bd28a15b98db36aac"/>
    <w:p>
      <w:pPr>
        <w:pStyle w:val="Heading3"/>
      </w:pPr>
      <w:r>
        <w:t xml:space="preserve">Table 3: Contextual geolocation information</w:t>
      </w:r>
    </w:p>
    <w:tbl>
      <w:tblPr>
        <w:tblStyle w:val="Table"/>
        <w:tblW w:type="pct" w:w="5000"/>
        <w:tblLook w:firstRow="0" w:lastRow="0" w:firstColumn="0" w:lastColumn="0" w:noHBand="0" w:noVBand="0" w:val="0000"/>
        <w:jc w:val="start"/>
        <w:tblLayout w:type="fixed"/>
      </w:tblPr>
      <w:tblGrid>
        <w:gridCol w:w="7920"/>
      </w:tblGrid>
      <w:tr>
        <w:tc>
          <w:tcPr/>
          <w:bookmarkStart w:id="154" w:name="tbl-context"/>
          <w:p>
            <w:pPr>
              <w:jc w:val="center"/>
            </w:pPr>
            <w:pPr>
              <w:jc w:val="start"/>
              <w:spacing w:before="200"/>
              <w:pStyle w:val="ImageCaption"/>
            </w:pPr>
            <w:r>
              <w:t xml:space="preserve">Table 3: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54"/>
          <w:p/>
        </w:tc>
      </w:tr>
    </w:tbl>
    <w:p>
      <w:r>
        <w:br w:type="page"/>
      </w:r>
    </w:p>
    <w:bookmarkEnd w:id="155"/>
    <w:bookmarkStart w:id="160" w:name="table-4-demographic-responses"/>
    <w:p>
      <w:pPr>
        <w:pStyle w:val="Heading3"/>
      </w:pPr>
      <w:r>
        <w:t xml:space="preserve">Table 4: Demographic responses</w:t>
      </w:r>
    </w:p>
    <w:tbl>
      <w:tblPr>
        <w:tblStyle w:val="Table"/>
        <w:tblW w:type="pct" w:w="5000"/>
        <w:tblLook w:firstRow="0" w:lastRow="0" w:firstColumn="0" w:lastColumn="0" w:noHBand="0" w:noVBand="0" w:val="0000"/>
        <w:jc w:val="start"/>
        <w:tblLayout w:type="fixed"/>
      </w:tblPr>
      <w:tblGrid>
        <w:gridCol w:w="7920"/>
      </w:tblGrid>
      <w:tr>
        <w:tc>
          <w:tcPr/>
          <w:bookmarkStart w:id="159"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7" name="Picture"/>
                  <a:graphic>
                    <a:graphicData uri="http://schemas.openxmlformats.org/drawingml/2006/picture">
                      <pic:pic>
                        <pic:nvPicPr>
                          <pic:cNvPr descr="objects/table.png" id="158" name="Picture"/>
                          <pic:cNvPicPr>
                            <a:picLocks noChangeArrowheads="1" noChangeAspect="1"/>
                          </pic:cNvPicPr>
                        </pic:nvPicPr>
                        <pic:blipFill>
                          <a:blip r:embed="rId156"/>
                          <a:stretch>
                            <a:fillRect/>
                          </a:stretch>
                        </pic:blipFill>
                        <pic:spPr bwMode="auto">
                          <a:xfrm>
                            <a:off x="0" y="0"/>
                            <a:ext cx="2987855" cy="8608816"/>
                          </a:xfrm>
                          <a:prstGeom prst="rect">
                            <a:avLst/>
                          </a:prstGeom>
                          <a:noFill/>
                          <a:ln w="9525">
                            <a:noFill/>
                            <a:headEnd/>
                            <a:tailEnd/>
                          </a:ln>
                        </pic:spPr>
                      </pic:pic>
                    </a:graphicData>
                  </a:graphic>
                </wp:inline>
              </w:drawing>
            </w:r>
          </w:p>
          <w:bookmarkEnd w:id="159"/>
        </w:tc>
      </w:tr>
    </w:tbl>
    <w:p>
      <w:r>
        <w:br w:type="page"/>
      </w:r>
    </w:p>
    <w:bookmarkEnd w:id="160"/>
    <w:bookmarkStart w:id="166" w:name="figure-1-auroc-histogram"/>
    <w:p>
      <w:pPr>
        <w:pStyle w:val="Heading3"/>
      </w:pPr>
      <w:r>
        <w:t xml:space="preserve">Figure 1: auROC histogram</w:t>
      </w:r>
    </w:p>
    <w:tbl>
      <w:tblPr>
        <w:tblStyle w:val="Table"/>
        <w:tblW w:type="pct" w:w="5000"/>
        <w:tblLook w:firstRow="0" w:lastRow="0" w:firstColumn="0" w:lastColumn="0" w:noHBand="0" w:noVBand="0" w:val="0000"/>
        <w:jc w:val="start"/>
        <w:tblLayout w:type="fixed"/>
      </w:tblPr>
      <w:tblGrid>
        <w:gridCol w:w="7920"/>
      </w:tblGrid>
      <w:tr>
        <w:tc>
          <w:tcPr/>
          <w:bookmarkStart w:id="164" w:name="fig-auroc-histogram"/>
          <w:p>
            <w:pPr>
              <w:pStyle w:val="Compact"/>
              <w:jc w:val="center"/>
            </w:pPr>
            <w:r>
              <w:drawing>
                <wp:inline>
                  <wp:extent cx="5334000" cy="4267200"/>
                  <wp:effectExtent b="0" l="0" r="0" t="0"/>
                  <wp:docPr descr="" title="" id="162" name="Picture"/>
                  <a:graphic>
                    <a:graphicData uri="http://schemas.openxmlformats.org/drawingml/2006/picture">
                      <pic:pic>
                        <pic:nvPicPr>
                          <pic:cNvPr descr="index_files/figure-docx/notebooks-auROC_distribution_posterior-fig-auroc-histogram-output-1.png" id="163" name="Picture"/>
                          <pic:cNvPicPr>
                            <a:picLocks noChangeArrowheads="1" noChangeAspect="1"/>
                          </pic:cNvPicPr>
                        </pic:nvPicPr>
                        <pic:blipFill>
                          <a:blip r:embed="rId16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Validation auROC histogram and posterior probability distribution</w:t>
        </w:r>
      </w:hyperlink>
    </w:p>
    <w:p>
      <w:r>
        <w:br w:type="page"/>
      </w:r>
    </w:p>
    <w:bookmarkEnd w:id="166"/>
    <w:bookmarkStart w:id="172" w:name="X7c30b93829ed1eff19c54cc55a3ba6aeb03adb2"/>
    <w:p>
      <w:pPr>
        <w:pStyle w:val="Heading3"/>
      </w:pPr>
      <w:r>
        <w:t xml:space="preserve">Figure 2: auROC posterior probability distribution</w:t>
      </w:r>
    </w:p>
    <w:tbl>
      <w:tblPr>
        <w:tblStyle w:val="Table"/>
        <w:tblW w:type="pct" w:w="5000"/>
        <w:tblLook w:firstRow="0" w:lastRow="0" w:firstColumn="0" w:lastColumn="0" w:noHBand="0" w:noVBand="0" w:val="0000"/>
        <w:jc w:val="start"/>
        <w:tblLayout w:type="fixed"/>
      </w:tblPr>
      <w:tblGrid>
        <w:gridCol w:w="7920"/>
      </w:tblGrid>
      <w:tr>
        <w:tc>
          <w:tcPr/>
          <w:bookmarkStart w:id="170" w:name="fig-pp"/>
          <w:p>
            <w:pPr>
              <w:pStyle w:val="Compact"/>
              <w:jc w:val="center"/>
            </w:pPr>
            <w:r>
              <w:drawing>
                <wp:inline>
                  <wp:extent cx="5334000" cy="32004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3-calibration-plot"/>
    <w:p>
      <w:pPr>
        <w:pStyle w:val="Heading3"/>
      </w:pPr>
      <w:r>
        <w:t xml:space="preserve">Figure 3: Calibration plot</w:t>
      </w:r>
    </w:p>
    <w:tbl>
      <w:tblPr>
        <w:tblStyle w:val="Table"/>
        <w:tblW w:type="pct" w:w="5000"/>
        <w:tblLook w:firstRow="0" w:lastRow="0" w:firstColumn="0" w:lastColumn="0" w:noHBand="0" w:noVBand="0" w:val="0000"/>
        <w:jc w:val="start"/>
        <w:tblLayout w:type="fixed"/>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4-calibrated-auroc-plot"/>
    <w:p>
      <w:pPr>
        <w:pStyle w:val="Heading3"/>
      </w:pPr>
      <w:r>
        <w:t xml:space="preserve">Figure 4: Calibrated auROC plot</w:t>
      </w:r>
    </w:p>
    <w:tbl>
      <w:tblPr>
        <w:tblStyle w:val="Table"/>
        <w:tblW w:type="pct" w:w="5000"/>
        <w:tblLook w:firstRow="0" w:lastRow="0" w:firstColumn="0" w:lastColumn="0" w:noHBand="0" w:noVBand="0" w:val="0000"/>
        <w:jc w:val="start"/>
        <w:tblLayout w:type="fixed"/>
      </w:tblPr>
      <w:tblGrid>
        <w:gridCol w:w="7920"/>
      </w:tblGrid>
      <w:tr>
        <w:tc>
          <w:tcPr/>
          <w:bookmarkStart w:id="182" w:name="fig-auroc-plot"/>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auROC_plot-fig-auroc-plot-output-2.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Area under the receiver operating characteristic (auROC) curve for overall validation set performance across all possible classification thresholds.</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Calibrated auROC</w:t>
        </w:r>
      </w:hyperlink>
    </w:p>
    <w:p>
      <w:r>
        <w:br w:type="page"/>
      </w:r>
    </w:p>
    <w:bookmarkEnd w:id="184"/>
    <w:bookmarkStart w:id="190" w:name="figure-5-global-feature-importance"/>
    <w:p>
      <w:pPr>
        <w:pStyle w:val="Heading3"/>
      </w:pPr>
      <w:r>
        <w:t xml:space="preserve">Figure 5: Global Feature Importance</w:t>
      </w:r>
    </w:p>
    <w:tbl>
      <w:tblPr>
        <w:tblStyle w:val="Table"/>
        <w:tblW w:type="pct" w:w="5000"/>
        <w:tblLook w:firstRow="0" w:lastRow="0" w:firstColumn="0" w:lastColumn="0" w:noHBand="0" w:noVBand="0" w:val="0000"/>
        <w:jc w:val="start"/>
        <w:tblLayout w:type="fixed"/>
      </w:tblPr>
      <w:tblGrid>
        <w:gridCol w:w="7920"/>
      </w:tblGrid>
      <w:tr>
        <w:tc>
          <w:tcPr/>
          <w:bookmarkStart w:id="188" w:name="fig-shaps-group"/>
          <w:p>
            <w:pPr>
              <w:pStyle w:val="Compact"/>
              <w:jc w:val="center"/>
            </w:pPr>
            <w:r>
              <w:drawing>
                <wp:inline>
                  <wp:extent cx="5334000" cy="5334000"/>
                  <wp:effectExtent b="0" l="0" r="0" t="0"/>
                  <wp:docPr descr="" title="" id="186" name="Picture"/>
                  <a:graphic>
                    <a:graphicData uri="http://schemas.openxmlformats.org/drawingml/2006/picture">
                      <pic:pic>
                        <pic:nvPicPr>
                          <pic:cNvPr descr="index_files/figure-docx/notebooks-shaps-fig-shaps-group-output-1.png" id="187" name="Picture"/>
                          <pic:cNvPicPr>
                            <a:picLocks noChangeArrowheads="1" noChangeAspect="1"/>
                          </pic:cNvPicPr>
                        </pic:nvPicPr>
                        <pic:blipFill>
                          <a:blip r:embed="rId18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SHAPs</w:t>
        </w:r>
      </w:hyperlink>
    </w:p>
    <w:p>
      <w:r>
        <w:br w:type="page"/>
      </w:r>
    </w:p>
    <w:bookmarkEnd w:id="190"/>
    <w:bookmarkStart w:id="196" w:name="X80cb49225bd883ac6a9c3137e044bda286ae010"/>
    <w:p>
      <w:pPr>
        <w:pStyle w:val="Heading3"/>
      </w:pPr>
      <w:r>
        <w:t xml:space="preserve">Figure 6: Posterior probability distribution 95% credible intervals by subgroup</w:t>
      </w:r>
    </w:p>
    <w:tbl>
      <w:tblPr>
        <w:tblStyle w:val="Table"/>
        <w:tblW w:type="pct" w:w="5000"/>
        <w:tblLook w:firstRow="0" w:lastRow="0" w:firstColumn="0" w:lastColumn="0" w:noHBand="0" w:noVBand="0" w:val="0000"/>
        <w:jc w:val="start"/>
        <w:tblLayout w:type="fixed"/>
      </w:tblPr>
      <w:tblGrid>
        <w:gridCol w:w="7920"/>
      </w:tblGrid>
      <w:tr>
        <w:tc>
          <w:tcPr/>
          <w:bookmarkStart w:id="194" w:name="fig-fairness-subgroups"/>
          <w:p>
            <w:pPr>
              <w:pStyle w:val="Compact"/>
              <w:jc w:val="center"/>
            </w:pPr>
            <w:r>
              <w:drawing>
                <wp:inline>
                  <wp:extent cx="5334000" cy="3556000"/>
                  <wp:effectExtent b="0" l="0" r="0" t="0"/>
                  <wp:docPr descr="" title="" id="192" name="Picture"/>
                  <a:graphic>
                    <a:graphicData uri="http://schemas.openxmlformats.org/drawingml/2006/picture">
                      <pic:pic>
                        <pic:nvPicPr>
                          <pic:cNvPr descr="index_files/figure-docx/notebooks-fairness-fig-fairness-subgroups-output-1.png" id="193" name="Picture"/>
                          <pic:cNvPicPr>
                            <a:picLocks noChangeArrowheads="1" noChangeAspect="1"/>
                          </pic:cNvPicPr>
                        </pic:nvPicPr>
                        <pic:blipFill>
                          <a:blip r:embed="rId19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94"/>
        </w:tc>
      </w:tr>
    </w:tbl>
    <w:p>
      <w:pPr>
        <w:pStyle w:val="BodyText"/>
      </w:pPr>
      <w:r>
        <w:rPr>
          <w:vertAlign w:val="subscript"/>
        </w:rPr>
        <w:t xml:space="preserve">Source:</w:t>
      </w:r>
      <w:r>
        <w:rPr>
          <w:vertAlign w:val="subscript"/>
        </w:rPr>
        <w:t xml:space="preserve"> </w:t>
      </w:r>
      <w:hyperlink r:id="rId195">
        <w:r>
          <w:rPr>
            <w:rStyle w:val="Hyperlink"/>
            <w:vertAlign w:val="subscript"/>
          </w:rPr>
          <w:t xml:space="preserve">Subgroup Analysis</w:t>
        </w:r>
      </w:hyperlink>
    </w:p>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1" Target="media/rId161.png" /><Relationship Type="http://schemas.openxmlformats.org/officeDocument/2006/relationships/image" Id="rId167" Target="media/rId167.png" /><Relationship Type="http://schemas.openxmlformats.org/officeDocument/2006/relationships/image" Id="rId179" Target="media/rId179.png" /><Relationship Type="http://schemas.openxmlformats.org/officeDocument/2006/relationships/image" Id="rId173" Target="media/rId173.png" /><Relationship Type="http://schemas.openxmlformats.org/officeDocument/2006/relationships/image" Id="rId191" Target="media/rId191.png" /><Relationship Type="http://schemas.openxmlformats.org/officeDocument/2006/relationships/image" Id="rId185" Target="media/rId185.png" /><Relationship Type="http://schemas.openxmlformats.org/officeDocument/2006/relationships/image" Id="rId156" Target="media/rId156.png" /><Relationship Type="http://schemas.openxmlformats.org/officeDocument/2006/relationships/hyperlink" Id="rId71" Target="https://doi.org/10.1001/jamapsychiatry.2013.4642" TargetMode="External" /><Relationship Type="http://schemas.openxmlformats.org/officeDocument/2006/relationships/hyperlink" Id="rId85" Target="https://doi.org/10.1007/978-1-4614-6849-3" TargetMode="External" /><Relationship Type="http://schemas.openxmlformats.org/officeDocument/2006/relationships/hyperlink" Id="rId92" Target="https://doi.org/10.1007/s13311-019-00824-2" TargetMode="External" /><Relationship Type="http://schemas.openxmlformats.org/officeDocument/2006/relationships/hyperlink" Id="rId66" Target="https://doi.org/10.1007/s13347-022-00584-6" TargetMode="External" /><Relationship Type="http://schemas.openxmlformats.org/officeDocument/2006/relationships/hyperlink" Id="rId140" Target="https://doi.org/10.1007/s44176-022-00006-z" TargetMode="External" /><Relationship Type="http://schemas.openxmlformats.org/officeDocument/2006/relationships/hyperlink" Id="rId134" Target="https://doi.org/10.1016/0899-3289(95)90006-3" TargetMode="External" /><Relationship Type="http://schemas.openxmlformats.org/officeDocument/2006/relationships/hyperlink" Id="rId60" Target="https://doi.org/10.1016/j.drugalcdep.2013.09.007" TargetMode="External" /><Relationship Type="http://schemas.openxmlformats.org/officeDocument/2006/relationships/hyperlink" Id="rId125" Target="https://doi.org/10.1016/j.pbb.2021.173105" TargetMode="External" /><Relationship Type="http://schemas.openxmlformats.org/officeDocument/2006/relationships/hyperlink" Id="rId136" Target="https://doi.org/10.1016/s0306-4603(01)00284-2" TargetMode="External" /><Relationship Type="http://schemas.openxmlformats.org/officeDocument/2006/relationships/hyperlink" Id="rId81" Target="https://doi.org/10.1023/A:1008987426876" TargetMode="External" /><Relationship Type="http://schemas.openxmlformats.org/officeDocument/2006/relationships/hyperlink" Id="rId144" Target="https://doi.org/10.1037/0003-066X.59.4.224" TargetMode="External" /><Relationship Type="http://schemas.openxmlformats.org/officeDocument/2006/relationships/hyperlink" Id="rId64" Target="https://doi.org/10.1037/a0038620" TargetMode="External" /><Relationship Type="http://schemas.openxmlformats.org/officeDocument/2006/relationships/hyperlink" Id="rId73" Target="https://doi.org/10.1038/s41593-020-0636-4" TargetMode="External" /><Relationship Type="http://schemas.openxmlformats.org/officeDocument/2006/relationships/hyperlink" Id="rId62" Target="https://doi.org/10.1080/0735648X.2024.2396406" TargetMode="External" /><Relationship Type="http://schemas.openxmlformats.org/officeDocument/2006/relationships/hyperlink" Id="rId88" Target="https://doi.org/10.1080/13658816.2018.1503276" TargetMode="External" /><Relationship Type="http://schemas.openxmlformats.org/officeDocument/2006/relationships/hyperlink" Id="rId113" Target="https://doi.org/10.1093/schbul/sbaa121" TargetMode="External" /><Relationship Type="http://schemas.openxmlformats.org/officeDocument/2006/relationships/hyperlink" Id="rId95" Target="https://doi.org/10.1097/JTO.0b013e3181ec173d" TargetMode="External" /><Relationship Type="http://schemas.openxmlformats.org/officeDocument/2006/relationships/hyperlink" Id="rId99" Target="https://doi.org/10.1111/acer.13985" TargetMode="External" /><Relationship Type="http://schemas.openxmlformats.org/officeDocument/2006/relationships/hyperlink" Id="rId119" Target="https://doi.org/10.1111/acer.14440" TargetMode="External" /><Relationship Type="http://schemas.openxmlformats.org/officeDocument/2006/relationships/hyperlink" Id="rId56" Target="https://doi.org/10.1111/geb.13070" TargetMode="External" /><Relationship Type="http://schemas.openxmlformats.org/officeDocument/2006/relationships/hyperlink" Id="rId142" Target="https://doi.org/10.1136/bmjhci-2020-100289" TargetMode="External" /><Relationship Type="http://schemas.openxmlformats.org/officeDocument/2006/relationships/hyperlink" Id="rId54" Target="https://doi.org/10.1145/3422821" TargetMode="External" /><Relationship Type="http://schemas.openxmlformats.org/officeDocument/2006/relationships/hyperlink" Id="rId138" Target="https://doi.org/10.1145/3531146.3533101" TargetMode="External" /><Relationship Type="http://schemas.openxmlformats.org/officeDocument/2006/relationships/hyperlink" Id="rId83" Target="https://doi.org/10.1145/3674029.3674034" TargetMode="External" /><Relationship Type="http://schemas.openxmlformats.org/officeDocument/2006/relationships/hyperlink" Id="rId105" Target="https://doi.org/10.1146/annurev-clinpsy-032816-044949" TargetMode="External" /><Relationship Type="http://schemas.openxmlformats.org/officeDocument/2006/relationships/hyperlink" Id="rId103"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30" Target="https://doi.org/10.1186/s12916-019-1466-7" TargetMode="External" /><Relationship Type="http://schemas.openxmlformats.org/officeDocument/2006/relationships/hyperlink" Id="rId69" Target="https://doi.org/10.1609/aaai.v32i1.11296" TargetMode="External" /><Relationship Type="http://schemas.openxmlformats.org/officeDocument/2006/relationships/hyperlink" Id="rId50" Target="https://doi.org/10.20900/jpbs.20210002" TargetMode="External" /><Relationship Type="http://schemas.openxmlformats.org/officeDocument/2006/relationships/hyperlink" Id="rId123"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8" Target="https://doi.org/10.2174/1874941001003010076" TargetMode="External" /><Relationship Type="http://schemas.openxmlformats.org/officeDocument/2006/relationships/hyperlink" Id="rId58" Target="https://doi.org/10.2196/13209" TargetMode="External" /><Relationship Type="http://schemas.openxmlformats.org/officeDocument/2006/relationships/hyperlink" Id="rId115" Target="https://doi.org/10.2196/jmir.4273" TargetMode="External" /><Relationship Type="http://schemas.openxmlformats.org/officeDocument/2006/relationships/hyperlink" Id="rId107" Target="https://doi.org/10.2196/mhealth.5787" TargetMode="External" /><Relationship Type="http://schemas.openxmlformats.org/officeDocument/2006/relationships/hyperlink" Id="rId146" Target="https://doi.org/10.31234/osf.io/cgsf7" TargetMode="External" /><Relationship Type="http://schemas.openxmlformats.org/officeDocument/2006/relationships/hyperlink" Id="rId76" Target="https://doi.org/10.3389/fpsyt.2020.569864" TargetMode="External" /><Relationship Type="http://schemas.openxmlformats.org/officeDocument/2006/relationships/hyperlink" Id="rId121" Target="https://doi.org/10.3390/ijerph20115984" TargetMode="External" /><Relationship Type="http://schemas.openxmlformats.org/officeDocument/2006/relationships/hyperlink" Id="rId101" Target="https://doi.org/10.35946/arcr.v40.2.08" TargetMode="External" /><Relationship Type="http://schemas.openxmlformats.org/officeDocument/2006/relationships/hyperlink" Id="rId128" Target="https://doi.org/10.35946/arcr.v40.3.02" TargetMode="External" /><Relationship Type="http://schemas.openxmlformats.org/officeDocument/2006/relationships/hyperlink" Id="rId132" Target="https://doi.org/10.3847/1538-4365/aab766" TargetMode="External" /><Relationship Type="http://schemas.openxmlformats.org/officeDocument/2006/relationships/hyperlink" Id="rId117" Target="https://doi.org/10.4108/icst.pervasivehealth.2015.259034" TargetMode="External" /><Relationship Type="http://schemas.openxmlformats.org/officeDocument/2006/relationships/hyperlink" Id="rId111"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65"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83"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95" Target="https://jjcurtin.github.io/study_gps/notebooks/fairness-preview.html#cell-fig-fairness-subgroups" TargetMode="External" /><Relationship Type="http://schemas.openxmlformats.org/officeDocument/2006/relationships/hyperlink" Id="rId189"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90" Target="https://www.ncbi.nlm.nih.gov/pubmed/10890810"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1/jamapsychiatry.2013.4642" TargetMode="External" /><Relationship Type="http://schemas.openxmlformats.org/officeDocument/2006/relationships/hyperlink" Id="rId85" Target="https://doi.org/10.1007/978-1-4614-6849-3" TargetMode="External" /><Relationship Type="http://schemas.openxmlformats.org/officeDocument/2006/relationships/hyperlink" Id="rId92" Target="https://doi.org/10.1007/s13311-019-00824-2" TargetMode="External" /><Relationship Type="http://schemas.openxmlformats.org/officeDocument/2006/relationships/hyperlink" Id="rId66" Target="https://doi.org/10.1007/s13347-022-00584-6" TargetMode="External" /><Relationship Type="http://schemas.openxmlformats.org/officeDocument/2006/relationships/hyperlink" Id="rId140" Target="https://doi.org/10.1007/s44176-022-00006-z" TargetMode="External" /><Relationship Type="http://schemas.openxmlformats.org/officeDocument/2006/relationships/hyperlink" Id="rId134" Target="https://doi.org/10.1016/0899-3289(95)90006-3" TargetMode="External" /><Relationship Type="http://schemas.openxmlformats.org/officeDocument/2006/relationships/hyperlink" Id="rId60" Target="https://doi.org/10.1016/j.drugalcdep.2013.09.007" TargetMode="External" /><Relationship Type="http://schemas.openxmlformats.org/officeDocument/2006/relationships/hyperlink" Id="rId125" Target="https://doi.org/10.1016/j.pbb.2021.173105" TargetMode="External" /><Relationship Type="http://schemas.openxmlformats.org/officeDocument/2006/relationships/hyperlink" Id="rId136" Target="https://doi.org/10.1016/s0306-4603(01)00284-2" TargetMode="External" /><Relationship Type="http://schemas.openxmlformats.org/officeDocument/2006/relationships/hyperlink" Id="rId81" Target="https://doi.org/10.1023/A:1008987426876" TargetMode="External" /><Relationship Type="http://schemas.openxmlformats.org/officeDocument/2006/relationships/hyperlink" Id="rId144" Target="https://doi.org/10.1037/0003-066X.59.4.224" TargetMode="External" /><Relationship Type="http://schemas.openxmlformats.org/officeDocument/2006/relationships/hyperlink" Id="rId64" Target="https://doi.org/10.1037/a0038620" TargetMode="External" /><Relationship Type="http://schemas.openxmlformats.org/officeDocument/2006/relationships/hyperlink" Id="rId73" Target="https://doi.org/10.1038/s41593-020-0636-4" TargetMode="External" /><Relationship Type="http://schemas.openxmlformats.org/officeDocument/2006/relationships/hyperlink" Id="rId62" Target="https://doi.org/10.1080/0735648X.2024.2396406" TargetMode="External" /><Relationship Type="http://schemas.openxmlformats.org/officeDocument/2006/relationships/hyperlink" Id="rId88" Target="https://doi.org/10.1080/13658816.2018.1503276" TargetMode="External" /><Relationship Type="http://schemas.openxmlformats.org/officeDocument/2006/relationships/hyperlink" Id="rId113" Target="https://doi.org/10.1093/schbul/sbaa121" TargetMode="External" /><Relationship Type="http://schemas.openxmlformats.org/officeDocument/2006/relationships/hyperlink" Id="rId95" Target="https://doi.org/10.1097/JTO.0b013e3181ec173d" TargetMode="External" /><Relationship Type="http://schemas.openxmlformats.org/officeDocument/2006/relationships/hyperlink" Id="rId99" Target="https://doi.org/10.1111/acer.13985" TargetMode="External" /><Relationship Type="http://schemas.openxmlformats.org/officeDocument/2006/relationships/hyperlink" Id="rId119" Target="https://doi.org/10.1111/acer.14440" TargetMode="External" /><Relationship Type="http://schemas.openxmlformats.org/officeDocument/2006/relationships/hyperlink" Id="rId56" Target="https://doi.org/10.1111/geb.13070" TargetMode="External" /><Relationship Type="http://schemas.openxmlformats.org/officeDocument/2006/relationships/hyperlink" Id="rId142" Target="https://doi.org/10.1136/bmjhci-2020-100289" TargetMode="External" /><Relationship Type="http://schemas.openxmlformats.org/officeDocument/2006/relationships/hyperlink" Id="rId54" Target="https://doi.org/10.1145/3422821" TargetMode="External" /><Relationship Type="http://schemas.openxmlformats.org/officeDocument/2006/relationships/hyperlink" Id="rId138" Target="https://doi.org/10.1145/3531146.3533101" TargetMode="External" /><Relationship Type="http://schemas.openxmlformats.org/officeDocument/2006/relationships/hyperlink" Id="rId83" Target="https://doi.org/10.1145/3674029.3674034" TargetMode="External" /><Relationship Type="http://schemas.openxmlformats.org/officeDocument/2006/relationships/hyperlink" Id="rId105" Target="https://doi.org/10.1146/annurev-clinpsy-032816-044949" TargetMode="External" /><Relationship Type="http://schemas.openxmlformats.org/officeDocument/2006/relationships/hyperlink" Id="rId103"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30" Target="https://doi.org/10.1186/s12916-019-1466-7" TargetMode="External" /><Relationship Type="http://schemas.openxmlformats.org/officeDocument/2006/relationships/hyperlink" Id="rId69" Target="https://doi.org/10.1609/aaai.v32i1.11296" TargetMode="External" /><Relationship Type="http://schemas.openxmlformats.org/officeDocument/2006/relationships/hyperlink" Id="rId50" Target="https://doi.org/10.20900/jpbs.20210002" TargetMode="External" /><Relationship Type="http://schemas.openxmlformats.org/officeDocument/2006/relationships/hyperlink" Id="rId123"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8" Target="https://doi.org/10.2174/1874941001003010076" TargetMode="External" /><Relationship Type="http://schemas.openxmlformats.org/officeDocument/2006/relationships/hyperlink" Id="rId58" Target="https://doi.org/10.2196/13209" TargetMode="External" /><Relationship Type="http://schemas.openxmlformats.org/officeDocument/2006/relationships/hyperlink" Id="rId115" Target="https://doi.org/10.2196/jmir.4273" TargetMode="External" /><Relationship Type="http://schemas.openxmlformats.org/officeDocument/2006/relationships/hyperlink" Id="rId107" Target="https://doi.org/10.2196/mhealth.5787" TargetMode="External" /><Relationship Type="http://schemas.openxmlformats.org/officeDocument/2006/relationships/hyperlink" Id="rId146" Target="https://doi.org/10.31234/osf.io/cgsf7" TargetMode="External" /><Relationship Type="http://schemas.openxmlformats.org/officeDocument/2006/relationships/hyperlink" Id="rId76" Target="https://doi.org/10.3389/fpsyt.2020.569864" TargetMode="External" /><Relationship Type="http://schemas.openxmlformats.org/officeDocument/2006/relationships/hyperlink" Id="rId121" Target="https://doi.org/10.3390/ijerph20115984" TargetMode="External" /><Relationship Type="http://schemas.openxmlformats.org/officeDocument/2006/relationships/hyperlink" Id="rId101" Target="https://doi.org/10.35946/arcr.v40.2.08" TargetMode="External" /><Relationship Type="http://schemas.openxmlformats.org/officeDocument/2006/relationships/hyperlink" Id="rId128" Target="https://doi.org/10.35946/arcr.v40.3.02" TargetMode="External" /><Relationship Type="http://schemas.openxmlformats.org/officeDocument/2006/relationships/hyperlink" Id="rId132" Target="https://doi.org/10.3847/1538-4365/aab766" TargetMode="External" /><Relationship Type="http://schemas.openxmlformats.org/officeDocument/2006/relationships/hyperlink" Id="rId117" Target="https://doi.org/10.4108/icst.pervasivehealth.2015.259034" TargetMode="External" /><Relationship Type="http://schemas.openxmlformats.org/officeDocument/2006/relationships/hyperlink" Id="rId111"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65"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83"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95" Target="https://jjcurtin.github.io/study_gps/notebooks/fairness-preview.html#cell-fig-fairness-subgroups" TargetMode="External" /><Relationship Type="http://schemas.openxmlformats.org/officeDocument/2006/relationships/hyperlink" Id="rId189"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90" Target="https://www.ncbi.nlm.nih.gov/pubmed/10890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2024-10-19T02:16:06Z</dcterms:created>
  <dcterms:modified xsi:type="dcterms:W3CDTF">2024-10-19T02:16:06Z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2024-10-18</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