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0.png" ContentType="image/png"/>
  <Override PartName="/word/media/rId45.png" ContentType="image/png"/>
  <Override PartName="/word/media/rId40.png" ContentType="image/png"/>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3"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6"/>
    <w:bookmarkStart w:id="27"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 Participants were considered to be at a known contextual location if they were within 0.031 miles (50 meters) of a reported frequently visited location.</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27"/>
    <w:bookmarkStart w:id="28"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28"/>
    <w:bookmarkStart w:id="29"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9"/>
    <w:bookmarkStart w:id="30"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0"/>
    <w:bookmarkStart w:id="31"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1"/>
    <w:bookmarkStart w:id="32"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2"/>
    <w:bookmarkEnd w:id="33"/>
    <w:bookmarkStart w:id="68" w:name="results"/>
    <w:p>
      <w:pPr>
        <w:pStyle w:val="Heading2"/>
      </w:pPr>
      <w:r>
        <w:t xml:space="preserve">Results</w:t>
      </w:r>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(primarily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w:t>
      </w:r>
    </w:p>
    <w:bookmarkEnd w:id="34"/>
    <w:bookmarkStart w:id="55"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lockText"/>
      </w:pPr>
      <w:r>
        <w:t xml:space="preserve">need to pull stats!</w:t>
      </w:r>
    </w:p>
    <w:p>
      <w:pPr>
        <w:pStyle w:val="FirstParagraph"/>
      </w:pPr>
      <w:r>
        <w:t xml:space="preserve">The median auROC across the 300 folds achieved fair performance (Mdn = 0.721, IQR = XX, range = XX-XX). Figure 1 displays a histogram of model performance distribution across all folds. A receiver operating characteristic curve is displayed in Figure 2, representing aggregate predicted lapse probabilities across all 300 folds of the validation set.</w:t>
      </w:r>
    </w:p>
    <w:p>
      <w:pPr>
        <w:pStyle w:val="BodyText"/>
      </w:pPr>
      <w:r>
        <w:t xml:space="preserve">We also used the posterior probability distributions for the auROCs for our best performing validation set model to formally characterize model performance. The median auROC was XX (95% CI [XX-XX]; Figure 3).</w:t>
      </w:r>
    </w:p>
    <w:p>
      <w:pPr>
        <w:pStyle w:val="BodyText"/>
      </w:pPr>
      <w:r>
        <w:t xml:space="preserve">Finally, we performed model calibration in order to improve our trust in model predictions. Results of model calibration are displayed in Figure 4,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38" w:name="fig-auroc-histogram"/>
          <w:p>
            <w:pPr>
              <w:pStyle w:val="Compact"/>
              <w:jc w:val="center"/>
            </w:pPr>
            <w:r>
              <w:drawing>
                <wp:inline>
                  <wp:extent cx="5334000" cy="5334000"/>
                  <wp:effectExtent b="0" l="0" r="0" t="0"/>
                  <wp:docPr descr="" title="" id="36" name="Picture"/>
                  <a:graphic>
                    <a:graphicData uri="http://schemas.openxmlformats.org/drawingml/2006/picture">
                      <pic:pic>
                        <pic:nvPicPr>
                          <pic:cNvPr descr="index_files/figure-docx/notebooks-auROC_distribution_posterior-fig-auroc-histogram-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calibration"/>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calibration_plot-fig-calibration-output-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between raw (uncalibrated) and logistic (calibrated) probabilities.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Generate INNER calibration</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auroc-plot"/>
          <w:p>
            <w:pPr>
              <w:pStyle w:val="Compact"/>
              <w:jc w:val="center"/>
            </w:pPr>
            <w:r>
              <w:drawing>
                <wp:inline>
                  <wp:extent cx="5334000" cy="5334000"/>
                  <wp:effectExtent b="0" l="0" r="0" t="0"/>
                  <wp:docPr descr="" title="" id="46" name="Picture"/>
                  <a:graphic>
                    <a:graphicData uri="http://schemas.openxmlformats.org/drawingml/2006/picture">
                      <pic:pic>
                        <pic:nvPicPr>
                          <pic:cNvPr descr="index_files/figure-docx/notebooks-auROC_plot-fig-auroc-plot-output-2.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auROC for overall validation set performance across thresholds.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pp"/>
          <w:p>
            <w:pPr>
              <w:pStyle w:val="Compact"/>
              <w:jc w:val="center"/>
            </w:pPr>
            <w:r>
              <w:drawing>
                <wp:inline>
                  <wp:extent cx="5334000" cy="5334000"/>
                  <wp:effectExtent b="0" l="0" r="0" t="0"/>
                  <wp:docPr descr="" title="" id="51" name="Picture"/>
                  <a:graphic>
                    <a:graphicData uri="http://schemas.openxmlformats.org/drawingml/2006/picture">
                      <pic:pic>
                        <pic:nvPicPr>
                          <pic:cNvPr descr="index_files/figure-docx/notebooks-auROC_distribution_posterior-fig-pp-output-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distribution of model performance with 95% credible interval.</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Evaluate inner auROC for main models of training jobs from CHTC for</w:t>
        </w:r>
      </w:hyperlink>
    </w:p>
    <w:bookmarkEnd w:id="55"/>
    <w:bookmarkStart w:id="61" w:name="feature-importance"/>
    <w:p>
      <w:pPr>
        <w:pStyle w:val="Heading3"/>
      </w:pPr>
      <w:r>
        <w:t xml:space="preserve">Feature Importance</w:t>
      </w:r>
    </w:p>
    <w:p>
      <w:pPr>
        <w:pStyle w:val="FirstParagraph"/>
      </w:pPr>
      <w:r>
        <w:t xml:space="preserve">Global importance (mean absolute Shapley values) for feature categories is shown in Figure 4. Three features were identified as being particularly important in contributing to model predictions: time spent at risky locations, time spent at different types of location, and time spent at locations with varying levels of alcohol availability. Other features, both context-supplemented and without, did not appear to be strong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59" w:name="fig-shaps-group"/>
          <w:p>
            <w:pPr>
              <w:pStyle w:val="Compact"/>
              <w:jc w:val="center"/>
            </w:pPr>
            <w:r>
              <w:drawing>
                <wp:inline>
                  <wp:extent cx="5334000" cy="5334000"/>
                  <wp:effectExtent b="0" l="0" r="0" t="0"/>
                  <wp:docPr descr="" title="" id="57" name="Picture"/>
                  <a:graphic>
                    <a:graphicData uri="http://schemas.openxmlformats.org/drawingml/2006/picture">
                      <pic:pic>
                        <pic:nvPicPr>
                          <pic:cNvPr descr="index_files/figure-docx/notebooks-shaps-fig-shaps-group-output-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SHAPs</w:t>
        </w:r>
      </w:hyperlink>
    </w:p>
    <w:p>
      <w:pPr>
        <w:pStyle w:val="BodyText"/>
      </w:pPr>
      <w:r>
        <w:t xml:space="preserve">SINA plot?</w:t>
      </w:r>
    </w:p>
    <w:bookmarkEnd w:id="61"/>
    <w:bookmarkStart w:id="67" w:name="algorithmic-fairness-1"/>
    <w:p>
      <w:pPr>
        <w:pStyle w:val="Heading3"/>
      </w:pPr>
      <w:r>
        <w:t xml:space="preserve">Algorithmic Fairness</w:t>
      </w:r>
    </w:p>
    <w:p>
      <w:pPr>
        <w:pStyle w:val="FirstParagraph"/>
      </w:pPr>
      <w:r>
        <w:t xml:space="preserve">Figure 5 shows the differences in model performance across race (white = 127, non-white = 19), sex (male N = 74, female N = 72), age (younger than 55 = 126, older than or equal to 55 = 20), and income (below federal poverty line = 48, above federal poverty line = 98). No group comparisons were significant (probability &lt; .95) across models, suggesting comparable model performance across subgroups.</w:t>
      </w:r>
    </w:p>
    <w:tbl>
      <w:tblPr>
        <w:tblStyle w:val="Table"/>
        <w:tblW w:type="pct" w:w="5000"/>
        <w:tblLook w:firstRow="0" w:lastRow="0" w:firstColumn="0" w:lastColumn="0" w:noHBand="0" w:noVBand="0" w:val="0000"/>
        <w:jc w:val="start"/>
        <w:tblLayout w:type="fixed"/>
      </w:tblPr>
      <w:tblGrid>
        <w:gridCol w:w="7920"/>
      </w:tblGrid>
      <w:tr>
        <w:tc>
          <w:tcPr/>
          <w:bookmarkStart w:id="65" w:name="fig-fairness-subgroups"/>
          <w:p>
            <w:pPr>
              <w:pStyle w:val="Compact"/>
              <w:jc w:val="center"/>
            </w:pPr>
            <w:r>
              <w:drawing>
                <wp:inline>
                  <wp:extent cx="5334000" cy="5334000"/>
                  <wp:effectExtent b="0" l="0" r="0" t="0"/>
                  <wp:docPr descr="" title="" id="63" name="Picture"/>
                  <a:graphic>
                    <a:graphicData uri="http://schemas.openxmlformats.org/drawingml/2006/picture">
                      <pic:pic>
                        <pic:nvPicPr>
                          <pic:cNvPr descr="index_files/figure-docx/notebooks-fairness-fig-fairness-subgroups-outpu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Subgroup Analysis</w:t>
        </w:r>
      </w:hyperlink>
    </w:p>
    <w:bookmarkEnd w:id="67"/>
    <w:bookmarkEnd w:id="68"/>
    <w:bookmarkStart w:id="73" w:name="discussion"/>
    <w:p>
      <w:pPr>
        <w:pStyle w:val="Heading2"/>
      </w:pPr>
      <w:r>
        <w:t xml:space="preserve">Discussion</w:t>
      </w:r>
    </w:p>
    <w:bookmarkStart w:id="69"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69"/>
    <w:bookmarkStart w:id="70" w:name="model-fairness"/>
    <w:p>
      <w:pPr>
        <w:pStyle w:val="Heading3"/>
      </w:pPr>
      <w:r>
        <w:t xml:space="preserve">Model Fairness</w:t>
      </w:r>
    </w:p>
    <w:p>
      <w:pPr>
        <w:numPr>
          <w:ilvl w:val="0"/>
          <w:numId w:val="1002"/>
        </w:numPr>
        <w:pStyle w:val="Compact"/>
      </w:pPr>
      <w:r>
        <w:t xml:space="preserve">Performance appears to be comparable across subgroups, but may be due to only fair performance of the model</w:t>
      </w:r>
    </w:p>
    <w:p>
      <w:pPr>
        <w:numPr>
          <w:ilvl w:val="0"/>
          <w:numId w:val="1002"/>
        </w:numPr>
        <w:pStyle w:val="Compact"/>
      </w:pPr>
      <w:r>
        <w:t xml:space="preserve">We could be more sure of the conclusions from this comparison if we had a model with excellent performance</w:t>
      </w:r>
    </w:p>
    <w:p>
      <w:pPr>
        <w:numPr>
          <w:ilvl w:val="0"/>
          <w:numId w:val="1002"/>
        </w:numPr>
        <w:pStyle w:val="Compact"/>
      </w:pPr>
      <w:r>
        <w:t xml:space="preserve">Fairness analyses will need to be repeated on the final sample</w:t>
      </w:r>
    </w:p>
    <w:bookmarkEnd w:id="70"/>
    <w:bookmarkStart w:id="71" w:name="future-directions"/>
    <w:p>
      <w:pPr>
        <w:pStyle w:val="Heading3"/>
      </w:pPr>
      <w:r>
        <w:t xml:space="preserve">Future directions</w:t>
      </w:r>
    </w:p>
    <w:p>
      <w:pPr>
        <w:numPr>
          <w:ilvl w:val="0"/>
          <w:numId w:val="1003"/>
        </w:numPr>
        <w:pStyle w:val="Compact"/>
      </w:pPr>
      <w:r>
        <w:t xml:space="preserve">Baseline model?</w:t>
      </w:r>
    </w:p>
    <w:p>
      <w:pPr>
        <w:numPr>
          <w:ilvl w:val="0"/>
          <w:numId w:val="1003"/>
        </w:numPr>
        <w:pStyle w:val="Compact"/>
      </w:pPr>
      <w:r>
        <w:t xml:space="preserve">Add in more affective features</w:t>
      </w:r>
    </w:p>
    <w:p>
      <w:pPr>
        <w:numPr>
          <w:ilvl w:val="0"/>
          <w:numId w:val="1003"/>
        </w:numPr>
        <w:pStyle w:val="Compact"/>
      </w:pPr>
      <w:r>
        <w:t xml:space="preserve">Add in risk-terrain modeling features</w:t>
      </w:r>
    </w:p>
    <w:p>
      <w:pPr>
        <w:numPr>
          <w:ilvl w:val="0"/>
          <w:numId w:val="1003"/>
        </w:numPr>
        <w:pStyle w:val="Compact"/>
      </w:pPr>
      <w:r>
        <w:t xml:space="preserve">Add in other important features that could contribute to movement patterns like day of the week and weather</w:t>
      </w:r>
    </w:p>
    <w:p>
      <w:pPr>
        <w:numPr>
          <w:ilvl w:val="0"/>
          <w:numId w:val="1003"/>
        </w:numPr>
        <w:pStyle w:val="Compact"/>
      </w:pPr>
      <w:r>
        <w:t xml:space="preserve">Test final model</w:t>
      </w:r>
    </w:p>
    <w:p>
      <w:pPr>
        <w:numPr>
          <w:ilvl w:val="0"/>
          <w:numId w:val="1003"/>
        </w:numPr>
        <w:pStyle w:val="Compact"/>
      </w:pPr>
      <w:r>
        <w:t xml:space="preserve">Further calibration</w:t>
      </w:r>
    </w:p>
    <w:p>
      <w:pPr>
        <w:numPr>
          <w:ilvl w:val="0"/>
          <w:numId w:val="1003"/>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1"/>
    <w:bookmarkStart w:id="7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2"/>
    <w:bookmarkEnd w:id="73"/>
    <w:bookmarkStart w:id="136" w:name="references"/>
    <w:p>
      <w:pPr>
        <w:pStyle w:val="Heading2"/>
      </w:pPr>
      <w:r>
        <w:t xml:space="preserve">References</w:t>
      </w:r>
    </w:p>
    <w:bookmarkStart w:id="135" w:name="refs"/>
    <w:bookmarkStart w:id="75" w:name="ref-areanMobileTechnologyMental2016"/>
    <w:p>
      <w:pPr>
        <w:pStyle w:val="Bibliography"/>
      </w:pPr>
      <w:r>
        <w:t xml:space="preserve">Areàn, Patricia A., Kien Hoa Ly, and Gerhard Andersson. 2016.</w:t>
      </w:r>
      <w:r>
        <w:t xml:space="preserve"> </w:t>
      </w:r>
      <w:r>
        <w:t xml:space="preserve">“</w:t>
      </w:r>
      <w:hyperlink r:id="rId7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75"/>
    <w:bookmarkStart w:id="7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76">
        <w:r>
          <w:rPr>
            <w:rStyle w:val="Hyperlink"/>
          </w:rPr>
          <w:t xml:space="preserve">https://doi.org/10.1186/s12889-017-4358-9</w:t>
        </w:r>
      </w:hyperlink>
      <w:r>
        <w:t xml:space="preserve">.</w:t>
      </w:r>
    </w:p>
    <w:bookmarkEnd w:id="77"/>
    <w:bookmarkStart w:id="7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78">
        <w:r>
          <w:rPr>
            <w:rStyle w:val="Hyperlink"/>
          </w:rPr>
          <w:t xml:space="preserve">https://doi.org/10.1146/annurev.clinpsy.3.022806.091455</w:t>
        </w:r>
      </w:hyperlink>
      <w:r>
        <w:t xml:space="preserve">.</w:t>
      </w:r>
    </w:p>
    <w:bookmarkEnd w:id="79"/>
    <w:bookmarkStart w:id="8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0">
        <w:r>
          <w:rPr>
            <w:rStyle w:val="Hyperlink"/>
          </w:rPr>
          <w:t xml:space="preserve">https://doi.org/10.20900/jpbs.20210002</w:t>
        </w:r>
      </w:hyperlink>
      <w:r>
        <w:t xml:space="preserve">.</w:t>
      </w:r>
    </w:p>
    <w:bookmarkEnd w:id="81"/>
    <w:bookmarkStart w:id="83"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2">
        <w:r>
          <w:rPr>
            <w:rStyle w:val="Hyperlink"/>
          </w:rPr>
          <w:t xml:space="preserve">https://doi.org/10.2196/13209</w:t>
        </w:r>
      </w:hyperlink>
      <w:r>
        <w:t xml:space="preserve">.</w:t>
      </w:r>
    </w:p>
    <w:bookmarkEnd w:id="83"/>
    <w:bookmarkStart w:id="85"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4">
        <w:r>
          <w:rPr>
            <w:rStyle w:val="Hyperlink"/>
          </w:rPr>
          <w:t xml:space="preserve">https://doi.org/10.1016/j.drugalcdep.2013.09.007</w:t>
        </w:r>
      </w:hyperlink>
      <w:r>
        <w:t xml:space="preserve">.</w:t>
      </w:r>
    </w:p>
    <w:bookmarkEnd w:id="85"/>
    <w:bookmarkStart w:id="87"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86">
        <w:r>
          <w:rPr>
            <w:rStyle w:val="Hyperlink"/>
          </w:rPr>
          <w:t xml:space="preserve">https://doi.org/10.1037/a0038620</w:t>
        </w:r>
      </w:hyperlink>
      <w:r>
        <w:t xml:space="preserve">.</w:t>
      </w:r>
    </w:p>
    <w:bookmarkEnd w:id="87"/>
    <w:bookmarkStart w:id="89"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88">
        <w:r>
          <w:rPr>
            <w:rStyle w:val="Hyperlink"/>
          </w:rPr>
          <w:t xml:space="preserve">https://doi.org/10.1001/jamapsychiatry.2013.4642</w:t>
        </w:r>
      </w:hyperlink>
      <w:r>
        <w:t xml:space="preserve">.</w:t>
      </w:r>
    </w:p>
    <w:bookmarkEnd w:id="89"/>
    <w:bookmarkStart w:id="91"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0">
        <w:r>
          <w:rPr>
            <w:rStyle w:val="Hyperlink"/>
          </w:rPr>
          <w:t xml:space="preserve">https://doi.org/10.1038/s41593-020-0636-4</w:t>
        </w:r>
      </w:hyperlink>
      <w:r>
        <w:t xml:space="preserve">.</w:t>
      </w:r>
    </w:p>
    <w:bookmarkEnd w:id="91"/>
    <w:bookmarkStart w:id="92"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2"/>
    <w:bookmarkStart w:id="9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3">
        <w:r>
          <w:rPr>
            <w:rStyle w:val="Hyperlink"/>
          </w:rPr>
          <w:t xml:space="preserve">https://doi.org/10.2174/1874941001003010076</w:t>
        </w:r>
      </w:hyperlink>
      <w:r>
        <w:t xml:space="preserve">.</w:t>
      </w:r>
    </w:p>
    <w:bookmarkEnd w:id="94"/>
    <w:bookmarkStart w:id="95"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95"/>
    <w:bookmarkStart w:id="9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96">
        <w:r>
          <w:rPr>
            <w:rStyle w:val="Hyperlink"/>
          </w:rPr>
          <w:t xml:space="preserve">https://doi.org/10.1023/A:1008987426876</w:t>
        </w:r>
      </w:hyperlink>
      <w:r>
        <w:t xml:space="preserve">.</w:t>
      </w:r>
    </w:p>
    <w:bookmarkEnd w:id="97"/>
    <w:bookmarkStart w:id="99"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8">
        <w:r>
          <w:rPr>
            <w:rStyle w:val="Hyperlink"/>
          </w:rPr>
          <w:t xml:space="preserve">https://doi.org/10.1007/978-1-4614-6849-3</w:t>
        </w:r>
      </w:hyperlink>
      <w:r>
        <w:t xml:space="preserve">.</w:t>
      </w:r>
    </w:p>
    <w:bookmarkEnd w:id="99"/>
    <w:bookmarkStart w:id="10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0">
        <w:r>
          <w:rPr>
            <w:rStyle w:val="Hyperlink"/>
          </w:rPr>
          <w:t xml:space="preserve">https://doi.org/10.1080/13658816.2018.1503276</w:t>
        </w:r>
      </w:hyperlink>
      <w:r>
        <w:t xml:space="preserve">.</w:t>
      </w:r>
    </w:p>
    <w:bookmarkEnd w:id="101"/>
    <w:bookmarkStart w:id="103"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2">
        <w:r>
          <w:rPr>
            <w:rStyle w:val="Hyperlink"/>
          </w:rPr>
          <w:t xml:space="preserve">https://doi.org/10.1007/s13311-019-00824-2</w:t>
        </w:r>
      </w:hyperlink>
      <w:r>
        <w:t xml:space="preserve">.</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4"/>
    <w:bookmarkStart w:id="106"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5">
        <w:r>
          <w:rPr>
            <w:rStyle w:val="Hyperlink"/>
          </w:rPr>
          <w:t xml:space="preserve">https://doi.org/10.1146/annurev-clinpsy-032816-044949</w:t>
        </w:r>
      </w:hyperlink>
      <w:r>
        <w:t xml:space="preserve">.</w:t>
      </w:r>
    </w:p>
    <w:bookmarkEnd w:id="106"/>
    <w:bookmarkStart w:id="108"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7">
        <w:r>
          <w:rPr>
            <w:rStyle w:val="Hyperlink"/>
          </w:rPr>
          <w:t xml:space="preserve">https://doi.org/10.2196/mhealth.5787</w:t>
        </w:r>
      </w:hyperlink>
      <w:r>
        <w:t xml:space="preserve">.</w:t>
      </w:r>
    </w:p>
    <w:bookmarkEnd w:id="108"/>
    <w:bookmarkStart w:id="109"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9"/>
    <w:bookmarkStart w:id="111"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0">
        <w:r>
          <w:rPr>
            <w:rStyle w:val="Hyperlink"/>
          </w:rPr>
          <w:t xml:space="preserve">https://doi.org/10.7326/M18-1990</w:t>
        </w:r>
      </w:hyperlink>
      <w:r>
        <w:t xml:space="preserve">.</w:t>
      </w:r>
    </w:p>
    <w:bookmarkEnd w:id="111"/>
    <w:bookmarkStart w:id="113"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2">
        <w:r>
          <w:rPr>
            <w:rStyle w:val="Hyperlink"/>
          </w:rPr>
          <w:t xml:space="preserve">https://doi.org/10.1093/schbul/sbaa121</w:t>
        </w:r>
      </w:hyperlink>
      <w:r>
        <w:t xml:space="preserve">.</w:t>
      </w:r>
    </w:p>
    <w:bookmarkEnd w:id="113"/>
    <w:bookmarkStart w:id="115"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4">
        <w:r>
          <w:rPr>
            <w:rStyle w:val="Hyperlink"/>
          </w:rPr>
          <w:t xml:space="preserve">https://doi.org/10.1111/acer.14440</w:t>
        </w:r>
      </w:hyperlink>
      <w:r>
        <w:t xml:space="preserve">.</w:t>
      </w:r>
    </w:p>
    <w:bookmarkEnd w:id="115"/>
    <w:bookmarkStart w:id="117"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6">
        <w:r>
          <w:rPr>
            <w:rStyle w:val="Hyperlink"/>
          </w:rPr>
          <w:t xml:space="preserve">https://doi.org/10.3390/ijerph20115984</w:t>
        </w:r>
      </w:hyperlink>
      <w:r>
        <w:t xml:space="preserve">.</w:t>
      </w:r>
    </w:p>
    <w:bookmarkEnd w:id="117"/>
    <w:bookmarkStart w:id="11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18">
        <w:r>
          <w:rPr>
            <w:rStyle w:val="Hyperlink"/>
          </w:rPr>
          <w:t xml:space="preserve">https://doi.org/10.2105/AJPH.2013.301306</w:t>
        </w:r>
      </w:hyperlink>
      <w:r>
        <w:t xml:space="preserve">.</w:t>
      </w:r>
    </w:p>
    <w:bookmarkEnd w:id="119"/>
    <w:bookmarkStart w:id="120"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0"/>
    <w:bookmarkStart w:id="122"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1">
        <w:r>
          <w:rPr>
            <w:rStyle w:val="Hyperlink"/>
          </w:rPr>
          <w:t xml:space="preserve">https://doi.org/10.35946/arcr.v40.3.02</w:t>
        </w:r>
      </w:hyperlink>
      <w:r>
        <w:t xml:space="preserve">.</w:t>
      </w:r>
    </w:p>
    <w:bookmarkEnd w:id="122"/>
    <w:bookmarkStart w:id="124"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3">
        <w:r>
          <w:rPr>
            <w:rStyle w:val="Hyperlink"/>
          </w:rPr>
          <w:t xml:space="preserve">https://doi.org/10.1016/0899-3289(95)90006-3</w:t>
        </w:r>
      </w:hyperlink>
      <w:r>
        <w:t xml:space="preserve">.</w:t>
      </w:r>
    </w:p>
    <w:bookmarkEnd w:id="124"/>
    <w:bookmarkStart w:id="126"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25">
        <w:r>
          <w:rPr>
            <w:rStyle w:val="Hyperlink"/>
          </w:rPr>
          <w:t xml:space="preserve">https://doi.org/10.1016/s0306-4603(01)00284-2</w:t>
        </w:r>
      </w:hyperlink>
      <w:r>
        <w:t xml:space="preserve">.</w:t>
      </w:r>
    </w:p>
    <w:bookmarkEnd w:id="126"/>
    <w:bookmarkStart w:id="128"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27">
        <w:r>
          <w:rPr>
            <w:rStyle w:val="Hyperlink"/>
          </w:rPr>
          <w:t xml:space="preserve">https://doi.org/10.1145/3531146.3533101</w:t>
        </w:r>
      </w:hyperlink>
      <w:r>
        <w:t xml:space="preserve">.</w:t>
      </w:r>
    </w:p>
    <w:bookmarkEnd w:id="128"/>
    <w:bookmarkStart w:id="130"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9">
        <w:r>
          <w:rPr>
            <w:rStyle w:val="Hyperlink"/>
          </w:rPr>
          <w:t xml:space="preserve">https://doi.org/10.1007/s44176-022-00006-z</w:t>
        </w:r>
      </w:hyperlink>
      <w:r>
        <w:t xml:space="preserve">.</w:t>
      </w:r>
    </w:p>
    <w:bookmarkEnd w:id="130"/>
    <w:bookmarkStart w:id="132"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1">
        <w:r>
          <w:rPr>
            <w:rStyle w:val="Hyperlink"/>
          </w:rPr>
          <w:t xml:space="preserve">https://doi.org/10.1136/bmjhci-2020-100289</w:t>
        </w:r>
      </w:hyperlink>
      <w:r>
        <w:t xml:space="preserve">.</w:t>
      </w:r>
    </w:p>
    <w:bookmarkEnd w:id="132"/>
    <w:bookmarkStart w:id="134"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3">
        <w:r>
          <w:rPr>
            <w:rStyle w:val="Hyperlink"/>
          </w:rPr>
          <w:t xml:space="preserve">https://doi.org/10.1037/0003-066X.59.4.224</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88" Target="https://doi.org/10.1001/jamapsychiatry.2013.4642" TargetMode="External" /><Relationship Type="http://schemas.openxmlformats.org/officeDocument/2006/relationships/hyperlink" Id="rId98" Target="https://doi.org/10.1007/978-1-4614-6849-3" TargetMode="External" /><Relationship Type="http://schemas.openxmlformats.org/officeDocument/2006/relationships/hyperlink" Id="rId102" Target="https://doi.org/10.1007/s13311-019-00824-2" TargetMode="External" /><Relationship Type="http://schemas.openxmlformats.org/officeDocument/2006/relationships/hyperlink" Id="rId129" Target="https://doi.org/10.1007/s44176-022-00006-z" TargetMode="External" /><Relationship Type="http://schemas.openxmlformats.org/officeDocument/2006/relationships/hyperlink" Id="rId123" Target="https://doi.org/10.1016/0899-3289(95)90006-3" TargetMode="External" /><Relationship Type="http://schemas.openxmlformats.org/officeDocument/2006/relationships/hyperlink" Id="rId84" Target="https://doi.org/10.1016/j.drugalcdep.2013.09.007" TargetMode="External" /><Relationship Type="http://schemas.openxmlformats.org/officeDocument/2006/relationships/hyperlink" Id="rId125" Target="https://doi.org/10.1016/s0306-4603(01)00284-2" TargetMode="External" /><Relationship Type="http://schemas.openxmlformats.org/officeDocument/2006/relationships/hyperlink" Id="rId96" Target="https://doi.org/10.1023/A:1008987426876" TargetMode="External" /><Relationship Type="http://schemas.openxmlformats.org/officeDocument/2006/relationships/hyperlink" Id="rId133" Target="https://doi.org/10.1037/0003-066X.59.4.224" TargetMode="External" /><Relationship Type="http://schemas.openxmlformats.org/officeDocument/2006/relationships/hyperlink" Id="rId86" Target="https://doi.org/10.1037/a0038620" TargetMode="External" /><Relationship Type="http://schemas.openxmlformats.org/officeDocument/2006/relationships/hyperlink" Id="rId90" Target="https://doi.org/10.1038/s41593-020-0636-4" TargetMode="External" /><Relationship Type="http://schemas.openxmlformats.org/officeDocument/2006/relationships/hyperlink" Id="rId100" Target="https://doi.org/10.1080/13658816.2018.1503276" TargetMode="External" /><Relationship Type="http://schemas.openxmlformats.org/officeDocument/2006/relationships/hyperlink" Id="rId112" Target="https://doi.org/10.1093/schbul/sbaa121" TargetMode="External" /><Relationship Type="http://schemas.openxmlformats.org/officeDocument/2006/relationships/hyperlink" Id="rId114" Target="https://doi.org/10.1111/acer.14440" TargetMode="External" /><Relationship Type="http://schemas.openxmlformats.org/officeDocument/2006/relationships/hyperlink" Id="rId131" Target="https://doi.org/10.1136/bmjhci-2020-100289" TargetMode="External" /><Relationship Type="http://schemas.openxmlformats.org/officeDocument/2006/relationships/hyperlink" Id="rId127" Target="https://doi.org/10.1145/3531146.3533101" TargetMode="External" /><Relationship Type="http://schemas.openxmlformats.org/officeDocument/2006/relationships/hyperlink" Id="rId105"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76" Target="https://doi.org/10.1186/s12889-017-4358-9" TargetMode="External" /><Relationship Type="http://schemas.openxmlformats.org/officeDocument/2006/relationships/hyperlink" Id="rId80" Target="https://doi.org/10.20900/jpbs.20210002" TargetMode="External" /><Relationship Type="http://schemas.openxmlformats.org/officeDocument/2006/relationships/hyperlink" Id="rId118" Target="https://doi.org/10.2105/AJPH.2013.301306" TargetMode="External" /><Relationship Type="http://schemas.openxmlformats.org/officeDocument/2006/relationships/hyperlink" Id="rId93" Target="https://doi.org/10.2174/1874941001003010076" TargetMode="External" /><Relationship Type="http://schemas.openxmlformats.org/officeDocument/2006/relationships/hyperlink" Id="rId82" Target="https://doi.org/10.2196/13209" TargetMode="External" /><Relationship Type="http://schemas.openxmlformats.org/officeDocument/2006/relationships/hyperlink" Id="rId107" Target="https://doi.org/10.2196/mhealth.5787" TargetMode="External" /><Relationship Type="http://schemas.openxmlformats.org/officeDocument/2006/relationships/hyperlink" Id="rId116" Target="https://doi.org/10.3390/ijerph20115984" TargetMode="External" /><Relationship Type="http://schemas.openxmlformats.org/officeDocument/2006/relationships/hyperlink" Id="rId121" Target="https://doi.org/10.35946/arcr.v40.3.02" TargetMode="External" /><Relationship Type="http://schemas.openxmlformats.org/officeDocument/2006/relationships/hyperlink" Id="rId110"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4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4"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1/jamapsychiatry.2013.4642" TargetMode="External" /><Relationship Type="http://schemas.openxmlformats.org/officeDocument/2006/relationships/hyperlink" Id="rId98" Target="https://doi.org/10.1007/978-1-4614-6849-3" TargetMode="External" /><Relationship Type="http://schemas.openxmlformats.org/officeDocument/2006/relationships/hyperlink" Id="rId102" Target="https://doi.org/10.1007/s13311-019-00824-2" TargetMode="External" /><Relationship Type="http://schemas.openxmlformats.org/officeDocument/2006/relationships/hyperlink" Id="rId129" Target="https://doi.org/10.1007/s44176-022-00006-z" TargetMode="External" /><Relationship Type="http://schemas.openxmlformats.org/officeDocument/2006/relationships/hyperlink" Id="rId123" Target="https://doi.org/10.1016/0899-3289(95)90006-3" TargetMode="External" /><Relationship Type="http://schemas.openxmlformats.org/officeDocument/2006/relationships/hyperlink" Id="rId84" Target="https://doi.org/10.1016/j.drugalcdep.2013.09.007" TargetMode="External" /><Relationship Type="http://schemas.openxmlformats.org/officeDocument/2006/relationships/hyperlink" Id="rId125" Target="https://doi.org/10.1016/s0306-4603(01)00284-2" TargetMode="External" /><Relationship Type="http://schemas.openxmlformats.org/officeDocument/2006/relationships/hyperlink" Id="rId96" Target="https://doi.org/10.1023/A:1008987426876" TargetMode="External" /><Relationship Type="http://schemas.openxmlformats.org/officeDocument/2006/relationships/hyperlink" Id="rId133" Target="https://doi.org/10.1037/0003-066X.59.4.224" TargetMode="External" /><Relationship Type="http://schemas.openxmlformats.org/officeDocument/2006/relationships/hyperlink" Id="rId86" Target="https://doi.org/10.1037/a0038620" TargetMode="External" /><Relationship Type="http://schemas.openxmlformats.org/officeDocument/2006/relationships/hyperlink" Id="rId90" Target="https://doi.org/10.1038/s41593-020-0636-4" TargetMode="External" /><Relationship Type="http://schemas.openxmlformats.org/officeDocument/2006/relationships/hyperlink" Id="rId100" Target="https://doi.org/10.1080/13658816.2018.1503276" TargetMode="External" /><Relationship Type="http://schemas.openxmlformats.org/officeDocument/2006/relationships/hyperlink" Id="rId112" Target="https://doi.org/10.1093/schbul/sbaa121" TargetMode="External" /><Relationship Type="http://schemas.openxmlformats.org/officeDocument/2006/relationships/hyperlink" Id="rId114" Target="https://doi.org/10.1111/acer.14440" TargetMode="External" /><Relationship Type="http://schemas.openxmlformats.org/officeDocument/2006/relationships/hyperlink" Id="rId131" Target="https://doi.org/10.1136/bmjhci-2020-100289" TargetMode="External" /><Relationship Type="http://schemas.openxmlformats.org/officeDocument/2006/relationships/hyperlink" Id="rId127" Target="https://doi.org/10.1145/3531146.3533101" TargetMode="External" /><Relationship Type="http://schemas.openxmlformats.org/officeDocument/2006/relationships/hyperlink" Id="rId105"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76" Target="https://doi.org/10.1186/s12889-017-4358-9" TargetMode="External" /><Relationship Type="http://schemas.openxmlformats.org/officeDocument/2006/relationships/hyperlink" Id="rId80" Target="https://doi.org/10.20900/jpbs.20210002" TargetMode="External" /><Relationship Type="http://schemas.openxmlformats.org/officeDocument/2006/relationships/hyperlink" Id="rId118" Target="https://doi.org/10.2105/AJPH.2013.301306" TargetMode="External" /><Relationship Type="http://schemas.openxmlformats.org/officeDocument/2006/relationships/hyperlink" Id="rId93" Target="https://doi.org/10.2174/1874941001003010076" TargetMode="External" /><Relationship Type="http://schemas.openxmlformats.org/officeDocument/2006/relationships/hyperlink" Id="rId82" Target="https://doi.org/10.2196/13209" TargetMode="External" /><Relationship Type="http://schemas.openxmlformats.org/officeDocument/2006/relationships/hyperlink" Id="rId107" Target="https://doi.org/10.2196/mhealth.5787" TargetMode="External" /><Relationship Type="http://schemas.openxmlformats.org/officeDocument/2006/relationships/hyperlink" Id="rId116" Target="https://doi.org/10.3390/ijerph20115984" TargetMode="External" /><Relationship Type="http://schemas.openxmlformats.org/officeDocument/2006/relationships/hyperlink" Id="rId121" Target="https://doi.org/10.35946/arcr.v40.3.02" TargetMode="External" /><Relationship Type="http://schemas.openxmlformats.org/officeDocument/2006/relationships/hyperlink" Id="rId110"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4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4"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2024-10-15T14:42:15Z</dcterms:created>
  <dcterms:modified xsi:type="dcterms:W3CDTF">2024-10-15T14:42:15Z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