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3.png" ContentType="image/png"/>
  <Override PartName="/word/media/rId48.png" ContentType="image/png"/>
  <Override PartName="/word/media/rId58.png" ContentType="image/png"/>
  <Override PartName="/word/media/rId70.png" ContentType="image/png"/>
  <Override PartName="/word/media/rId6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2024-10-15</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ubiquitous in our daily lives, such as smartphones, smartwatches, or other wearables</w:t>
      </w:r>
      <w:r>
        <w:t xml:space="preserve"> </w:t>
      </w:r>
      <w:r>
        <w:t xml:space="preserve">(Mohr, Zhang, and Schueller 2017)</w:t>
      </w:r>
      <w:r>
        <w:t xml:space="preserve">. Because these devices are already so integrated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One promising data source is geolocation data.</w:t>
      </w:r>
    </w:p>
    <w:p>
      <w:pPr>
        <w:pStyle w:val="BodyText"/>
      </w:pPr>
      <w:r>
        <w:t xml:space="preserve">Geolocation data consist of latitude and longtitude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relapse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algorithm development, it is imperative that these models be rigorously evaluated using performance metrics and eventually tested using independent observations (i.e., using data from individuals which were not used in model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monitoring algorithms run the risk of providing sub-optimal mental health care to individuals who already face disadvantages.</w:t>
      </w:r>
    </w:p>
    <w:p>
      <w:pPr>
        <w:pStyle w:val="BodyText"/>
      </w:pPr>
      <w:r>
        <w:t xml:space="preserve">For example,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Fairness is also a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both context-dependent and context agnostic, and change in these data over the previous 6, 12, 24, 48, 72, and 168 hours.</w:t>
      </w:r>
    </w:p>
    <w:p>
      <w:pPr>
        <w:pStyle w:val="BodyText"/>
      </w:pPr>
      <w:r>
        <w:t xml:space="preserve">Here we present characterization of model performance for this prediction model in a validation set. We also evaluated feature importance and model fairness.</w:t>
      </w:r>
      <w:r>
        <w:t xml:space="preserve"> </w:t>
      </w:r>
      <w:r>
        <w:t xml:space="preserve"> </w:t>
      </w:r>
      <w:r>
        <w:t xml:space="preserve">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6" w:name="methods"/>
    <w:p>
      <w:pPr>
        <w:pStyle w:val="Heading2"/>
      </w:pPr>
      <w:r>
        <w:t xml:space="preserve">Methods</w:t>
      </w:r>
    </w:p>
    <w:bookmarkStart w:id="25"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w:t>
      </w:r>
    </w:p>
    <w:tbl>
      <w:tblPr>
        <w:tblStyle w:val="Table"/>
        <w:tblW w:type="pct" w:w="5000"/>
        <w:tblLook w:firstRow="0" w:lastRow="0" w:firstColumn="0" w:lastColumn="0" w:noHBand="0" w:noVBand="0" w:val="0000"/>
        <w:jc w:val="start"/>
        <w:tblLayout w:type="fixed"/>
      </w:tblPr>
      <w:tblGrid>
        <w:gridCol w:w="7920"/>
      </w:tblGrid>
      <w:tr>
        <w:tc>
          <w:tcPr/>
          <w:bookmarkStart w:id="2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24"/>
          <w:p/>
        </w:tc>
      </w:tr>
    </w:tbl>
    <w:bookmarkEnd w:id="25"/>
    <w:bookmarkStart w:id="26"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6"/>
    <w:bookmarkStart w:id="27" w:name="geolocation-data"/>
    <w:p>
      <w:pPr>
        <w:pStyle w:val="Heading3"/>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Data were then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w:t>
      </w:r>
    </w:p>
    <w:bookmarkEnd w:id="27"/>
    <w:bookmarkStart w:id="29" w:name="contextual-information"/>
    <w:p>
      <w:pPr>
        <w:pStyle w:val="Heading3"/>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w:t>
      </w:r>
      <w:r>
        <w:t xml:space="preserve"> </w:t>
      </w:r>
      <w:hyperlink w:anchor="tbl-context">
        <w:r>
          <w:rPr>
            <w:rStyle w:val="Hyperlink"/>
          </w:rPr>
          <w:t xml:space="preserve">Table 2</w:t>
        </w:r>
      </w:hyperlink>
      <w:r>
        <w:t xml:space="preserve">). Participants were considered to be at a known contextual location if they were within 0.031 miles (50 meters) of a reported frequently visited location.</w:t>
      </w:r>
    </w:p>
    <w:tbl>
      <w:tblPr>
        <w:tblStyle w:val="Table"/>
        <w:tblW w:type="pct" w:w="5000"/>
        <w:tblLook w:firstRow="0" w:lastRow="0" w:firstColumn="0" w:lastColumn="0" w:noHBand="0" w:noVBand="0" w:val="0000"/>
        <w:jc w:val="start"/>
        <w:tblLayout w:type="fixed"/>
      </w:tblPr>
      <w:tblGrid>
        <w:gridCol w:w="7920"/>
      </w:tblGrid>
      <w:tr>
        <w:tc>
          <w:tcPr/>
          <w:bookmarkStart w:id="28" w:name="tbl-context"/>
          <w:p>
            <w:pPr>
              <w:jc w:val="center"/>
            </w:pPr>
            <w:pPr>
              <w:jc w:val="start"/>
              <w:spacing w:before="200"/>
              <w:pStyle w:val="ImageCaption"/>
            </w:pPr>
            <w:r>
              <w:t xml:space="preserve">Table 2: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28"/>
          <w:p/>
        </w:tc>
      </w:tr>
    </w:tbl>
    <w:bookmarkEnd w:id="29"/>
    <w:bookmarkStart w:id="31" w:name="participant-characteristics"/>
    <w:p>
      <w:pPr>
        <w:pStyle w:val="Heading3"/>
      </w:pPr>
      <w:r>
        <w:t xml:space="preserve">Participant characteristics</w:t>
      </w:r>
    </w:p>
    <w:p>
      <w:pPr>
        <w:pStyle w:val="FirstParagraph"/>
      </w:pPr>
      <w:r>
        <w:t xml:space="preserve">Participants completed a baseline measure of demographics and other constructs relevant to lapse at the screening visit, which was used for fairness assessments (</w:t>
      </w:r>
      <w:hyperlink w:anchor="tbl-demo-1">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demo-1"/>
          <w:p>
            <w:pPr>
              <w:jc w:val="center"/>
            </w:pPr>
            <w:pPr>
              <w:jc w:val="start"/>
              <w:spacing w:before="200"/>
              <w:pStyle w:val="ImageCaption"/>
            </w:pPr>
            <w:r>
              <w:t xml:space="preserve">Table 3: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30"/>
          <w:p/>
        </w:tc>
      </w:tr>
    </w:tbl>
    <w:bookmarkEnd w:id="31"/>
    <w:bookmarkStart w:id="32"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across our predefined subgroups.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32"/>
    <w:bookmarkStart w:id="33"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w:t>
      </w:r>
    </w:p>
    <w:p>
      <w:pPr>
        <w:pStyle w:val="BodyText"/>
      </w:pPr>
      <w:r>
        <w:t xml:space="preserve">Features from geolocation data were generated that utilized both contextual information collected from monthly surveys (e.g., location valence, perceived riskiness) as well as features that were independent of further individual input (e.g., location variance, time spent out of the home in the evening).</w:t>
      </w:r>
      <w:r>
        <w:t xml:space="preserve"> </w:t>
      </w:r>
      <w:r>
        <w:t xml:space="preserve"> </w:t>
      </w:r>
      <w:r>
        <w:t xml:space="preserve">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3"/>
    <w:bookmarkStart w:id="34" w:name="algorithm-development-performance"/>
    <w:p>
      <w:pPr>
        <w:pStyle w:val="Heading3"/>
      </w:pPr>
      <w:r>
        <w:t xml:space="preserve">Algorithm development &amp; performance</w:t>
      </w:r>
    </w:p>
    <w:p>
      <w:pPr>
        <w:pStyle w:val="FirstParagraph"/>
      </w:pPr>
      <w:r>
        <w:t xml:space="preserve">Several configurations of the XGBoost machine learning algorithm were considered which varied across a relevant and appropriate range of model-specific hyperparameters (mtry, tree depth, learning rate) as well as resampling techniques (up-sampling of the positive class, lapse, and down-sampling of the negative class, no lapse).</w:t>
      </w:r>
    </w:p>
    <w:p>
      <w:pPr>
        <w:pStyle w:val="BodyText"/>
      </w:pPr>
      <w:r>
        <w:t xml:space="preserve">Models were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of the validation set was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were computed as interpretability metrics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 values.</w:t>
      </w:r>
    </w:p>
    <w:p>
      <w:pPr>
        <w:pStyle w:val="BodyText"/>
      </w:pPr>
      <w:r>
        <w:t xml:space="preserve">Finally, a Bayesian hierarchical generalized linear model was used to estimate the posterior probability distributions and 95% Bayesian credible intervals (CIs) for auROC.</w:t>
      </w:r>
    </w:p>
    <w:bookmarkEnd w:id="34"/>
    <w:bookmarkStart w:id="35" w:name="algorithmic-fairness"/>
    <w:p>
      <w:pPr>
        <w:pStyle w:val="Heading3"/>
      </w:pPr>
      <w:r>
        <w:t xml:space="preserve">Algorithmic fairness</w:t>
      </w:r>
    </w:p>
    <w:p>
      <w:pPr>
        <w:pStyle w:val="FirstParagraph"/>
      </w:pPr>
      <w:r>
        <w:t xml:space="preserve">Subgroups were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w:t>
      </w:r>
    </w:p>
    <w:p>
      <w:pPr>
        <w:pStyle w:val="BodyText"/>
      </w:pPr>
      <w:r>
        <w:t xml:space="preserve">A Bayesian hierarchical generalized linear model was used to estimate the posterior probability distributions and 95% Bayesian CIs for auROC across four subgroups of participants: white versus non-white, younger than 55 versus equal to and older than 55, below or above the federal poverty line (citation), and sex (male versus female).</w:t>
      </w:r>
    </w:p>
    <w:bookmarkEnd w:id="35"/>
    <w:bookmarkEnd w:id="36"/>
    <w:bookmarkStart w:id="76" w:name="results"/>
    <w:p>
      <w:pPr>
        <w:pStyle w:val="Heading2"/>
      </w:pPr>
      <w:r>
        <w:t xml:space="preserve">Results</w:t>
      </w:r>
    </w:p>
    <w:p>
      <w:pPr>
        <w:pStyle w:val="FirstParagraph"/>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Start w:id="42"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and/or very limited mobility),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fig-demo-2">
        <w:r>
          <w:rPr>
            <w:rStyle w:val="Hyperlink"/>
          </w:rPr>
          <w:t xml:space="preserve">Figure 1</w:t>
        </w:r>
      </w:hyperlink>
      <w:r>
        <w:t xml:space="preserve">.</w:t>
      </w:r>
    </w:p>
    <w:p>
      <w:pPr>
        <w:pStyle w:val="BodyText"/>
      </w:pPr>
      <w:r>
        <w:t xml:space="preserve">output: true</w:t>
      </w:r>
      <w:r>
        <w:t xml:space="preserve"> </w:t>
      </w:r>
      <w:r>
        <w:t xml:space="preserve">label: tbl-demo-2</w:t>
      </w:r>
    </w:p>
    <w:tbl>
      <w:tblPr>
        <w:tblStyle w:val="Table"/>
        <w:tblW w:type="pct" w:w="5000"/>
        <w:tblLook w:firstRow="0" w:lastRow="0" w:firstColumn="0" w:lastColumn="0" w:noHBand="0" w:noVBand="0" w:val="0000"/>
        <w:jc w:val="start"/>
        <w:tblLayout w:type="fixed"/>
      </w:tblPr>
      <w:tblGrid>
        <w:gridCol w:w="7920"/>
      </w:tblGrid>
      <w:tr>
        <w:tc>
          <w:tcPr/>
          <w:bookmarkStart w:id="41" w:name="fig-demo-2"/>
          <w:p>
            <w:pPr>
              <w:pStyle w:val="Compact"/>
              <w:jc w:val="center"/>
            </w:pPr>
            <w:r>
              <w:drawing>
                <wp:inline>
                  <wp:extent cx="2987855" cy="8608816"/>
                  <wp:effectExtent b="0" l="0" r="0" t="0"/>
                  <wp:docPr descr="" title="" id="39" name="Picture"/>
                  <a:graphic>
                    <a:graphicData uri="http://schemas.openxmlformats.org/drawingml/2006/picture">
                      <pic:pic>
                        <pic:nvPicPr>
                          <pic:cNvPr descr="objects/table.png" id="40" name="Picture"/>
                          <pic:cNvPicPr>
                            <a:picLocks noChangeArrowheads="1" noChangeAspect="1"/>
                          </pic:cNvPicPr>
                        </pic:nvPicPr>
                        <pic:blipFill>
                          <a:blip r:embed="rId38"/>
                          <a:stretch>
                            <a:fillRect/>
                          </a:stretch>
                        </pic:blipFill>
                        <pic:spPr bwMode="auto">
                          <a:xfrm>
                            <a:off x="0" y="0"/>
                            <a:ext cx="2987855" cy="86088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w:t>
            </w:r>
          </w:p>
          <w:bookmarkEnd w:id="41"/>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End w:id="42"/>
    <w:bookmarkStart w:id="63" w:name="model-evaluation-1"/>
    <w:p>
      <w:pPr>
        <w:pStyle w:val="Heading3"/>
      </w:pPr>
      <w:r>
        <w:t xml:space="preserve">Model Evaluation</w:t>
      </w:r>
    </w:p>
    <w:p>
      <w:pPr>
        <w:pStyle w:val="FirstParagraph"/>
      </w:pPr>
      <w:r>
        <w:t xml:space="preserve">We selected and evaluated the best performing XGBoost model from our validation set. This may result in a slight optimism bias in our model performance, though we believe this is largely offset through our use of 10 x 30 cross-validation (which averages model performance across 300 folds). However,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across the 300 folds achieved fair performance (</w:t>
      </w:r>
      <w:r>
        <w:rPr>
          <w:iCs/>
          <w:i/>
        </w:rPr>
        <w:t xml:space="preserve">Mdn</w:t>
      </w:r>
      <w:r>
        <w:t xml:space="preserve"> </w:t>
      </w:r>
      <w:r>
        <w:t xml:space="preserve">= 0.712).</w:t>
      </w:r>
      <w:r>
        <w:t xml:space="preserve"> </w:t>
      </w:r>
      <w:hyperlink w:anchor="fig-auroc-histogram">
        <w:r>
          <w:rPr>
            <w:rStyle w:val="Hyperlink"/>
          </w:rPr>
          <w:t xml:space="preserve">Figure 2</w:t>
        </w:r>
      </w:hyperlink>
      <w:r>
        <w:t xml:space="preserve"> </w:t>
      </w:r>
      <w:r>
        <w:t xml:space="preserve">displays a histogram of model performance distribution across all folds. A receiver operating characteristic curve is displayed in</w:t>
      </w:r>
      <w:r>
        <w:t xml:space="preserve"> </w:t>
      </w:r>
      <w:hyperlink w:anchor="fig-auroc-plot">
        <w:r>
          <w:rPr>
            <w:rStyle w:val="Hyperlink"/>
          </w:rPr>
          <w:t xml:space="preserve">Figure 3</w:t>
        </w:r>
      </w:hyperlink>
      <w:r>
        <w:t xml:space="preserve">, representing aggregate predicted lapse probabilities across all 300 folds of the validation set.</w:t>
      </w:r>
    </w:p>
    <w:p>
      <w:pPr>
        <w:pStyle w:val="BodyText"/>
      </w:pPr>
      <w:r>
        <w:t xml:space="preserve">Posterior probability distributions for the auROCs for our best performing validation set model were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4</w:t>
        </w:r>
      </w:hyperlink>
      <w:r>
        <w:t xml:space="preserve">).</w:t>
      </w:r>
    </w:p>
    <w:p>
      <w:pPr>
        <w:pStyle w:val="BodyText"/>
      </w:pPr>
      <w:r>
        <w:t xml:space="preserve">Finally, we performed model calibration in order to improve our trust in model predictions. Results of model calibration are displayed in</w:t>
      </w:r>
      <w:r>
        <w:t xml:space="preserve"> </w:t>
      </w:r>
      <w:hyperlink w:anchor="fig-calibration">
        <w:r>
          <w:rPr>
            <w:rStyle w:val="Hyperlink"/>
          </w:rPr>
          <w:t xml:space="preserve">Figure 5</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rate of lapse in our sample.</w:t>
      </w:r>
    </w:p>
    <w:tbl>
      <w:tblPr>
        <w:tblStyle w:val="Table"/>
        <w:tblW w:type="pct" w:w="5000"/>
        <w:tblLook w:firstRow="0" w:lastRow="0" w:firstColumn="0" w:lastColumn="0" w:noHBand="0" w:noVBand="0" w:val="0000"/>
        <w:jc w:val="start"/>
        <w:tblLayout w:type="fixed"/>
      </w:tblPr>
      <w:tblGrid>
        <w:gridCol w:w="7920"/>
      </w:tblGrid>
      <w:tr>
        <w:tc>
          <w:tcPr/>
          <w:bookmarkStart w:id="46" w:name="fig-auroc-histogram"/>
          <w:p>
            <w:pPr>
              <w:pStyle w:val="Compact"/>
              <w:jc w:val="center"/>
            </w:pPr>
            <w:r>
              <w:drawing>
                <wp:inline>
                  <wp:extent cx="5334000" cy="5334000"/>
                  <wp:effectExtent b="0" l="0" r="0" t="0"/>
                  <wp:docPr descr="" title="" id="44" name="Picture"/>
                  <a:graphic>
                    <a:graphicData uri="http://schemas.openxmlformats.org/drawingml/2006/picture">
                      <pic:pic>
                        <pic:nvPicPr>
                          <pic:cNvPr descr="index_files/figure-docx/notebooks-auROC_distribution_posterior-fig-auroc-histogram-output-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auROC performance across all inner cross-validation folds.</w:t>
            </w:r>
          </w:p>
          <w:bookmarkEnd w:id="46"/>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51" w:name="fig-auroc-plot"/>
          <w:p>
            <w:pPr>
              <w:pStyle w:val="Compact"/>
              <w:jc w:val="center"/>
            </w:pPr>
            <w:r>
              <w:drawing>
                <wp:inline>
                  <wp:extent cx="5334000" cy="5334000"/>
                  <wp:effectExtent b="0" l="0" r="0" t="0"/>
                  <wp:docPr descr="" title="" id="49" name="Picture"/>
                  <a:graphic>
                    <a:graphicData uri="http://schemas.openxmlformats.org/drawingml/2006/picture">
                      <pic:pic>
                        <pic:nvPicPr>
                          <pic:cNvPr descr="index_files/figure-docx/notebooks-auROC_plot-fig-auroc-plot-output-2.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auROC for overall validation set performance across thresholds.</w:t>
            </w:r>
          </w:p>
          <w:bookmarkEnd w:id="51"/>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Generate auROC plot for main models of training jobs from CHTC for gps</w:t>
        </w:r>
      </w:hyperlink>
    </w:p>
    <w:tbl>
      <w:tblPr>
        <w:tblStyle w:val="Table"/>
        <w:tblW w:type="pct" w:w="5000"/>
        <w:tblLook w:firstRow="0" w:lastRow="0" w:firstColumn="0" w:lastColumn="0" w:noHBand="0" w:noVBand="0" w:val="0000"/>
        <w:jc w:val="start"/>
        <w:tblLayout w:type="fixed"/>
      </w:tblPr>
      <w:tblGrid>
        <w:gridCol w:w="7920"/>
      </w:tblGrid>
      <w:tr>
        <w:tc>
          <w:tcPr/>
          <w:bookmarkStart w:id="56" w:name="fig-pp"/>
          <w:p>
            <w:pPr>
              <w:pStyle w:val="Compact"/>
              <w:jc w:val="center"/>
            </w:pPr>
            <w:r>
              <w:drawing>
                <wp:inline>
                  <wp:extent cx="5334000" cy="5334000"/>
                  <wp:effectExtent b="0" l="0" r="0" t="0"/>
                  <wp:docPr descr="" title="" id="54" name="Picture"/>
                  <a:graphic>
                    <a:graphicData uri="http://schemas.openxmlformats.org/drawingml/2006/picture">
                      <pic:pic>
                        <pic:nvPicPr>
                          <pic:cNvPr descr="index_files/figure-docx/notebooks-auROC_distribution_posterior-fig-pp-output-1.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Posterior distribution of model performance with 95% credible interval.</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61" w:name="fig-calibration"/>
          <w:p>
            <w:pPr>
              <w:pStyle w:val="Compact"/>
              <w:jc w:val="center"/>
            </w:pPr>
            <w:r>
              <w:drawing>
                <wp:inline>
                  <wp:extent cx="5334000" cy="5334000"/>
                  <wp:effectExtent b="0" l="0" r="0" t="0"/>
                  <wp:docPr descr="" title="" id="59" name="Picture"/>
                  <a:graphic>
                    <a:graphicData uri="http://schemas.openxmlformats.org/drawingml/2006/picture">
                      <pic:pic>
                        <pic:nvPicPr>
                          <pic:cNvPr descr="index_files/figure-docx/notebooks-calibration_plot-fig-calibration-output-2.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 between raw (uncalibrated) and logistic (calibrated) probabilities.</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Generate INNER calibration</w:t>
        </w:r>
      </w:hyperlink>
    </w:p>
    <w:bookmarkEnd w:id="63"/>
    <w:bookmarkStart w:id="69"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6</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without, did not appear to be strong and unique global contributors to model predictions.</w:t>
      </w:r>
    </w:p>
    <w:tbl>
      <w:tblPr>
        <w:tblStyle w:val="Table"/>
        <w:tblW w:type="pct" w:w="5000"/>
        <w:tblLook w:firstRow="0" w:lastRow="0" w:firstColumn="0" w:lastColumn="0" w:noHBand="0" w:noVBand="0" w:val="0000"/>
        <w:jc w:val="start"/>
        <w:tblLayout w:type="fixed"/>
      </w:tblPr>
      <w:tblGrid>
        <w:gridCol w:w="7920"/>
      </w:tblGrid>
      <w:tr>
        <w:tc>
          <w:tcPr/>
          <w:bookmarkStart w:id="67" w:name="fig-shaps-group"/>
          <w:p>
            <w:pPr>
              <w:pStyle w:val="Compact"/>
              <w:jc w:val="center"/>
            </w:pPr>
            <w:r>
              <w:drawing>
                <wp:inline>
                  <wp:extent cx="5334000" cy="5334000"/>
                  <wp:effectExtent b="0" l="0" r="0" t="0"/>
                  <wp:docPr descr="" title="" id="65" name="Picture"/>
                  <a:graphic>
                    <a:graphicData uri="http://schemas.openxmlformats.org/drawingml/2006/picture">
                      <pic:pic>
                        <pic:nvPicPr>
                          <pic:cNvPr descr="index_files/figure-docx/notebooks-shaps-fig-shaps-group-output-1.png" id="66"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Grouped (mean absolute values) SHAP values displaying relative feature importance.</w:t>
            </w:r>
          </w:p>
          <w:bookmarkEnd w:id="67"/>
        </w:tc>
      </w:tr>
    </w:tbl>
    <w:p>
      <w:pPr>
        <w:pStyle w:val="BodyText"/>
      </w:pPr>
      <w:r>
        <w:rPr>
          <w:vertAlign w:val="subscript"/>
        </w:rPr>
        <w:t xml:space="preserve">Source:</w:t>
      </w:r>
      <w:r>
        <w:rPr>
          <w:vertAlign w:val="subscript"/>
        </w:rPr>
        <w:t xml:space="preserve"> </w:t>
      </w:r>
      <w:hyperlink r:id="rId68">
        <w:r>
          <w:rPr>
            <w:rStyle w:val="Hyperlink"/>
            <w:vertAlign w:val="subscript"/>
          </w:rPr>
          <w:t xml:space="preserve">SHAPs</w:t>
        </w:r>
      </w:hyperlink>
    </w:p>
    <w:bookmarkEnd w:id="69"/>
    <w:bookmarkStart w:id="75" w:name="algorithmic-fairness-1"/>
    <w:p>
      <w:pPr>
        <w:pStyle w:val="Heading3"/>
      </w:pPr>
      <w:r>
        <w:t xml:space="preserve">Algorithmic Fairness</w:t>
      </w:r>
    </w:p>
    <w:p>
      <w:pPr>
        <w:pStyle w:val="FirstParagraph"/>
      </w:pPr>
      <w:hyperlink w:anchor="fig-fairness-subgroups">
        <w:r>
          <w:rPr>
            <w:rStyle w:val="Hyperlink"/>
          </w:rPr>
          <w:t xml:space="preserve">Figure 7</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(range=0.026-0.083, probability=1.000). Male participants demonstrated 0.036 greater model performance than female participants (range=0.012-0.060, probability=0.999). Younger participants demonstrated 0.106 greater model performance than older participants (range=0.080-0.133, probability=1.000). Finally, participants above the poverty line demonstrated 0.056 greater model performance than those below the poverty line (range=0.033-0.079, probability=1.000).</w:t>
      </w:r>
    </w:p>
    <w:tbl>
      <w:tblPr>
        <w:tblStyle w:val="Table"/>
        <w:tblW w:type="pct" w:w="5000"/>
        <w:tblLook w:firstRow="0" w:lastRow="0" w:firstColumn="0" w:lastColumn="0" w:noHBand="0" w:noVBand="0" w:val="0000"/>
        <w:jc w:val="start"/>
        <w:tblLayout w:type="fixed"/>
      </w:tblPr>
      <w:tblGrid>
        <w:gridCol w:w="7920"/>
      </w:tblGrid>
      <w:tr>
        <w:tc>
          <w:tcPr/>
          <w:bookmarkStart w:id="73" w:name="fig-fairness-subgroups"/>
          <w:p>
            <w:pPr>
              <w:pStyle w:val="Compact"/>
              <w:jc w:val="center"/>
            </w:pPr>
            <w:r>
              <w:drawing>
                <wp:inline>
                  <wp:extent cx="5334000" cy="5334000"/>
                  <wp:effectExtent b="0" l="0" r="0" t="0"/>
                  <wp:docPr descr="" title="" id="71" name="Picture"/>
                  <a:graphic>
                    <a:graphicData uri="http://schemas.openxmlformats.org/drawingml/2006/picture">
                      <pic:pic>
                        <pic:nvPicPr>
                          <pic:cNvPr descr="index_files/figure-docx/notebooks-fairness-fig-fairness-subgroups-output-1.png" id="72"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95% credible intervals across posterior subgroups at differential levels of privilege.</w:t>
            </w:r>
          </w:p>
          <w:bookmarkEnd w:id="73"/>
        </w:tc>
      </w:tr>
    </w:tbl>
    <w:p>
      <w:pPr>
        <w:pStyle w:val="BodyText"/>
      </w:pPr>
      <w:r>
        <w:rPr>
          <w:vertAlign w:val="subscript"/>
        </w:rPr>
        <w:t xml:space="preserve">Source:</w:t>
      </w:r>
      <w:r>
        <w:rPr>
          <w:vertAlign w:val="subscript"/>
        </w:rPr>
        <w:t xml:space="preserve"> </w:t>
      </w:r>
      <w:hyperlink r:id="rId74">
        <w:r>
          <w:rPr>
            <w:rStyle w:val="Hyperlink"/>
            <w:vertAlign w:val="subscript"/>
          </w:rPr>
          <w:t xml:space="preserve">Subgroup Analysis</w:t>
        </w:r>
      </w:hyperlink>
    </w:p>
    <w:bookmarkEnd w:id="75"/>
    <w:bookmarkEnd w:id="76"/>
    <w:bookmarkStart w:id="81" w:name="discussion"/>
    <w:p>
      <w:pPr>
        <w:pStyle w:val="Heading2"/>
      </w:pPr>
      <w:r>
        <w:t xml:space="preserve">Discussion</w:t>
      </w:r>
    </w:p>
    <w:bookmarkStart w:id="77" w:name="model-performance"/>
    <w:p>
      <w:pPr>
        <w:pStyle w:val="Heading3"/>
      </w:pPr>
      <w:r>
        <w:t xml:space="preserve">Model Performance</w:t>
      </w:r>
    </w:p>
    <w:p>
      <w:pPr>
        <w:numPr>
          <w:ilvl w:val="0"/>
          <w:numId w:val="1001"/>
        </w:numPr>
      </w:pPr>
      <w:r>
        <w:t xml:space="preserve">Our day-level model of lapse prediction using geolocation data performs adequately well. Models which perform at around the .7 threshold are considered to have</w:t>
      </w:r>
      <w:r>
        <w:t xml:space="preserve"> </w:t>
      </w:r>
      <w:r>
        <w:t xml:space="preserve">“</w:t>
      </w:r>
      <w:r>
        <w:t xml:space="preserve">fair</w:t>
      </w:r>
      <w:r>
        <w:t xml:space="preserve">”</w:t>
      </w:r>
      <w:r>
        <w:t xml:space="preserve"> </w:t>
      </w:r>
      <w:r>
        <w:t xml:space="preserve">performance. This suggests that, while there is still substantial room for improvement in model performance, geolocation data can predict future alcohol lapse in the next day with fair sensitivity and specificity.</w:t>
      </w:r>
    </w:p>
    <w:p>
      <w:pPr>
        <w:numPr>
          <w:ilvl w:val="0"/>
          <w:numId w:val="1001"/>
        </w:numPr>
      </w:pPr>
      <w:r>
        <w:t xml:space="preserve">Calibration is more sensitive than true lapse rate in sample, suggesting that it overpredicts occurrence of lapses</w:t>
      </w:r>
    </w:p>
    <w:p>
      <w:pPr>
        <w:numPr>
          <w:ilvl w:val="0"/>
          <w:numId w:val="1001"/>
        </w:numPr>
      </w:pPr>
      <w:r>
        <w:t xml:space="preserve">This is not necessarily an issue if we are trying to quantify relative risk to individuals using a risk monitoring system</w:t>
      </w:r>
    </w:p>
    <w:p>
      <w:pPr>
        <w:numPr>
          <w:ilvl w:val="0"/>
          <w:numId w:val="1001"/>
        </w:numPr>
      </w:pPr>
      <w:r>
        <w:t xml:space="preserve">Top performing Shapley values were time spent at risky locations, time spent at different types of location, and time spent at locations with varying levels of alcohol availability.</w:t>
      </w:r>
    </w:p>
    <w:p>
      <w:pPr>
        <w:numPr>
          <w:ilvl w:val="0"/>
          <w:numId w:val="1001"/>
        </w:numPr>
      </w:pPr>
      <w:r>
        <w:t xml:space="preserve">These features were all generated utilizing additional context supplied by participants after a given location was identified as frequently visited (&gt; 2x in the previous month).</w:t>
      </w:r>
    </w:p>
    <w:p>
      <w:pPr>
        <w:numPr>
          <w:ilvl w:val="0"/>
          <w:numId w:val="1001"/>
        </w:numPr>
      </w:pPr>
      <w:r>
        <w:t xml:space="preserve">It should be noted that these features have potential to be generated without user feedback (i.e., using consumer and other publicly available data to identify establishments that sell alcohol, etc.)</w:t>
      </w:r>
    </w:p>
    <w:p>
      <w:pPr>
        <w:numPr>
          <w:ilvl w:val="0"/>
          <w:numId w:val="1001"/>
        </w:numPr>
      </w:pPr>
      <w:r>
        <w:t xml:space="preserve">This could potentially reduce burden further by not requiring individual input</w:t>
      </w:r>
    </w:p>
    <w:p>
      <w:pPr>
        <w:numPr>
          <w:ilvl w:val="0"/>
          <w:numId w:val="1001"/>
        </w:numPr>
      </w:pPr>
      <w:r>
        <w:t xml:space="preserve">However, self-classifying locations as risky might be encoding nuance that could not be feasibly obtained using public data. For example, a location might be labeled as risky from user input because it is a person-specific triggering location (e.g., scene of a traumatic event).</w:t>
      </w:r>
    </w:p>
    <w:p>
      <w:pPr>
        <w:numPr>
          <w:ilvl w:val="0"/>
          <w:numId w:val="1001"/>
        </w:numPr>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(particularly when compared to daily EMA).</w:t>
      </w:r>
    </w:p>
    <w:p>
      <w:pPr>
        <w:numPr>
          <w:ilvl w:val="0"/>
          <w:numId w:val="1001"/>
        </w:numPr>
      </w:pPr>
      <w:r>
        <w:t xml:space="preserve">Location to avoid in recovery and previous drinking location – poor insight so low predictive ability?</w:t>
      </w:r>
    </w:p>
    <w:p>
      <w:pPr>
        <w:numPr>
          <w:ilvl w:val="0"/>
          <w:numId w:val="1001"/>
        </w:numPr>
      </w:pPr>
      <w:r>
        <w:t xml:space="preserve">Transitory movement, location variance, time spent out of home in the evening – lacking individual input from participants, not easily tied to meaningful lapse risk factors</w:t>
      </w:r>
    </w:p>
    <w:bookmarkEnd w:id="77"/>
    <w:bookmarkStart w:id="78" w:name="model-fairness"/>
    <w:p>
      <w:pPr>
        <w:pStyle w:val="Heading3"/>
      </w:pPr>
      <w:r>
        <w:t xml:space="preserve">Model Fairness</w:t>
      </w:r>
    </w:p>
    <w:bookmarkEnd w:id="78"/>
    <w:bookmarkStart w:id="79" w:name="future-directions"/>
    <w:p>
      <w:pPr>
        <w:pStyle w:val="Heading3"/>
      </w:pPr>
      <w:r>
        <w:t xml:space="preserve">Future directions</w:t>
      </w:r>
    </w:p>
    <w:p>
      <w:pPr>
        <w:numPr>
          <w:ilvl w:val="0"/>
          <w:numId w:val="1002"/>
        </w:numPr>
        <w:pStyle w:val="Compact"/>
      </w:pPr>
      <w:r>
        <w:t xml:space="preserve">Baseline model?</w:t>
      </w:r>
    </w:p>
    <w:p>
      <w:pPr>
        <w:numPr>
          <w:ilvl w:val="0"/>
          <w:numId w:val="1002"/>
        </w:numPr>
        <w:pStyle w:val="Compact"/>
      </w:pPr>
      <w:r>
        <w:t xml:space="preserve">Add in more affective features</w:t>
      </w:r>
    </w:p>
    <w:p>
      <w:pPr>
        <w:numPr>
          <w:ilvl w:val="0"/>
          <w:numId w:val="1002"/>
        </w:numPr>
        <w:pStyle w:val="Compact"/>
      </w:pPr>
      <w:r>
        <w:t xml:space="preserve">Add in risk-terrain modeling features</w:t>
      </w:r>
    </w:p>
    <w:p>
      <w:pPr>
        <w:numPr>
          <w:ilvl w:val="0"/>
          <w:numId w:val="1002"/>
        </w:numPr>
        <w:pStyle w:val="Compact"/>
      </w:pPr>
      <w:r>
        <w:t xml:space="preserve">Add in other important features that could contribute to movement patterns like day of the week and weather</w:t>
      </w:r>
    </w:p>
    <w:p>
      <w:pPr>
        <w:numPr>
          <w:ilvl w:val="0"/>
          <w:numId w:val="1002"/>
        </w:numPr>
        <w:pStyle w:val="Compact"/>
      </w:pPr>
      <w:r>
        <w:t xml:space="preserve">Test final model</w:t>
      </w:r>
    </w:p>
    <w:p>
      <w:pPr>
        <w:numPr>
          <w:ilvl w:val="0"/>
          <w:numId w:val="1002"/>
        </w:numPr>
        <w:pStyle w:val="Compact"/>
      </w:pPr>
      <w:r>
        <w:t xml:space="preserve">Further calibration</w:t>
      </w:r>
    </w:p>
    <w:p>
      <w:pPr>
        <w:numPr>
          <w:ilvl w:val="0"/>
          <w:numId w:val="1002"/>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bookmarkEnd w:id="79"/>
    <w:bookmarkStart w:id="80"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Moreover, our model demonstrates similar performance across vulnerable subgroups. Moving forward, additional risk-relevant features will be added to the model in an effort to improve prediction and the final model will be evaluated.</w:t>
      </w:r>
    </w:p>
    <w:bookmarkEnd w:id="80"/>
    <w:bookmarkEnd w:id="81"/>
    <w:bookmarkStart w:id="144" w:name="references"/>
    <w:p>
      <w:pPr>
        <w:pStyle w:val="Heading2"/>
      </w:pPr>
      <w:r>
        <w:t xml:space="preserve">References</w:t>
      </w:r>
    </w:p>
    <w:bookmarkStart w:id="143" w:name="refs"/>
    <w:bookmarkStart w:id="83" w:name="ref-areanMobileTechnologyMental2016"/>
    <w:p>
      <w:pPr>
        <w:pStyle w:val="Bibliography"/>
      </w:pPr>
      <w:r>
        <w:t xml:space="preserve">Areàn, Patricia A., Kien Hoa Ly, and Gerhard Andersson. 2016.</w:t>
      </w:r>
      <w:r>
        <w:t xml:space="preserve"> </w:t>
      </w:r>
      <w:r>
        <w:t xml:space="preserve">“</w:t>
      </w:r>
      <w:hyperlink r:id="rId82">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83"/>
    <w:bookmarkStart w:id="85"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84">
        <w:r>
          <w:rPr>
            <w:rStyle w:val="Hyperlink"/>
          </w:rPr>
          <w:t xml:space="preserve">https://doi.org/10.1186/s12889-017-4358-9</w:t>
        </w:r>
      </w:hyperlink>
      <w:r>
        <w:t xml:space="preserve">.</w:t>
      </w:r>
    </w:p>
    <w:bookmarkEnd w:id="85"/>
    <w:bookmarkStart w:id="87"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86">
        <w:r>
          <w:rPr>
            <w:rStyle w:val="Hyperlink"/>
          </w:rPr>
          <w:t xml:space="preserve">https://doi.org/10.1146/annurev.clinpsy.3.022806.091455</w:t>
        </w:r>
      </w:hyperlink>
      <w:r>
        <w:t xml:space="preserve">.</w:t>
      </w:r>
    </w:p>
    <w:bookmarkEnd w:id="87"/>
    <w:bookmarkStart w:id="89"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88">
        <w:r>
          <w:rPr>
            <w:rStyle w:val="Hyperlink"/>
          </w:rPr>
          <w:t xml:space="preserve">https://doi.org/10.20900/jpbs.20210002</w:t>
        </w:r>
      </w:hyperlink>
      <w:r>
        <w:t xml:space="preserve">.</w:t>
      </w:r>
    </w:p>
    <w:bookmarkEnd w:id="89"/>
    <w:bookmarkStart w:id="91"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90">
        <w:r>
          <w:rPr>
            <w:rStyle w:val="Hyperlink"/>
          </w:rPr>
          <w:t xml:space="preserve">https://doi.org/10.2196/13209</w:t>
        </w:r>
      </w:hyperlink>
      <w:r>
        <w:t xml:space="preserve">.</w:t>
      </w:r>
    </w:p>
    <w:bookmarkEnd w:id="91"/>
    <w:bookmarkStart w:id="93"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92">
        <w:r>
          <w:rPr>
            <w:rStyle w:val="Hyperlink"/>
          </w:rPr>
          <w:t xml:space="preserve">https://doi.org/10.1016/j.drugalcdep.2013.09.007</w:t>
        </w:r>
      </w:hyperlink>
      <w:r>
        <w:t xml:space="preserve">.</w:t>
      </w:r>
    </w:p>
    <w:bookmarkEnd w:id="93"/>
    <w:bookmarkStart w:id="95"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94">
        <w:r>
          <w:rPr>
            <w:rStyle w:val="Hyperlink"/>
          </w:rPr>
          <w:t xml:space="preserve">https://doi.org/10.1037/a0038620</w:t>
        </w:r>
      </w:hyperlink>
      <w:r>
        <w:t xml:space="preserve">.</w:t>
      </w:r>
    </w:p>
    <w:bookmarkEnd w:id="95"/>
    <w:bookmarkStart w:id="97"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96">
        <w:r>
          <w:rPr>
            <w:rStyle w:val="Hyperlink"/>
          </w:rPr>
          <w:t xml:space="preserve">https://doi.org/10.1001/jamapsychiatry.2013.4642</w:t>
        </w:r>
      </w:hyperlink>
      <w:r>
        <w:t xml:space="preserve">.</w:t>
      </w:r>
    </w:p>
    <w:bookmarkEnd w:id="97"/>
    <w:bookmarkStart w:id="99"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98">
        <w:r>
          <w:rPr>
            <w:rStyle w:val="Hyperlink"/>
          </w:rPr>
          <w:t xml:space="preserve">https://doi.org/10.1038/s41593-020-0636-4</w:t>
        </w:r>
      </w:hyperlink>
      <w:r>
        <w:t xml:space="preserve">.</w:t>
      </w:r>
    </w:p>
    <w:bookmarkEnd w:id="99"/>
    <w:bookmarkStart w:id="100"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100"/>
    <w:bookmarkStart w:id="102"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101">
        <w:r>
          <w:rPr>
            <w:rStyle w:val="Hyperlink"/>
          </w:rPr>
          <w:t xml:space="preserve">https://doi.org/10.2174/1874941001003010076</w:t>
        </w:r>
      </w:hyperlink>
      <w:r>
        <w:t xml:space="preserve">.</w:t>
      </w:r>
    </w:p>
    <w:bookmarkEnd w:id="102"/>
    <w:bookmarkStart w:id="103"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103"/>
    <w:bookmarkStart w:id="105"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04">
        <w:r>
          <w:rPr>
            <w:rStyle w:val="Hyperlink"/>
          </w:rPr>
          <w:t xml:space="preserve">https://doi.org/10.1023/A:1008987426876</w:t>
        </w:r>
      </w:hyperlink>
      <w:r>
        <w:t xml:space="preserve">.</w:t>
      </w:r>
    </w:p>
    <w:bookmarkEnd w:id="105"/>
    <w:bookmarkStart w:id="107"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06">
        <w:r>
          <w:rPr>
            <w:rStyle w:val="Hyperlink"/>
          </w:rPr>
          <w:t xml:space="preserve">https://doi.org/10.1007/978-1-4614-6849-3</w:t>
        </w:r>
      </w:hyperlink>
      <w:r>
        <w:t xml:space="preserve">.</w:t>
      </w:r>
    </w:p>
    <w:bookmarkEnd w:id="107"/>
    <w:bookmarkStart w:id="109"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108">
        <w:r>
          <w:rPr>
            <w:rStyle w:val="Hyperlink"/>
          </w:rPr>
          <w:t xml:space="preserve">https://doi.org/10.1080/13658816.2018.1503276</w:t>
        </w:r>
      </w:hyperlink>
      <w:r>
        <w:t xml:space="preserve">.</w:t>
      </w:r>
    </w:p>
    <w:bookmarkEnd w:id="109"/>
    <w:bookmarkStart w:id="111"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110">
        <w:r>
          <w:rPr>
            <w:rStyle w:val="Hyperlink"/>
          </w:rPr>
          <w:t xml:space="preserve">https://doi.org/10.1007/s13311-019-00824-2</w:t>
        </w:r>
      </w:hyperlink>
      <w:r>
        <w:t xml:space="preserve">.</w:t>
      </w:r>
    </w:p>
    <w:bookmarkEnd w:id="111"/>
    <w:bookmarkStart w:id="11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12"/>
    <w:bookmarkStart w:id="114"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13">
        <w:r>
          <w:rPr>
            <w:rStyle w:val="Hyperlink"/>
          </w:rPr>
          <w:t xml:space="preserve">https://doi.org/10.1146/annurev-clinpsy-032816-044949</w:t>
        </w:r>
      </w:hyperlink>
      <w:r>
        <w:t xml:space="preserve">.</w:t>
      </w:r>
    </w:p>
    <w:bookmarkEnd w:id="114"/>
    <w:bookmarkStart w:id="116"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15">
        <w:r>
          <w:rPr>
            <w:rStyle w:val="Hyperlink"/>
          </w:rPr>
          <w:t xml:space="preserve">https://doi.org/10.2196/mhealth.5787</w:t>
        </w:r>
      </w:hyperlink>
      <w:r>
        <w:t xml:space="preserve">.</w:t>
      </w:r>
    </w:p>
    <w:bookmarkEnd w:id="116"/>
    <w:bookmarkStart w:id="117"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17"/>
    <w:bookmarkStart w:id="119"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18">
        <w:r>
          <w:rPr>
            <w:rStyle w:val="Hyperlink"/>
          </w:rPr>
          <w:t xml:space="preserve">https://doi.org/10.7326/M18-1990</w:t>
        </w:r>
      </w:hyperlink>
      <w:r>
        <w:t xml:space="preserve">.</w:t>
      </w:r>
    </w:p>
    <w:bookmarkEnd w:id="119"/>
    <w:bookmarkStart w:id="121"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20">
        <w:r>
          <w:rPr>
            <w:rStyle w:val="Hyperlink"/>
          </w:rPr>
          <w:t xml:space="preserve">https://doi.org/10.1093/schbul/sbaa121</w:t>
        </w:r>
      </w:hyperlink>
      <w:r>
        <w:t xml:space="preserve">.</w:t>
      </w:r>
    </w:p>
    <w:bookmarkEnd w:id="121"/>
    <w:bookmarkStart w:id="123"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22">
        <w:r>
          <w:rPr>
            <w:rStyle w:val="Hyperlink"/>
          </w:rPr>
          <w:t xml:space="preserve">https://doi.org/10.1111/acer.14440</w:t>
        </w:r>
      </w:hyperlink>
      <w:r>
        <w:t xml:space="preserve">.</w:t>
      </w:r>
    </w:p>
    <w:bookmarkEnd w:id="123"/>
    <w:bookmarkStart w:id="125"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24">
        <w:r>
          <w:rPr>
            <w:rStyle w:val="Hyperlink"/>
          </w:rPr>
          <w:t xml:space="preserve">https://doi.org/10.3390/ijerph20115984</w:t>
        </w:r>
      </w:hyperlink>
      <w:r>
        <w:t xml:space="preserve">.</w:t>
      </w:r>
    </w:p>
    <w:bookmarkEnd w:id="125"/>
    <w:bookmarkStart w:id="127"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26">
        <w:r>
          <w:rPr>
            <w:rStyle w:val="Hyperlink"/>
          </w:rPr>
          <w:t xml:space="preserve">https://doi.org/10.2105/AJPH.2013.301306</w:t>
        </w:r>
      </w:hyperlink>
      <w:r>
        <w:t xml:space="preserve">.</w:t>
      </w:r>
    </w:p>
    <w:bookmarkEnd w:id="127"/>
    <w:bookmarkStart w:id="128"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28"/>
    <w:bookmarkStart w:id="130"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29">
        <w:r>
          <w:rPr>
            <w:rStyle w:val="Hyperlink"/>
          </w:rPr>
          <w:t xml:space="preserve">https://doi.org/10.35946/arcr.v40.3.02</w:t>
        </w:r>
      </w:hyperlink>
      <w:r>
        <w:t xml:space="preserve">.</w:t>
      </w:r>
    </w:p>
    <w:bookmarkEnd w:id="130"/>
    <w:bookmarkStart w:id="132"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31">
        <w:r>
          <w:rPr>
            <w:rStyle w:val="Hyperlink"/>
          </w:rPr>
          <w:t xml:space="preserve">https://doi.org/10.1016/0899-3289(95)90006-3</w:t>
        </w:r>
      </w:hyperlink>
      <w:r>
        <w:t xml:space="preserve">.</w:t>
      </w:r>
    </w:p>
    <w:bookmarkEnd w:id="132"/>
    <w:bookmarkStart w:id="134"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33">
        <w:r>
          <w:rPr>
            <w:rStyle w:val="Hyperlink"/>
          </w:rPr>
          <w:t xml:space="preserve">https://doi.org/10.1016/s0306-4603(01)00284-2</w:t>
        </w:r>
      </w:hyperlink>
      <w:r>
        <w:t xml:space="preserve">.</w:t>
      </w:r>
    </w:p>
    <w:bookmarkEnd w:id="134"/>
    <w:bookmarkStart w:id="136"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35">
        <w:r>
          <w:rPr>
            <w:rStyle w:val="Hyperlink"/>
          </w:rPr>
          <w:t xml:space="preserve">https://doi.org/10.1145/3531146.3533101</w:t>
        </w:r>
      </w:hyperlink>
      <w:r>
        <w:t xml:space="preserve">.</w:t>
      </w:r>
    </w:p>
    <w:bookmarkEnd w:id="136"/>
    <w:bookmarkStart w:id="138"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37">
        <w:r>
          <w:rPr>
            <w:rStyle w:val="Hyperlink"/>
          </w:rPr>
          <w:t xml:space="preserve">https://doi.org/10.1007/s44176-022-00006-z</w:t>
        </w:r>
      </w:hyperlink>
      <w:r>
        <w:t xml:space="preserve">.</w:t>
      </w:r>
    </w:p>
    <w:bookmarkEnd w:id="138"/>
    <w:bookmarkStart w:id="140"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39">
        <w:r>
          <w:rPr>
            <w:rStyle w:val="Hyperlink"/>
          </w:rPr>
          <w:t xml:space="preserve">https://doi.org/10.1136/bmjhci-2020-100289</w:t>
        </w:r>
      </w:hyperlink>
      <w:r>
        <w:t xml:space="preserve">.</w:t>
      </w:r>
    </w:p>
    <w:bookmarkEnd w:id="140"/>
    <w:bookmarkStart w:id="142"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41">
        <w:r>
          <w:rPr>
            <w:rStyle w:val="Hyperlink"/>
          </w:rPr>
          <w:t xml:space="preserve">https://doi.org/10.1037/0003-066X.59.4.224</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3" Target="media/rId53.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70" Target="media/rId70.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hyperlink" Id="rId96" Target="https://doi.org/10.1001/jamapsychiatry.2013.4642" TargetMode="External" /><Relationship Type="http://schemas.openxmlformats.org/officeDocument/2006/relationships/hyperlink" Id="rId106" Target="https://doi.org/10.1007/978-1-4614-6849-3" TargetMode="External" /><Relationship Type="http://schemas.openxmlformats.org/officeDocument/2006/relationships/hyperlink" Id="rId110" Target="https://doi.org/10.1007/s13311-019-00824-2" TargetMode="External" /><Relationship Type="http://schemas.openxmlformats.org/officeDocument/2006/relationships/hyperlink" Id="rId137" Target="https://doi.org/10.1007/s44176-022-00006-z" TargetMode="External" /><Relationship Type="http://schemas.openxmlformats.org/officeDocument/2006/relationships/hyperlink" Id="rId131" Target="https://doi.org/10.1016/0899-3289(95)90006-3" TargetMode="External" /><Relationship Type="http://schemas.openxmlformats.org/officeDocument/2006/relationships/hyperlink" Id="rId92" Target="https://doi.org/10.1016/j.drugalcdep.2013.09.007" TargetMode="External" /><Relationship Type="http://schemas.openxmlformats.org/officeDocument/2006/relationships/hyperlink" Id="rId133" Target="https://doi.org/10.1016/s0306-4603(01)00284-2" TargetMode="External" /><Relationship Type="http://schemas.openxmlformats.org/officeDocument/2006/relationships/hyperlink" Id="rId104" Target="https://doi.org/10.1023/A:1008987426876" TargetMode="External" /><Relationship Type="http://schemas.openxmlformats.org/officeDocument/2006/relationships/hyperlink" Id="rId141" Target="https://doi.org/10.1037/0003-066X.59.4.224" TargetMode="External" /><Relationship Type="http://schemas.openxmlformats.org/officeDocument/2006/relationships/hyperlink" Id="rId94" Target="https://doi.org/10.1037/a0038620" TargetMode="External" /><Relationship Type="http://schemas.openxmlformats.org/officeDocument/2006/relationships/hyperlink" Id="rId98" Target="https://doi.org/10.1038/s41593-020-0636-4" TargetMode="External" /><Relationship Type="http://schemas.openxmlformats.org/officeDocument/2006/relationships/hyperlink" Id="rId108" Target="https://doi.org/10.1080/13658816.2018.1503276" TargetMode="External" /><Relationship Type="http://schemas.openxmlformats.org/officeDocument/2006/relationships/hyperlink" Id="rId120" Target="https://doi.org/10.1093/schbul/sbaa121" TargetMode="External" /><Relationship Type="http://schemas.openxmlformats.org/officeDocument/2006/relationships/hyperlink" Id="rId122" Target="https://doi.org/10.1111/acer.14440" TargetMode="External" /><Relationship Type="http://schemas.openxmlformats.org/officeDocument/2006/relationships/hyperlink" Id="rId139" Target="https://doi.org/10.1136/bmjhci-2020-100289" TargetMode="External" /><Relationship Type="http://schemas.openxmlformats.org/officeDocument/2006/relationships/hyperlink" Id="rId135" Target="https://doi.org/10.1145/3531146.3533101" TargetMode="External" /><Relationship Type="http://schemas.openxmlformats.org/officeDocument/2006/relationships/hyperlink" Id="rId113" Target="https://doi.org/10.1146/annurev-clinpsy-032816-044949" TargetMode="External" /><Relationship Type="http://schemas.openxmlformats.org/officeDocument/2006/relationships/hyperlink" Id="rId86" Target="https://doi.org/10.1146/annurev.clinpsy.3.022806.091455" TargetMode="External" /><Relationship Type="http://schemas.openxmlformats.org/officeDocument/2006/relationships/hyperlink" Id="rId84" Target="https://doi.org/10.1186/s12889-017-4358-9" TargetMode="External" /><Relationship Type="http://schemas.openxmlformats.org/officeDocument/2006/relationships/hyperlink" Id="rId88" Target="https://doi.org/10.20900/jpbs.20210002" TargetMode="External" /><Relationship Type="http://schemas.openxmlformats.org/officeDocument/2006/relationships/hyperlink" Id="rId126" Target="https://doi.org/10.2105/AJPH.2013.301306" TargetMode="External" /><Relationship Type="http://schemas.openxmlformats.org/officeDocument/2006/relationships/hyperlink" Id="rId101" Target="https://doi.org/10.2174/1874941001003010076" TargetMode="External" /><Relationship Type="http://schemas.openxmlformats.org/officeDocument/2006/relationships/hyperlink" Id="rId90" Target="https://doi.org/10.2196/13209" TargetMode="External" /><Relationship Type="http://schemas.openxmlformats.org/officeDocument/2006/relationships/hyperlink" Id="rId115" Target="https://doi.org/10.2196/mhealth.5787" TargetMode="External" /><Relationship Type="http://schemas.openxmlformats.org/officeDocument/2006/relationships/hyperlink" Id="rId124" Target="https://doi.org/10.3390/ijerph20115984" TargetMode="External" /><Relationship Type="http://schemas.openxmlformats.org/officeDocument/2006/relationships/hyperlink" Id="rId129" Target="https://doi.org/10.35946/arcr.v40.3.02" TargetMode="External" /><Relationship Type="http://schemas.openxmlformats.org/officeDocument/2006/relationships/hyperlink" Id="rId118"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7" Target="https://jjcurtin.github.io/study_gps/notebooks/auROC_distribution_posterior-preview.html#cell-fig-auroc-histogram" TargetMode="External" /><Relationship Type="http://schemas.openxmlformats.org/officeDocument/2006/relationships/hyperlink" Id="rId57" Target="https://jjcurtin.github.io/study_gps/notebooks/auROC_distribution_posterior-preview.html#cell-fig-pp" TargetMode="External" /><Relationship Type="http://schemas.openxmlformats.org/officeDocument/2006/relationships/hyperlink" Id="rId52" Target="https://jjcurtin.github.io/study_gps/notebooks/auROC_plot-preview.html#cell-fig-auroc-plot" TargetMode="External" /><Relationship Type="http://schemas.openxmlformats.org/officeDocument/2006/relationships/hyperlink" Id="rId62" Target="https://jjcurtin.github.io/study_gps/notebooks/calibration_plot-preview.html#cell-fig-calibration" TargetMode="External" /><Relationship Type="http://schemas.openxmlformats.org/officeDocument/2006/relationships/hyperlink" Id="rId74" Target="https://jjcurtin.github.io/study_gps/notebooks/fairness-preview.html#cell-fig-fairness-subgroups" TargetMode="External" /><Relationship Type="http://schemas.openxmlformats.org/officeDocument/2006/relationships/hyperlink" Id="rId68" Target="https://jjcurtin.github.io/study_gps/notebooks/shaps-preview.html#cell-fig-shaps-group" TargetMode="External" /><Relationship Type="http://schemas.openxmlformats.org/officeDocument/2006/relationships/hyperlink" Id="rId82"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96" Target="https://doi.org/10.1001/jamapsychiatry.2013.4642" TargetMode="External" /><Relationship Type="http://schemas.openxmlformats.org/officeDocument/2006/relationships/hyperlink" Id="rId106" Target="https://doi.org/10.1007/978-1-4614-6849-3" TargetMode="External" /><Relationship Type="http://schemas.openxmlformats.org/officeDocument/2006/relationships/hyperlink" Id="rId110" Target="https://doi.org/10.1007/s13311-019-00824-2" TargetMode="External" /><Relationship Type="http://schemas.openxmlformats.org/officeDocument/2006/relationships/hyperlink" Id="rId137" Target="https://doi.org/10.1007/s44176-022-00006-z" TargetMode="External" /><Relationship Type="http://schemas.openxmlformats.org/officeDocument/2006/relationships/hyperlink" Id="rId131" Target="https://doi.org/10.1016/0899-3289(95)90006-3" TargetMode="External" /><Relationship Type="http://schemas.openxmlformats.org/officeDocument/2006/relationships/hyperlink" Id="rId92" Target="https://doi.org/10.1016/j.drugalcdep.2013.09.007" TargetMode="External" /><Relationship Type="http://schemas.openxmlformats.org/officeDocument/2006/relationships/hyperlink" Id="rId133" Target="https://doi.org/10.1016/s0306-4603(01)00284-2" TargetMode="External" /><Relationship Type="http://schemas.openxmlformats.org/officeDocument/2006/relationships/hyperlink" Id="rId104" Target="https://doi.org/10.1023/A:1008987426876" TargetMode="External" /><Relationship Type="http://schemas.openxmlformats.org/officeDocument/2006/relationships/hyperlink" Id="rId141" Target="https://doi.org/10.1037/0003-066X.59.4.224" TargetMode="External" /><Relationship Type="http://schemas.openxmlformats.org/officeDocument/2006/relationships/hyperlink" Id="rId94" Target="https://doi.org/10.1037/a0038620" TargetMode="External" /><Relationship Type="http://schemas.openxmlformats.org/officeDocument/2006/relationships/hyperlink" Id="rId98" Target="https://doi.org/10.1038/s41593-020-0636-4" TargetMode="External" /><Relationship Type="http://schemas.openxmlformats.org/officeDocument/2006/relationships/hyperlink" Id="rId108" Target="https://doi.org/10.1080/13658816.2018.1503276" TargetMode="External" /><Relationship Type="http://schemas.openxmlformats.org/officeDocument/2006/relationships/hyperlink" Id="rId120" Target="https://doi.org/10.1093/schbul/sbaa121" TargetMode="External" /><Relationship Type="http://schemas.openxmlformats.org/officeDocument/2006/relationships/hyperlink" Id="rId122" Target="https://doi.org/10.1111/acer.14440" TargetMode="External" /><Relationship Type="http://schemas.openxmlformats.org/officeDocument/2006/relationships/hyperlink" Id="rId139" Target="https://doi.org/10.1136/bmjhci-2020-100289" TargetMode="External" /><Relationship Type="http://schemas.openxmlformats.org/officeDocument/2006/relationships/hyperlink" Id="rId135" Target="https://doi.org/10.1145/3531146.3533101" TargetMode="External" /><Relationship Type="http://schemas.openxmlformats.org/officeDocument/2006/relationships/hyperlink" Id="rId113" Target="https://doi.org/10.1146/annurev-clinpsy-032816-044949" TargetMode="External" /><Relationship Type="http://schemas.openxmlformats.org/officeDocument/2006/relationships/hyperlink" Id="rId86" Target="https://doi.org/10.1146/annurev.clinpsy.3.022806.091455" TargetMode="External" /><Relationship Type="http://schemas.openxmlformats.org/officeDocument/2006/relationships/hyperlink" Id="rId84" Target="https://doi.org/10.1186/s12889-017-4358-9" TargetMode="External" /><Relationship Type="http://schemas.openxmlformats.org/officeDocument/2006/relationships/hyperlink" Id="rId88" Target="https://doi.org/10.20900/jpbs.20210002" TargetMode="External" /><Relationship Type="http://schemas.openxmlformats.org/officeDocument/2006/relationships/hyperlink" Id="rId126" Target="https://doi.org/10.2105/AJPH.2013.301306" TargetMode="External" /><Relationship Type="http://schemas.openxmlformats.org/officeDocument/2006/relationships/hyperlink" Id="rId101" Target="https://doi.org/10.2174/1874941001003010076" TargetMode="External" /><Relationship Type="http://schemas.openxmlformats.org/officeDocument/2006/relationships/hyperlink" Id="rId90" Target="https://doi.org/10.2196/13209" TargetMode="External" /><Relationship Type="http://schemas.openxmlformats.org/officeDocument/2006/relationships/hyperlink" Id="rId115" Target="https://doi.org/10.2196/mhealth.5787" TargetMode="External" /><Relationship Type="http://schemas.openxmlformats.org/officeDocument/2006/relationships/hyperlink" Id="rId124" Target="https://doi.org/10.3390/ijerph20115984" TargetMode="External" /><Relationship Type="http://schemas.openxmlformats.org/officeDocument/2006/relationships/hyperlink" Id="rId129" Target="https://doi.org/10.35946/arcr.v40.3.02" TargetMode="External" /><Relationship Type="http://schemas.openxmlformats.org/officeDocument/2006/relationships/hyperlink" Id="rId118"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7" Target="https://jjcurtin.github.io/study_gps/notebooks/auROC_distribution_posterior-preview.html#cell-fig-auroc-histogram" TargetMode="External" /><Relationship Type="http://schemas.openxmlformats.org/officeDocument/2006/relationships/hyperlink" Id="rId57" Target="https://jjcurtin.github.io/study_gps/notebooks/auROC_distribution_posterior-preview.html#cell-fig-pp" TargetMode="External" /><Relationship Type="http://schemas.openxmlformats.org/officeDocument/2006/relationships/hyperlink" Id="rId52" Target="https://jjcurtin.github.io/study_gps/notebooks/auROC_plot-preview.html#cell-fig-auroc-plot" TargetMode="External" /><Relationship Type="http://schemas.openxmlformats.org/officeDocument/2006/relationships/hyperlink" Id="rId62" Target="https://jjcurtin.github.io/study_gps/notebooks/calibration_plot-preview.html#cell-fig-calibration" TargetMode="External" /><Relationship Type="http://schemas.openxmlformats.org/officeDocument/2006/relationships/hyperlink" Id="rId74" Target="https://jjcurtin.github.io/study_gps/notebooks/fairness-preview.html#cell-fig-fairness-subgroups" TargetMode="External" /><Relationship Type="http://schemas.openxmlformats.org/officeDocument/2006/relationships/hyperlink" Id="rId68" Target="https://jjcurtin.github.io/study_gps/notebooks/shaps-preview.html#cell-fig-shaps-group" TargetMode="External" /><Relationship Type="http://schemas.openxmlformats.org/officeDocument/2006/relationships/hyperlink" Id="rId82"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2024-10-16T02:26:14Z</dcterms:created>
  <dcterms:modified xsi:type="dcterms:W3CDTF">2024-10-16T02:26:14Z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2024-10-15</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