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png" ContentType="image/png"/>
  <Override PartName="/word/media/rId147.png" ContentType="image/png"/>
  <Override PartName="/word/media/rId159.png" ContentType="image/png"/>
  <Override PartName="/word/media/rId153.png" ContentType="image/png"/>
  <Override PartName="/word/media/rId171.png" ContentType="image/png"/>
  <Override PartName="/word/media/rId165.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2024-10-17</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Because these devices are already ubiquitous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Geolocation data are one such promising source.</w:t>
      </w:r>
    </w:p>
    <w:p>
      <w:pPr>
        <w:pStyle w:val="BodyText"/>
      </w:pPr>
      <w:r>
        <w:t xml:space="preserve">Geolocation data consist of latitude and longitude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development,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monitoring algorithms run the risk of providing sub-optimal mental health care to individuals who already face disadvantages.</w:t>
      </w:r>
    </w:p>
    <w:p>
      <w:pPr>
        <w:pStyle w:val="BodyText"/>
      </w:pPr>
      <w:r>
        <w:t xml:space="preserve">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The second is historical biases in the literature. This is of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for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and change in these data over the previous 6, 12, 24, 48, 72, and 168 hours.</w:t>
      </w:r>
    </w:p>
    <w:p>
      <w:pPr>
        <w:pStyle w:val="BodyText"/>
      </w:pPr>
      <w:r>
        <w:t xml:space="preserve">Here we present characterization of model performance for this prediction model in a validation set, including a discussion of feature importance and an evaluation of model fairness. 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2"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and-contextual-data"/>
    <w:p>
      <w:pPr>
        <w:pStyle w:val="Heading3"/>
      </w:pPr>
      <w:r>
        <w:t xml:space="preserve">Geolocation and contextual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6"/>
    <w:bookmarkStart w:id="27"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7"/>
    <w:bookmarkStart w:id="28"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8"/>
    <w:bookmarkStart w:id="29"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were completed during feature engineering.</w:t>
      </w:r>
    </w:p>
    <w:bookmarkEnd w:id="29"/>
    <w:bookmarkStart w:id="30"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validations sets (i.e., inner loops) are presented here.</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w:t>
      </w:r>
    </w:p>
    <w:p>
      <w:pPr>
        <w:pStyle w:val="BodyText"/>
      </w:pPr>
      <w:r>
        <w:t xml:space="preserve">Shapley values were computed in log-odd units as our interpretability metric.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Shapley values.</w:t>
      </w:r>
    </w:p>
    <w:p>
      <w:pPr>
        <w:pStyle w:val="BodyText"/>
      </w:pPr>
      <w:r>
        <w:t xml:space="preserve">Finally, a Bayesian hierarchical generalized linear model was used to estimate the posterior probability distributions and 95% Bayesian credible intervals (CIs) for auROC.</w:t>
      </w:r>
    </w:p>
    <w:bookmarkEnd w:id="30"/>
    <w:bookmarkStart w:id="31" w:name="algorithmic-fairness"/>
    <w:p>
      <w:pPr>
        <w:pStyle w:val="Heading3"/>
      </w:pPr>
      <w:r>
        <w:t xml:space="preserve">Algorithmic fairness</w:t>
      </w:r>
    </w:p>
    <w:p>
      <w:pPr>
        <w:pStyle w:val="FirstParagraph"/>
      </w:pPr>
      <w:r>
        <w:t xml:space="preserve">Subgroups were defined on the basis of personal individual characteristics divided such that 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and 95% Bayesian CIs for auROC across these four classes. Model contrasts were used in order to identify the likelihood of differential performance of our model between subgroups within each class.</w:t>
      </w:r>
    </w:p>
    <w:bookmarkEnd w:id="31"/>
    <w:bookmarkEnd w:id="32"/>
    <w:bookmarkStart w:id="38" w:name="results"/>
    <w:p>
      <w:pPr>
        <w:pStyle w:val="Heading2"/>
      </w:pPr>
      <w:r>
        <w:t xml:space="preserve">Results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model-evaluation-1"/>
    <w:p>
      <w:pPr>
        <w:pStyle w:val="Heading3"/>
      </w:pPr>
      <w:r>
        <w:t xml:space="preserve">Model Evaluation</w:t>
      </w:r>
    </w:p>
    <w:p>
      <w:pPr>
        <w:pStyle w:val="FirstParagraph"/>
      </w:pPr>
      <w:r>
        <w:t xml:space="preserve">We selected and evaluated the best performing XGBoost model across all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optimization bias</w:t>
      </w:r>
      <w:r>
        <w:t xml:space="preserve"> </w:t>
      </w:r>
      <w:r>
        <w:t xml:space="preserve">(Jonathan, Krzanowski, and McCarthy 2000)</w:t>
      </w:r>
      <w:r>
        <w:t xml:space="preserve">.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over all validation sets was 0.712. auROCs above .7 are typically considered as having</w:t>
      </w:r>
      <w:r>
        <w:t xml:space="preserve"> </w:t>
      </w:r>
      <w:r>
        <w:t xml:space="preserve">“</w:t>
      </w:r>
      <w:r>
        <w:t xml:space="preserve">acceptable</w:t>
      </w:r>
      <w:r>
        <w:t xml:space="preserve">”</w:t>
      </w:r>
      <w:r>
        <w:t xml:space="preserve"> </w:t>
      </w:r>
      <w:r>
        <w:t xml:space="preserve">performance and indicate that the model correctly assigns a higher probability of lapse to a positive case (rather than a negative case) 70% of the time</w:t>
      </w:r>
      <w:r>
        <w:t xml:space="preserve"> </w:t>
      </w:r>
      <w:r>
        <w:t xml:space="preserve">(Mandrekar 2010)</w:t>
      </w:r>
      <w:r>
        <w:t xml:space="preserve">.</w:t>
      </w:r>
      <w:r>
        <w:t xml:space="preserve"> </w:t>
      </w:r>
      <w:hyperlink w:anchor="fig-auroc-histogram">
        <w:r>
          <w:rPr>
            <w:rStyle w:val="Hyperlink"/>
          </w:rPr>
          <w:t xml:space="preserve">Figure 1</w:t>
        </w:r>
      </w:hyperlink>
      <w:r>
        <w:t xml:space="preserve"> </w:t>
      </w:r>
      <w:r>
        <w:t xml:space="preserve">displays a histogram of model performance distribution across all folds.</w:t>
      </w:r>
    </w:p>
    <w:p>
      <w:pPr>
        <w:pStyle w:val="BodyText"/>
      </w:pPr>
      <w:r>
        <w:t xml:space="preserve">Posterior probability distributions for the auROCs for our best performing validation set model were then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2</w:t>
        </w:r>
      </w:hyperlink>
      <w:r>
        <w:t xml:space="preserve">).</w:t>
      </w:r>
    </w:p>
    <w:p>
      <w:pPr>
        <w:pStyle w:val="BodyText"/>
      </w:pPr>
      <w:r>
        <w:t xml:space="preserve">Next, we performed model calibration in order to improve our trust in model predictions. Results of model calibration are displayed in</w:t>
      </w:r>
      <w:r>
        <w:t xml:space="preserve"> </w:t>
      </w:r>
      <w:hyperlink w:anchor="fig-calibration">
        <w:r>
          <w:rPr>
            <w:rStyle w:val="Hyperlink"/>
          </w:rPr>
          <w:t xml:space="preserve">Figure 3</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w:t>
      </w:r>
    </w:p>
    <w:p>
      <w:pPr>
        <w:pStyle w:val="BodyText"/>
      </w:pPr>
      <w:r>
        <w:t xml:space="preserve">Finally, a receiver operating characteristic curve is displayed in</w:t>
      </w:r>
      <w:r>
        <w:t xml:space="preserve"> </w:t>
      </w:r>
      <w:hyperlink w:anchor="fig-auroc-plot">
        <w:r>
          <w:rPr>
            <w:rStyle w:val="Hyperlink"/>
          </w:rPr>
          <w:t xml:space="preserve">Figure 4</w:t>
        </w:r>
      </w:hyperlink>
      <w:r>
        <w:t xml:space="preserve">, representing aggregate predicted lapse logistic (calibrated) probabilities across all validation sets.</w:t>
      </w:r>
    </w:p>
    <w:bookmarkEnd w:id="35"/>
    <w:bookmarkStart w:id="3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6"/>
    <w:bookmarkStart w:id="37"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7"/>
    <w:bookmarkEnd w:id="38"/>
    <w:bookmarkStart w:id="43" w:name="discussion"/>
    <w:p>
      <w:pPr>
        <w:pStyle w:val="Heading2"/>
      </w:pPr>
      <w:r>
        <w:t xml:space="preserve">Discussion</w:t>
      </w:r>
    </w:p>
    <w:bookmarkStart w:id="39" w:name="model-performance"/>
    <w:p>
      <w:pPr>
        <w:pStyle w:val="Heading3"/>
      </w:pPr>
      <w:r>
        <w:t xml:space="preserve">Model Performance</w:t>
      </w:r>
    </w:p>
    <w:p>
      <w:pPr>
        <w:pStyle w:val="FirstParagraph"/>
      </w:pPr>
      <w:r>
        <w:t xml:space="preserve">Our day-level model of lapse prediction using geolocation data performs at an</w:t>
      </w:r>
      <w:r>
        <w:t xml:space="preserve"> </w:t>
      </w:r>
      <w:r>
        <w:t xml:space="preserve">“</w:t>
      </w:r>
      <w:r>
        <w:t xml:space="preserve">acceptable</w:t>
      </w:r>
      <w:r>
        <w:t xml:space="preserve">”</w:t>
      </w:r>
      <w:r>
        <w:t xml:space="preserve"> </w:t>
      </w:r>
      <w:r>
        <w:t xml:space="preserve">threshold [auROC between .7 and .8;</w:t>
      </w:r>
      <w:r>
        <w:t xml:space="preserve"> </w:t>
      </w:r>
      <w:r>
        <w:t xml:space="preserve">Mandrekar (2010)</w:t>
      </w:r>
      <w:r>
        <w:t xml:space="preserve">], suggesting that, while there is still a considerable amount of improvement to be made in model performance, geolocation data can predict future alcohol lapse in the next day with fair sensitivity and specificity. Bayesian model comparisons corroborated that this model performed unilaterally better than chance (.5). This study also provided explanatory insights by way of quantifying feature importance as well as a crucial examination of fairness of model performance across subgroups,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XGBoost is not a probabilistic model and as such it is expected that probabilities would need to be calibrated. Yet, even following calibration, our model overpredicts occurrence of lapses in our sample. Identifying this in the validation stage enables us to make further changes to our algorithm, such as refitting the model, prior to moving onto the final evaluation stage</w:t>
      </w:r>
      <w:r>
        <w:t xml:space="preserve"> </w:t>
      </w:r>
      <w:r>
        <w:t xml:space="preserve">(Van Calster et al. 2019)</w:t>
      </w:r>
      <w:r>
        <w:t xml:space="preserv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than lapses). Instead, we see the opposite. This may be because our features may be biased in favor of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 However, it should be noted that this oversensitivity may not be an issue depending on what information we hope to relay to individuals using a risk monitoring system. In the future development of such a system, we are not interested in communicating exact probabilities to individuals about their lapse risk (e.g.,</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(e.g.,</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risk monitoring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While other measures of global feature importance were low, it will be important to examine local feature importance to better understand their potential utility. For example, a given feature may have low global importance (low mean absolute Shapley value), but may have a unidirectional relationship with a particular class (e.g., always associated with lapse predictions).</w:t>
      </w:r>
    </w:p>
    <w:bookmarkEnd w:id="39"/>
    <w:bookmarkStart w:id="40" w:name="model-fairness"/>
    <w:p>
      <w:pPr>
        <w:pStyle w:val="Heading3"/>
      </w:pPr>
      <w:r>
        <w:t xml:space="preserve">Model Fairness</w:t>
      </w:r>
    </w:p>
    <w:p>
      <w:pPr>
        <w:pStyle w:val="FirstParagraph"/>
      </w:pPr>
      <w:r>
        <w:t xml:space="preserve">All models exhibited differential performance across four broad classes of race/ethnicity, sex at birth, age, and income, such that model performance was worse for non-white, female, and older participants, as well as those below the poverty line. It is likely that we are seeing effects of both lack of representation as well as historically entrenched biases in the literature in our sample. For instance, even collapsing across dichotomous categories for both race and ethnicity (i.e., white and non-white),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We also see divergent performance across men and women in our sample, a class that is well-balanced (</w:t>
      </w:r>
      <w:r>
        <w:rPr>
          <w:iCs/>
          <w:i/>
        </w:rPr>
        <w:t xml:space="preserve">N</w:t>
      </w:r>
      <w:r>
        <w:t xml:space="preserve"> </w:t>
      </w:r>
      <w:r>
        <w:t xml:space="preserve">male = 74,</w:t>
      </w:r>
      <w:r>
        <w:t xml:space="preserve"> </w:t>
      </w:r>
      <w:r>
        <w:rPr>
          <w:iCs/>
          <w:i/>
        </w:rPr>
        <w:t xml:space="preserve">N</w:t>
      </w:r>
      <w:r>
        <w:t xml:space="preserve"> </w:t>
      </w:r>
      <w:r>
        <w:t xml:space="preserve">female = 72). Our features may not be as salient of predictors for lapse for women as they are for men, perhaps stemming from a historical literature that has been built primarily from studying the experiences of AUD in white men. These results suggest that we are seeing the aftereffects of both statistical bias (i.e., inadequate sampling) and societal bias (i.e., constructs which are of limited value to certain groups) in our sample</w:t>
      </w:r>
      <w:r>
        <w:t xml:space="preserve"> </w:t>
      </w:r>
      <w:r>
        <w:t xml:space="preserve">(Mitchell et al. 2021)</w:t>
      </w:r>
      <w:r>
        <w:t xml:space="preserve">.</w:t>
      </w:r>
    </w:p>
    <w:p>
      <w:pPr>
        <w:pStyle w:val="BodyText"/>
      </w:pPr>
      <w:r>
        <w:t xml:space="preserve">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40"/>
    <w:bookmarkStart w:id="41" w:name="limitations-and-future-directions"/>
    <w:p>
      <w:pPr>
        <w:pStyle w:val="Heading3"/>
      </w:pPr>
      <w:r>
        <w:t xml:space="preserve">Limitations and future directions</w:t>
      </w:r>
    </w:p>
    <w:p>
      <w:pPr>
        <w:numPr>
          <w:ilvl w:val="0"/>
          <w:numId w:val="1001"/>
        </w:numPr>
        <w:pStyle w:val="Compact"/>
      </w:pPr>
      <w:r>
        <w:t xml:space="preserve">Baseline model?</w:t>
      </w:r>
    </w:p>
    <w:p>
      <w:pPr>
        <w:numPr>
          <w:ilvl w:val="0"/>
          <w:numId w:val="1001"/>
        </w:numPr>
        <w:pStyle w:val="Compact"/>
      </w:pPr>
      <w:r>
        <w:t xml:space="preserve">Add in more affective features</w:t>
      </w:r>
    </w:p>
    <w:p>
      <w:pPr>
        <w:numPr>
          <w:ilvl w:val="0"/>
          <w:numId w:val="1001"/>
        </w:numPr>
        <w:pStyle w:val="Compact"/>
      </w:pPr>
      <w:r>
        <w:t xml:space="preserve">Add in risk-terrain modeling features</w:t>
      </w:r>
    </w:p>
    <w:p>
      <w:pPr>
        <w:numPr>
          <w:ilvl w:val="0"/>
          <w:numId w:val="1001"/>
        </w:numPr>
        <w:pStyle w:val="Compact"/>
      </w:pPr>
      <w:r>
        <w:t xml:space="preserve">Add in other important features that could contribute to movement patterns like day of the week and weather</w:t>
      </w:r>
    </w:p>
    <w:p>
      <w:pPr>
        <w:numPr>
          <w:ilvl w:val="0"/>
          <w:numId w:val="1001"/>
        </w:numPr>
        <w:pStyle w:val="Compact"/>
      </w:pPr>
      <w:r>
        <w:t xml:space="preserve">Test final model</w:t>
      </w:r>
    </w:p>
    <w:p>
      <w:pPr>
        <w:numPr>
          <w:ilvl w:val="0"/>
          <w:numId w:val="1001"/>
        </w:numPr>
        <w:pStyle w:val="Compact"/>
      </w:pPr>
      <w:r>
        <w:t xml:space="preserve">Further calibration</w:t>
      </w:r>
    </w:p>
    <w:p>
      <w:pPr>
        <w:numPr>
          <w:ilvl w:val="0"/>
          <w:numId w:val="1001"/>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p>
      <w:pPr>
        <w:numPr>
          <w:ilvl w:val="0"/>
          <w:numId w:val="1001"/>
        </w:numPr>
        <w:pStyle w:val="Compact"/>
      </w:pPr>
      <w:r>
        <w:t xml:space="preserve">More information about feature importance can be gleaned from examining local Shapley values using a Sina plot.</w:t>
      </w:r>
    </w:p>
    <w:bookmarkEnd w:id="41"/>
    <w:bookmarkStart w:id="4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However, our model demonstrates differential performance across vulnerable subgroups. Moving forward, additional risk-relevant features will be added to the model in an effort to improve prediction and the final model will be evaluated.</w:t>
      </w:r>
    </w:p>
    <w:bookmarkEnd w:id="42"/>
    <w:bookmarkEnd w:id="43"/>
    <w:bookmarkStart w:id="129" w:name="references"/>
    <w:p>
      <w:pPr>
        <w:pStyle w:val="Heading2"/>
      </w:pPr>
      <w:r>
        <w:t xml:space="preserve">References</w:t>
      </w:r>
    </w:p>
    <w:bookmarkStart w:id="128" w:name="refs"/>
    <w:bookmarkStart w:id="45" w:name="ref-areanMobileTechnologyMental2016"/>
    <w:p>
      <w:pPr>
        <w:pStyle w:val="Bibliography"/>
      </w:pPr>
      <w:r>
        <w:t xml:space="preserve">Areàn, Patricia A., Kien Hoa Ly, and Gerhard Andersson. 2016.</w:t>
      </w:r>
      <w:r>
        <w:t xml:space="preserve"> </w:t>
      </w:r>
      <w:r>
        <w:t xml:space="preserve">“</w:t>
      </w:r>
      <w:hyperlink r:id="rId4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5"/>
    <w:bookmarkStart w:id="4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6">
        <w:r>
          <w:rPr>
            <w:rStyle w:val="Hyperlink"/>
          </w:rPr>
          <w:t xml:space="preserve">https://doi.org/10.1186/s12889-017-4358-9</w:t>
        </w:r>
      </w:hyperlink>
      <w:r>
        <w:t xml:space="preserve">.</w:t>
      </w:r>
    </w:p>
    <w:bookmarkEnd w:id="47"/>
    <w:bookmarkStart w:id="4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48">
        <w:r>
          <w:rPr>
            <w:rStyle w:val="Hyperlink"/>
          </w:rPr>
          <w:t xml:space="preserve">https://doi.org/10.1146/annurev.clinpsy.3.022806.091455</w:t>
        </w:r>
      </w:hyperlink>
      <w:r>
        <w:t xml:space="preserve">.</w:t>
      </w:r>
    </w:p>
    <w:bookmarkEnd w:id="49"/>
    <w:bookmarkStart w:id="5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0">
        <w:r>
          <w:rPr>
            <w:rStyle w:val="Hyperlink"/>
          </w:rPr>
          <w:t xml:space="preserve">https://doi.org/10.20900/jpbs.20210002</w:t>
        </w:r>
      </w:hyperlink>
      <w:r>
        <w:t xml:space="preserve">.</w:t>
      </w:r>
    </w:p>
    <w:bookmarkEnd w:id="51"/>
    <w:bookmarkStart w:id="5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52">
        <w:r>
          <w:rPr>
            <w:rStyle w:val="Hyperlink"/>
          </w:rPr>
          <w:t xml:space="preserve">https://doi.org/10.21231/GNT1-HW21</w:t>
        </w:r>
      </w:hyperlink>
      <w:r>
        <w:t xml:space="preserve">.</w:t>
      </w:r>
    </w:p>
    <w:bookmarkEnd w:id="53"/>
    <w:bookmarkStart w:id="55"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4">
        <w:r>
          <w:rPr>
            <w:rStyle w:val="Hyperlink"/>
          </w:rPr>
          <w:t xml:space="preserve">https://doi.org/10.1111/geb.13070</w:t>
        </w:r>
      </w:hyperlink>
      <w:r>
        <w:t xml:space="preserve">.</w:t>
      </w:r>
    </w:p>
    <w:bookmarkEnd w:id="55"/>
    <w:bookmarkStart w:id="57"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6">
        <w:r>
          <w:rPr>
            <w:rStyle w:val="Hyperlink"/>
          </w:rPr>
          <w:t xml:space="preserve">https://doi.org/10.2196/13209</w:t>
        </w:r>
      </w:hyperlink>
      <w:r>
        <w:t xml:space="preserve">.</w:t>
      </w:r>
    </w:p>
    <w:bookmarkEnd w:id="57"/>
    <w:bookmarkStart w:id="59"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8">
        <w:r>
          <w:rPr>
            <w:rStyle w:val="Hyperlink"/>
          </w:rPr>
          <w:t xml:space="preserve">https://doi.org/10.1016/j.drugalcdep.2013.09.007</w:t>
        </w:r>
      </w:hyperlink>
      <w:r>
        <w:t xml:space="preserve">.</w:t>
      </w:r>
    </w:p>
    <w:bookmarkEnd w:id="59"/>
    <w:bookmarkStart w:id="61"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0">
        <w:r>
          <w:rPr>
            <w:rStyle w:val="Hyperlink"/>
          </w:rPr>
          <w:t xml:space="preserve">https://doi.org/10.1037/a0038620</w:t>
        </w:r>
      </w:hyperlink>
      <w:r>
        <w:t xml:space="preserve">.</w:t>
      </w:r>
    </w:p>
    <w:bookmarkEnd w:id="61"/>
    <w:bookmarkStart w:id="63"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2">
        <w:r>
          <w:rPr>
            <w:rStyle w:val="Hyperlink"/>
          </w:rPr>
          <w:t xml:space="preserve">https://doi.org/10.1007/s13347-022-00584-6</w:t>
        </w:r>
      </w:hyperlink>
      <w:r>
        <w:t xml:space="preserve">.</w:t>
      </w:r>
    </w:p>
    <w:bookmarkEnd w:id="63"/>
    <w:bookmarkStart w:id="64"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4"/>
    <w:bookmarkStart w:id="6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5">
        <w:r>
          <w:rPr>
            <w:rStyle w:val="Hyperlink"/>
          </w:rPr>
          <w:t xml:space="preserve">https://doi.org/10.1001/jamapsychiatry.2013.4642</w:t>
        </w:r>
      </w:hyperlink>
      <w:r>
        <w:t xml:space="preserve">.</w:t>
      </w:r>
    </w:p>
    <w:bookmarkEnd w:id="66"/>
    <w:bookmarkStart w:id="6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7">
        <w:r>
          <w:rPr>
            <w:rStyle w:val="Hyperlink"/>
          </w:rPr>
          <w:t xml:space="preserve">https://doi.org/10.1038/s41593-020-0636-4</w:t>
        </w:r>
      </w:hyperlink>
      <w:r>
        <w:t xml:space="preserve">.</w:t>
      </w:r>
    </w:p>
    <w:bookmarkEnd w:id="68"/>
    <w:bookmarkStart w:id="6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69"/>
    <w:bookmarkStart w:id="7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0">
        <w:r>
          <w:rPr>
            <w:rStyle w:val="Hyperlink"/>
          </w:rPr>
          <w:t xml:space="preserve">https://doi.org/10.2174/1874941001003010076</w:t>
        </w:r>
      </w:hyperlink>
      <w:r>
        <w:t xml:space="preserve">.</w:t>
      </w:r>
    </w:p>
    <w:bookmarkEnd w:id="71"/>
    <w:bookmarkStart w:id="7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2"/>
    <w:bookmarkStart w:id="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3">
        <w:r>
          <w:rPr>
            <w:rStyle w:val="Hyperlink"/>
          </w:rPr>
          <w:t xml:space="preserve">https://doi.org/10.1023/A:1008987426876</w:t>
        </w:r>
      </w:hyperlink>
      <w:r>
        <w:t xml:space="preserve">.</w:t>
      </w:r>
    </w:p>
    <w:bookmarkEnd w:id="74"/>
    <w:bookmarkStart w:id="76"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75">
        <w:r>
          <w:rPr>
            <w:rStyle w:val="Hyperlink"/>
          </w:rPr>
          <w:t xml:space="preserve">https://doi.org/10.1145/3674029.3674034</w:t>
        </w:r>
      </w:hyperlink>
      <w:r>
        <w:t xml:space="preserve">.</w:t>
      </w:r>
    </w:p>
    <w:bookmarkEnd w:id="76"/>
    <w:bookmarkStart w:id="78"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77">
        <w:r>
          <w:rPr>
            <w:rStyle w:val="Hyperlink"/>
          </w:rPr>
          <w:t xml:space="preserve">https://doi.org/10.1007/978-1-4614-6849-3</w:t>
        </w:r>
      </w:hyperlink>
      <w:r>
        <w:t xml:space="preserve">.</w:t>
      </w:r>
    </w:p>
    <w:bookmarkEnd w:id="78"/>
    <w:bookmarkStart w:id="79"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79"/>
    <w:bookmarkStart w:id="81"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0">
        <w:r>
          <w:rPr>
            <w:rStyle w:val="Hyperlink"/>
          </w:rPr>
          <w:t xml:space="preserve">https://doi.org/10.1080/13658816.2018.1503276</w:t>
        </w:r>
      </w:hyperlink>
      <w:r>
        <w:t xml:space="preserve">.</w:t>
      </w:r>
    </w:p>
    <w:bookmarkEnd w:id="81"/>
    <w:bookmarkStart w:id="83" w:name="X37a1ac456fec1ab26cb86bd87934b700ddc3ec3"/>
    <w:p>
      <w:pPr>
        <w:pStyle w:val="Bibliography"/>
      </w:pPr>
      <w:r>
        <w:t xml:space="preserve">Larimer, Mary E., Rebekka S. Palmer, and G. Alan Marlatt. 1999.</w:t>
      </w:r>
      <w:r>
        <w:t xml:space="preserve"> </w:t>
      </w:r>
      <w:r>
        <w:t xml:space="preserve">“</w:t>
      </w:r>
      <w:hyperlink r:id="rId82">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83"/>
    <w:bookmarkStart w:id="85"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84">
        <w:r>
          <w:rPr>
            <w:rStyle w:val="Hyperlink"/>
          </w:rPr>
          <w:t xml:space="preserve">https://doi.org/10.1007/s13311-019-00824-2</w:t>
        </w:r>
      </w:hyperlink>
      <w:r>
        <w:t xml:space="preserve">.</w:t>
      </w:r>
    </w:p>
    <w:bookmarkEnd w:id="85"/>
    <w:bookmarkStart w:id="8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6"/>
    <w:bookmarkStart w:id="8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87">
        <w:r>
          <w:rPr>
            <w:rStyle w:val="Hyperlink"/>
          </w:rPr>
          <w:t xml:space="preserve">https://doi.org/10.1097/JTO.0b013e3181ec173d</w:t>
        </w:r>
      </w:hyperlink>
      <w:r>
        <w:t xml:space="preserve">.</w:t>
      </w:r>
    </w:p>
    <w:bookmarkEnd w:id="88"/>
    <w:bookmarkStart w:id="89"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89"/>
    <w:bookmarkStart w:id="9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0"/>
    <w:bookmarkStart w:id="92"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91">
        <w:r>
          <w:rPr>
            <w:rStyle w:val="Hyperlink"/>
          </w:rPr>
          <w:t xml:space="preserve">https://doi.org/10.1146/annurev-statistics-042720-125902</w:t>
        </w:r>
      </w:hyperlink>
      <w:r>
        <w:t xml:space="preserve">.</w:t>
      </w:r>
    </w:p>
    <w:bookmarkEnd w:id="92"/>
    <w:bookmarkStart w:id="9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93">
        <w:r>
          <w:rPr>
            <w:rStyle w:val="Hyperlink"/>
          </w:rPr>
          <w:t xml:space="preserve">https://doi.org/10.1146/annurev-clinpsy-032816-044949</w:t>
        </w:r>
      </w:hyperlink>
      <w:r>
        <w:t xml:space="preserve">.</w:t>
      </w:r>
    </w:p>
    <w:bookmarkEnd w:id="94"/>
    <w:bookmarkStart w:id="9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95">
        <w:r>
          <w:rPr>
            <w:rStyle w:val="Hyperlink"/>
          </w:rPr>
          <w:t xml:space="preserve">https://doi.org/10.2196/mhealth.5787</w:t>
        </w:r>
      </w:hyperlink>
      <w:r>
        <w:t xml:space="preserve">.</w:t>
      </w:r>
    </w:p>
    <w:bookmarkEnd w:id="96"/>
    <w:bookmarkStart w:id="97"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97"/>
    <w:bookmarkStart w:id="98"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98"/>
    <w:bookmarkStart w:id="100"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99">
        <w:r>
          <w:rPr>
            <w:rStyle w:val="Hyperlink"/>
          </w:rPr>
          <w:t xml:space="preserve">https://doi.org/10.7326/M18-1990</w:t>
        </w:r>
      </w:hyperlink>
      <w:r>
        <w:t xml:space="preserve">.</w:t>
      </w:r>
    </w:p>
    <w:bookmarkEnd w:id="100"/>
    <w:bookmarkStart w:id="102"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01">
        <w:r>
          <w:rPr>
            <w:rStyle w:val="Hyperlink"/>
          </w:rPr>
          <w:t xml:space="preserve">https://doi.org/10.1093/schbul/sbaa121</w:t>
        </w:r>
      </w:hyperlink>
      <w:r>
        <w:t xml:space="preserve">.</w:t>
      </w:r>
    </w:p>
    <w:bookmarkEnd w:id="102"/>
    <w:bookmarkStart w:id="104"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03">
        <w:r>
          <w:rPr>
            <w:rStyle w:val="Hyperlink"/>
          </w:rPr>
          <w:t xml:space="preserve">https://doi.org/10.1111/acer.14440</w:t>
        </w:r>
      </w:hyperlink>
      <w:r>
        <w:t xml:space="preserve">.</w:t>
      </w:r>
    </w:p>
    <w:bookmarkEnd w:id="104"/>
    <w:bookmarkStart w:id="106"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05">
        <w:r>
          <w:rPr>
            <w:rStyle w:val="Hyperlink"/>
          </w:rPr>
          <w:t xml:space="preserve">https://doi.org/10.3390/ijerph20115984</w:t>
        </w:r>
      </w:hyperlink>
      <w:r>
        <w:t xml:space="preserve">.</w:t>
      </w:r>
    </w:p>
    <w:bookmarkEnd w:id="106"/>
    <w:bookmarkStart w:id="108"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07">
        <w:r>
          <w:rPr>
            <w:rStyle w:val="Hyperlink"/>
          </w:rPr>
          <w:t xml:space="preserve">https://doi.org/10.2105/AJPH.2013.301306</w:t>
        </w:r>
      </w:hyperlink>
      <w:r>
        <w:t xml:space="preserve">.</w:t>
      </w:r>
    </w:p>
    <w:bookmarkEnd w:id="108"/>
    <w:bookmarkStart w:id="109"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09"/>
    <w:bookmarkStart w:id="111"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10">
        <w:r>
          <w:rPr>
            <w:rStyle w:val="Hyperlink"/>
          </w:rPr>
          <w:t xml:space="preserve">https://doi.org/10.35946/arcr.v40.3.02</w:t>
        </w:r>
      </w:hyperlink>
      <w:r>
        <w:t xml:space="preserve">.</w:t>
      </w:r>
    </w:p>
    <w:bookmarkEnd w:id="111"/>
    <w:bookmarkStart w:id="113" w:name="X049d06bdc5a236c19ae4fe343df8747535c6150"/>
    <w:p>
      <w:pPr>
        <w:pStyle w:val="Bibliography"/>
      </w:pPr>
      <w:r>
        <w:t xml:space="preserve">Van Calster, Ben, David J. McLernon, Maarten van Smeden, Laure Wynants, Ewout W. Steyerberg, Patrick Bossuyt, Gary S. Collins, et al. 2019.</w:t>
      </w:r>
      <w:r>
        <w:t xml:space="preserve"> </w:t>
      </w:r>
      <w:r>
        <w:t xml:space="preserve">“Calibration: The</w:t>
      </w:r>
      <w:r>
        <w:t xml:space="preserve"> </w:t>
      </w:r>
      <w:r>
        <w:t xml:space="preserve">Achilles</w:t>
      </w:r>
      <w:r>
        <w:t xml:space="preserve"> </w:t>
      </w:r>
      <w:r>
        <w:t xml:space="preserve">Heel of Predictive Analytics.”</w:t>
      </w:r>
      <w:r>
        <w:t xml:space="preserve"> </w:t>
      </w:r>
      <w:r>
        <w:rPr>
          <w:iCs/>
          <w:i/>
        </w:rPr>
        <w:t xml:space="preserve">BMC Medicine</w:t>
      </w:r>
      <w:r>
        <w:t xml:space="preserve"> </w:t>
      </w:r>
      <w:r>
        <w:t xml:space="preserve">17 (1): 230.</w:t>
      </w:r>
      <w:r>
        <w:t xml:space="preserve"> </w:t>
      </w:r>
      <w:hyperlink r:id="rId112">
        <w:r>
          <w:rPr>
            <w:rStyle w:val="Hyperlink"/>
          </w:rPr>
          <w:t xml:space="preserve">https://doi.org/10.1186/s12916-019-1466-7</w:t>
        </w:r>
      </w:hyperlink>
      <w:r>
        <w:t xml:space="preserve">.</w:t>
      </w:r>
    </w:p>
    <w:bookmarkEnd w:id="113"/>
    <w:bookmarkStart w:id="115"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14">
        <w:r>
          <w:rPr>
            <w:rStyle w:val="Hyperlink"/>
          </w:rPr>
          <w:t xml:space="preserve">https://doi.org/10.1016/0899-3289(95)90006-3</w:t>
        </w:r>
      </w:hyperlink>
      <w:r>
        <w:t xml:space="preserve">.</w:t>
      </w:r>
    </w:p>
    <w:bookmarkEnd w:id="115"/>
    <w:bookmarkStart w:id="117"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6">
        <w:r>
          <w:rPr>
            <w:rStyle w:val="Hyperlink"/>
          </w:rPr>
          <w:t xml:space="preserve">https://doi.org/10.1016/s0306-4603(01)00284-2</w:t>
        </w:r>
      </w:hyperlink>
      <w:r>
        <w:t xml:space="preserve">.</w:t>
      </w:r>
    </w:p>
    <w:bookmarkEnd w:id="117"/>
    <w:bookmarkStart w:id="119"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8">
        <w:r>
          <w:rPr>
            <w:rStyle w:val="Hyperlink"/>
          </w:rPr>
          <w:t xml:space="preserve">https://doi.org/10.1145/3531146.3533101</w:t>
        </w:r>
      </w:hyperlink>
      <w:r>
        <w:t xml:space="preserve">.</w:t>
      </w:r>
    </w:p>
    <w:bookmarkEnd w:id="119"/>
    <w:bookmarkStart w:id="121"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0">
        <w:r>
          <w:rPr>
            <w:rStyle w:val="Hyperlink"/>
          </w:rPr>
          <w:t xml:space="preserve">https://doi.org/10.1007/s44176-022-00006-z</w:t>
        </w:r>
      </w:hyperlink>
      <w:r>
        <w:t xml:space="preserve">.</w:t>
      </w:r>
    </w:p>
    <w:bookmarkEnd w:id="121"/>
    <w:bookmarkStart w:id="123"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22">
        <w:r>
          <w:rPr>
            <w:rStyle w:val="Hyperlink"/>
          </w:rPr>
          <w:t xml:space="preserve">https://doi.org/10.1136/bmjhci-2020-100289</w:t>
        </w:r>
      </w:hyperlink>
      <w:r>
        <w:t xml:space="preserve">.</w:t>
      </w:r>
    </w:p>
    <w:bookmarkEnd w:id="123"/>
    <w:bookmarkStart w:id="125"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26">
        <w:r>
          <w:rPr>
            <w:rStyle w:val="Hyperlink"/>
          </w:rPr>
          <w:t xml:space="preserve">https://doi.org/10.31234/osf.io/cgsf7</w:t>
        </w:r>
      </w:hyperlink>
      <w:r>
        <w:t xml:space="preserve">.</w:t>
      </w:r>
    </w:p>
    <w:bookmarkEnd w:id="127"/>
    <w:bookmarkEnd w:id="128"/>
    <w:p>
      <w:r>
        <w:br w:type="page"/>
      </w:r>
    </w:p>
    <w:bookmarkEnd w:id="129"/>
    <w:bookmarkStart w:id="177" w:name="tables-and-figures"/>
    <w:p>
      <w:pPr>
        <w:pStyle w:val="Heading2"/>
      </w:pPr>
      <w:r>
        <w:t xml:space="preserve">Tables and Figures</w:t>
      </w:r>
    </w:p>
    <w:bookmarkStart w:id="131" w:name="table-1-eligibility-criteria"/>
    <w:p>
      <w:pPr>
        <w:pStyle w:val="Heading3"/>
      </w:pPr>
      <w:r>
        <w:t xml:space="preserve">Table 1: Eligibility Criteria</w:t>
      </w:r>
    </w:p>
    <w:tbl>
      <w:tblPr>
        <w:tblStyle w:val="Table"/>
        <w:tblW w:type="pct" w:w="5000"/>
        <w:tblLook w:firstRow="0" w:lastRow="0" w:firstColumn="0" w:lastColumn="0" w:noHBand="0" w:noVBand="0" w:val="0000"/>
        <w:jc w:val="start"/>
        <w:tblLayout w:type="fixed"/>
      </w:tblPr>
      <w:tblGrid>
        <w:gridCol w:w="7920"/>
      </w:tblGrid>
      <w:tr>
        <w:tc>
          <w:tcPr/>
          <w:bookmarkStart w:id="130"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30"/>
          <w:p/>
        </w:tc>
      </w:tr>
    </w:tbl>
    <w:p>
      <w:r>
        <w:br w:type="page"/>
      </w:r>
    </w:p>
    <w:bookmarkEnd w:id="131"/>
    <w:bookmarkStart w:id="133" w:name="X5e379402238964859a1beb1ee4b1755415d28d1"/>
    <w:p>
      <w:pPr>
        <w:pStyle w:val="Heading3"/>
      </w:pPr>
      <w:r>
        <w:t xml:space="preserve">Table 2: Collected demographic information</w:t>
      </w:r>
    </w:p>
    <w:tbl>
      <w:tblPr>
        <w:tblStyle w:val="Table"/>
        <w:tblW w:type="pct" w:w="5000"/>
        <w:tblLook w:firstRow="0" w:lastRow="0" w:firstColumn="0" w:lastColumn="0" w:noHBand="0" w:noVBand="0" w:val="0000"/>
        <w:jc w:val="start"/>
        <w:tblLayout w:type="fixed"/>
      </w:tblPr>
      <w:tblGrid>
        <w:gridCol w:w="7920"/>
      </w:tblGrid>
      <w:tr>
        <w:tc>
          <w:tcPr/>
          <w:bookmarkStart w:id="132"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32"/>
          <w:p/>
        </w:tc>
      </w:tr>
    </w:tbl>
    <w:p>
      <w:r>
        <w:br w:type="page"/>
      </w:r>
    </w:p>
    <w:bookmarkEnd w:id="133"/>
    <w:bookmarkStart w:id="135" w:name="X85d3e833fe6a1aca4e1be0bd28a15b98db36aac"/>
    <w:p>
      <w:pPr>
        <w:pStyle w:val="Heading3"/>
      </w:pPr>
      <w:r>
        <w:t xml:space="preserve">Table 3: Contextual geolocation information</w:t>
      </w:r>
    </w:p>
    <w:tbl>
      <w:tblPr>
        <w:tblStyle w:val="Table"/>
        <w:tblW w:type="pct" w:w="5000"/>
        <w:tblLook w:firstRow="0" w:lastRow="0" w:firstColumn="0" w:lastColumn="0" w:noHBand="0" w:noVBand="0" w:val="0000"/>
        <w:jc w:val="start"/>
        <w:tblLayout w:type="fixed"/>
      </w:tblPr>
      <w:tblGrid>
        <w:gridCol w:w="7920"/>
      </w:tblGrid>
      <w:tr>
        <w:tc>
          <w:tcPr/>
          <w:bookmarkStart w:id="134"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34"/>
          <w:p/>
        </w:tc>
      </w:tr>
    </w:tbl>
    <w:p>
      <w:r>
        <w:br w:type="page"/>
      </w:r>
    </w:p>
    <w:bookmarkEnd w:id="135"/>
    <w:bookmarkStart w:id="140" w:name="table-4-demographic-responses"/>
    <w:p>
      <w:pPr>
        <w:pStyle w:val="Heading3"/>
      </w:pPr>
      <w:r>
        <w:t xml:space="preserve">Table 4: Demographic responses</w:t>
      </w:r>
    </w:p>
    <w:tbl>
      <w:tblPr>
        <w:tblStyle w:val="Table"/>
        <w:tblW w:type="pct" w:w="5000"/>
        <w:tblLook w:firstRow="0" w:lastRow="0" w:firstColumn="0" w:lastColumn="0" w:noHBand="0" w:noVBand="0" w:val="0000"/>
        <w:jc w:val="start"/>
        <w:tblLayout w:type="fixed"/>
      </w:tblPr>
      <w:tblGrid>
        <w:gridCol w:w="7920"/>
      </w:tblGrid>
      <w:tr>
        <w:tc>
          <w:tcPr/>
          <w:bookmarkStart w:id="139"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37" name="Picture"/>
                  <a:graphic>
                    <a:graphicData uri="http://schemas.openxmlformats.org/drawingml/2006/picture">
                      <pic:pic>
                        <pic:nvPicPr>
                          <pic:cNvPr descr="objects/table.png" id="138" name="Picture"/>
                          <pic:cNvPicPr>
                            <a:picLocks noChangeArrowheads="1" noChangeAspect="1"/>
                          </pic:cNvPicPr>
                        </pic:nvPicPr>
                        <pic:blipFill>
                          <a:blip r:embed="rId136"/>
                          <a:stretch>
                            <a:fillRect/>
                          </a:stretch>
                        </pic:blipFill>
                        <pic:spPr bwMode="auto">
                          <a:xfrm>
                            <a:off x="0" y="0"/>
                            <a:ext cx="2987855" cy="8608816"/>
                          </a:xfrm>
                          <a:prstGeom prst="rect">
                            <a:avLst/>
                          </a:prstGeom>
                          <a:noFill/>
                          <a:ln w="9525">
                            <a:noFill/>
                            <a:headEnd/>
                            <a:tailEnd/>
                          </a:ln>
                        </pic:spPr>
                      </pic:pic>
                    </a:graphicData>
                  </a:graphic>
                </wp:inline>
              </w:drawing>
            </w:r>
          </w:p>
          <w:bookmarkEnd w:id="139"/>
        </w:tc>
      </w:tr>
    </w:tbl>
    <w:p>
      <w:r>
        <w:br w:type="page"/>
      </w:r>
    </w:p>
    <w:bookmarkEnd w:id="140"/>
    <w:bookmarkStart w:id="146" w:name="figure-1-auroc-histogram"/>
    <w:p>
      <w:pPr>
        <w:pStyle w:val="Heading3"/>
      </w:pPr>
      <w:r>
        <w:t xml:space="preserve">Figure 1: auROC histogram</w:t>
      </w:r>
    </w:p>
    <w:tbl>
      <w:tblPr>
        <w:tblStyle w:val="Table"/>
        <w:tblW w:type="pct" w:w="5000"/>
        <w:tblLook w:firstRow="0" w:lastRow="0" w:firstColumn="0" w:lastColumn="0" w:noHBand="0" w:noVBand="0" w:val="0000"/>
        <w:jc w:val="start"/>
        <w:tblLayout w:type="fixed"/>
      </w:tblPr>
      <w:tblGrid>
        <w:gridCol w:w="7920"/>
      </w:tblGrid>
      <w:tr>
        <w:tc>
          <w:tcPr/>
          <w:bookmarkStart w:id="144" w:name="fig-auroc-histogram"/>
          <w:p>
            <w:pPr>
              <w:pStyle w:val="Compact"/>
              <w:jc w:val="center"/>
            </w:pPr>
            <w:r>
              <w:drawing>
                <wp:inline>
                  <wp:extent cx="5334000" cy="4267200"/>
                  <wp:effectExtent b="0" l="0" r="0" t="0"/>
                  <wp:docPr descr="" title="" id="142" name="Picture"/>
                  <a:graphic>
                    <a:graphicData uri="http://schemas.openxmlformats.org/drawingml/2006/picture">
                      <pic:pic>
                        <pic:nvPicPr>
                          <pic:cNvPr descr="index_files/figure-docx/notebooks-auROC_distribution_posterior-fig-auroc-histogram-output-1.png" id="143"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44"/>
        </w:tc>
      </w:tr>
    </w:tbl>
    <w:p>
      <w:pPr>
        <w:pStyle w:val="BodyText"/>
      </w:pPr>
      <w:r>
        <w:rPr>
          <w:vertAlign w:val="subscript"/>
        </w:rPr>
        <w:t xml:space="preserve">Source:</w:t>
      </w:r>
      <w:r>
        <w:rPr>
          <w:vertAlign w:val="subscript"/>
        </w:rPr>
        <w:t xml:space="preserve"> </w:t>
      </w:r>
      <w:hyperlink r:id="rId145">
        <w:r>
          <w:rPr>
            <w:rStyle w:val="Hyperlink"/>
            <w:vertAlign w:val="subscript"/>
          </w:rPr>
          <w:t xml:space="preserve">Validation auROC histogram and posterior probability distribution</w:t>
        </w:r>
      </w:hyperlink>
    </w:p>
    <w:p>
      <w:r>
        <w:br w:type="page"/>
      </w:r>
    </w:p>
    <w:bookmarkEnd w:id="146"/>
    <w:bookmarkStart w:id="152" w:name="X7c30b93829ed1eff19c54cc55a3ba6aeb03adb2"/>
    <w:p>
      <w:pPr>
        <w:pStyle w:val="Heading3"/>
      </w:pPr>
      <w:r>
        <w:t xml:space="preserve">Figure 2: auROC posterior probability distribution</w:t>
      </w:r>
    </w:p>
    <w:tbl>
      <w:tblPr>
        <w:tblStyle w:val="Table"/>
        <w:tblW w:type="pct" w:w="5000"/>
        <w:tblLook w:firstRow="0" w:lastRow="0" w:firstColumn="0" w:lastColumn="0" w:noHBand="0" w:noVBand="0" w:val="0000"/>
        <w:jc w:val="start"/>
        <w:tblLayout w:type="fixed"/>
      </w:tblPr>
      <w:tblGrid>
        <w:gridCol w:w="7920"/>
      </w:tblGrid>
      <w:tr>
        <w:tc>
          <w:tcPr/>
          <w:bookmarkStart w:id="150" w:name="fig-pp"/>
          <w:p>
            <w:pPr>
              <w:pStyle w:val="Compact"/>
              <w:jc w:val="center"/>
            </w:pPr>
            <w:r>
              <w:drawing>
                <wp:inline>
                  <wp:extent cx="5334000" cy="3200400"/>
                  <wp:effectExtent b="0" l="0" r="0" t="0"/>
                  <wp:docPr descr="" title="" id="148" name="Picture"/>
                  <a:graphic>
                    <a:graphicData uri="http://schemas.openxmlformats.org/drawingml/2006/picture">
                      <pic:pic>
                        <pic:nvPicPr>
                          <pic:cNvPr descr="index_files/figure-docx/notebooks-auROC_distribution_posterior-fig-pp-output-1.png" id="149" name="Picture"/>
                          <pic:cNvPicPr>
                            <a:picLocks noChangeArrowheads="1" noChangeAspect="1"/>
                          </pic:cNvPicPr>
                        </pic:nvPicPr>
                        <pic:blipFill>
                          <a:blip r:embed="rId14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 of model performance with a 95% credible interval. The dashed line represents median auROC across the sampling distribution, while the dotted line represents chance performance (auROC = 0.50).</w:t>
            </w:r>
          </w:p>
          <w:bookmarkEnd w:id="150"/>
        </w:tc>
      </w:tr>
    </w:tbl>
    <w:p>
      <w:pPr>
        <w:pStyle w:val="BodyText"/>
      </w:pPr>
      <w:r>
        <w:rPr>
          <w:vertAlign w:val="subscript"/>
        </w:rPr>
        <w:t xml:space="preserve">Source:</w:t>
      </w:r>
      <w:r>
        <w:rPr>
          <w:vertAlign w:val="subscript"/>
        </w:rPr>
        <w:t xml:space="preserve"> </w:t>
      </w:r>
      <w:hyperlink r:id="rId151">
        <w:r>
          <w:rPr>
            <w:rStyle w:val="Hyperlink"/>
            <w:vertAlign w:val="subscript"/>
          </w:rPr>
          <w:t xml:space="preserve">Validation auROC histogram and posterior probability distribution</w:t>
        </w:r>
      </w:hyperlink>
    </w:p>
    <w:p>
      <w:r>
        <w:br w:type="page"/>
      </w:r>
    </w:p>
    <w:bookmarkEnd w:id="152"/>
    <w:bookmarkStart w:id="158" w:name="figure-3-calibration-plot"/>
    <w:p>
      <w:pPr>
        <w:pStyle w:val="Heading3"/>
      </w:pPr>
      <w:r>
        <w:t xml:space="preserve">Figure 3: Calibration plot</w:t>
      </w:r>
    </w:p>
    <w:tbl>
      <w:tblPr>
        <w:tblStyle w:val="Table"/>
        <w:tblW w:type="pct" w:w="5000"/>
        <w:tblLook w:firstRow="0" w:lastRow="0" w:firstColumn="0" w:lastColumn="0" w:noHBand="0" w:noVBand="0" w:val="0000"/>
        <w:jc w:val="start"/>
        <w:tblLayout w:type="fixed"/>
      </w:tblPr>
      <w:tblGrid>
        <w:gridCol w:w="7920"/>
      </w:tblGrid>
      <w:tr>
        <w:tc>
          <w:tcPr/>
          <w:bookmarkStart w:id="156" w:name="fig-calibration"/>
          <w:p>
            <w:pPr>
              <w:pStyle w:val="Compact"/>
              <w:jc w:val="center"/>
            </w:pPr>
            <w:r>
              <w:drawing>
                <wp:inline>
                  <wp:extent cx="5334000" cy="3556000"/>
                  <wp:effectExtent b="0" l="0" r="0" t="0"/>
                  <wp:docPr descr="" title="" id="154" name="Picture"/>
                  <a:graphic>
                    <a:graphicData uri="http://schemas.openxmlformats.org/drawingml/2006/picture">
                      <pic:pic>
                        <pic:nvPicPr>
                          <pic:cNvPr descr="index_files/figure-docx/notebooks-calibration_plot-fig-calibration-output-2.png" id="155" name="Picture"/>
                          <pic:cNvPicPr>
                            <a:picLocks noChangeArrowheads="1" noChangeAspect="1"/>
                          </pic:cNvPicPr>
                        </pic:nvPicPr>
                        <pic:blipFill>
                          <a:blip r:embed="rId15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56"/>
        </w:tc>
      </w:tr>
    </w:tbl>
    <w:p>
      <w:pPr>
        <w:pStyle w:val="BodyText"/>
      </w:pPr>
      <w:r>
        <w:rPr>
          <w:vertAlign w:val="subscript"/>
        </w:rPr>
        <w:t xml:space="preserve">Source:</w:t>
      </w:r>
      <w:r>
        <w:rPr>
          <w:vertAlign w:val="subscript"/>
        </w:rPr>
        <w:t xml:space="preserve"> </w:t>
      </w:r>
      <w:hyperlink r:id="rId157">
        <w:r>
          <w:rPr>
            <w:rStyle w:val="Hyperlink"/>
            <w:vertAlign w:val="subscript"/>
          </w:rPr>
          <w:t xml:space="preserve">Validation set calibration</w:t>
        </w:r>
      </w:hyperlink>
    </w:p>
    <w:p>
      <w:r>
        <w:br w:type="page"/>
      </w:r>
    </w:p>
    <w:bookmarkEnd w:id="158"/>
    <w:bookmarkStart w:id="164" w:name="figure-4-calibrated-auroc-plot"/>
    <w:p>
      <w:pPr>
        <w:pStyle w:val="Heading3"/>
      </w:pPr>
      <w:r>
        <w:t xml:space="preserve">Figure 4: Calibrated auROC plot</w:t>
      </w:r>
    </w:p>
    <w:tbl>
      <w:tblPr>
        <w:tblStyle w:val="Table"/>
        <w:tblW w:type="pct" w:w="5000"/>
        <w:tblLook w:firstRow="0" w:lastRow="0" w:firstColumn="0" w:lastColumn="0" w:noHBand="0" w:noVBand="0" w:val="0000"/>
        <w:jc w:val="start"/>
        <w:tblLayout w:type="fixed"/>
      </w:tblPr>
      <w:tblGrid>
        <w:gridCol w:w="7920"/>
      </w:tblGrid>
      <w:tr>
        <w:tc>
          <w:tcPr/>
          <w:bookmarkStart w:id="162" w:name="fig-auroc-plot"/>
          <w:p>
            <w:pPr>
              <w:pStyle w:val="Compact"/>
              <w:jc w:val="center"/>
            </w:pPr>
            <w:r>
              <w:drawing>
                <wp:inline>
                  <wp:extent cx="5334000" cy="5334000"/>
                  <wp:effectExtent b="0" l="0" r="0" t="0"/>
                  <wp:docPr descr="" title="" id="160" name="Picture"/>
                  <a:graphic>
                    <a:graphicData uri="http://schemas.openxmlformats.org/drawingml/2006/picture">
                      <pic:pic>
                        <pic:nvPicPr>
                          <pic:cNvPr descr="index_files/figure-docx/notebooks-auROC_plot-fig-auroc-plot-output-2.png" id="161" name="Picture"/>
                          <pic:cNvPicPr>
                            <a:picLocks noChangeArrowheads="1" noChangeAspect="1"/>
                          </pic:cNvPicPr>
                        </pic:nvPicPr>
                        <pic:blipFill>
                          <a:blip r:embed="rId15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Area under the receiver operating characteristic (auROC) curve for overall validation set performance across all possible classification thresholds.</w:t>
            </w:r>
          </w:p>
          <w:bookmarkEnd w:id="162"/>
        </w:tc>
      </w:tr>
    </w:tbl>
    <w:p>
      <w:pPr>
        <w:pStyle w:val="BodyText"/>
      </w:pPr>
      <w:r>
        <w:rPr>
          <w:vertAlign w:val="subscript"/>
        </w:rPr>
        <w:t xml:space="preserve">Source:</w:t>
      </w:r>
      <w:r>
        <w:rPr>
          <w:vertAlign w:val="subscript"/>
        </w:rPr>
        <w:t xml:space="preserve"> </w:t>
      </w:r>
      <w:hyperlink r:id="rId163">
        <w:r>
          <w:rPr>
            <w:rStyle w:val="Hyperlink"/>
            <w:vertAlign w:val="subscript"/>
          </w:rPr>
          <w:t xml:space="preserve">Calibrated auROC</w:t>
        </w:r>
      </w:hyperlink>
    </w:p>
    <w:p>
      <w:r>
        <w:br w:type="page"/>
      </w:r>
    </w:p>
    <w:bookmarkEnd w:id="164"/>
    <w:bookmarkStart w:id="170" w:name="figure-5-global-feature-importance"/>
    <w:p>
      <w:pPr>
        <w:pStyle w:val="Heading3"/>
      </w:pPr>
      <w:r>
        <w:t xml:space="preserve">Figure 5: Global Feature Importance</w:t>
      </w:r>
    </w:p>
    <w:tbl>
      <w:tblPr>
        <w:tblStyle w:val="Table"/>
        <w:tblW w:type="pct" w:w="5000"/>
        <w:tblLook w:firstRow="0" w:lastRow="0" w:firstColumn="0" w:lastColumn="0" w:noHBand="0" w:noVBand="0" w:val="0000"/>
        <w:jc w:val="start"/>
        <w:tblLayout w:type="fixed"/>
      </w:tblPr>
      <w:tblGrid>
        <w:gridCol w:w="7920"/>
      </w:tblGrid>
      <w:tr>
        <w:tc>
          <w:tcPr/>
          <w:bookmarkStart w:id="168" w:name="fig-shaps-group"/>
          <w:p>
            <w:pPr>
              <w:pStyle w:val="Compact"/>
              <w:jc w:val="center"/>
            </w:pPr>
            <w:r>
              <w:drawing>
                <wp:inline>
                  <wp:extent cx="5334000" cy="5334000"/>
                  <wp:effectExtent b="0" l="0" r="0" t="0"/>
                  <wp:docPr descr="" title="" id="166" name="Picture"/>
                  <a:graphic>
                    <a:graphicData uri="http://schemas.openxmlformats.org/drawingml/2006/picture">
                      <pic:pic>
                        <pic:nvPicPr>
                          <pic:cNvPr descr="index_files/figure-docx/notebooks-shaps-fig-shaps-group-output-1.png" id="167" name="Picture"/>
                          <pic:cNvPicPr>
                            <a:picLocks noChangeArrowheads="1" noChangeAspect="1"/>
                          </pic:cNvPicPr>
                        </pic:nvPicPr>
                        <pic:blipFill>
                          <a:blip r:embed="rId16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68"/>
        </w:tc>
      </w:tr>
    </w:tbl>
    <w:p>
      <w:pPr>
        <w:pStyle w:val="BodyText"/>
      </w:pPr>
      <w:r>
        <w:rPr>
          <w:vertAlign w:val="subscript"/>
        </w:rPr>
        <w:t xml:space="preserve">Source:</w:t>
      </w:r>
      <w:r>
        <w:rPr>
          <w:vertAlign w:val="subscript"/>
        </w:rPr>
        <w:t xml:space="preserve"> </w:t>
      </w:r>
      <w:hyperlink r:id="rId169">
        <w:r>
          <w:rPr>
            <w:rStyle w:val="Hyperlink"/>
            <w:vertAlign w:val="subscript"/>
          </w:rPr>
          <w:t xml:space="preserve">SHAPs</w:t>
        </w:r>
      </w:hyperlink>
    </w:p>
    <w:p>
      <w:r>
        <w:br w:type="page"/>
      </w:r>
    </w:p>
    <w:bookmarkEnd w:id="170"/>
    <w:bookmarkStart w:id="176" w:name="X80cb49225bd883ac6a9c3137e044bda286ae010"/>
    <w:p>
      <w:pPr>
        <w:pStyle w:val="Heading3"/>
      </w:pPr>
      <w:r>
        <w:t xml:space="preserve">Figure 6: Posterior probability distribution 95% credible intervals by subgroup</w:t>
      </w:r>
    </w:p>
    <w:tbl>
      <w:tblPr>
        <w:tblStyle w:val="Table"/>
        <w:tblW w:type="pct" w:w="5000"/>
        <w:tblLook w:firstRow="0" w:lastRow="0" w:firstColumn="0" w:lastColumn="0" w:noHBand="0" w:noVBand="0" w:val="0000"/>
        <w:jc w:val="start"/>
        <w:tblLayout w:type="fixed"/>
      </w:tblPr>
      <w:tblGrid>
        <w:gridCol w:w="7920"/>
      </w:tblGrid>
      <w:tr>
        <w:tc>
          <w:tcPr/>
          <w:bookmarkStart w:id="174" w:name="fig-fairness-subgroups"/>
          <w:p>
            <w:pPr>
              <w:pStyle w:val="Compact"/>
              <w:jc w:val="center"/>
            </w:pPr>
            <w:r>
              <w:drawing>
                <wp:inline>
                  <wp:extent cx="5334000" cy="3556000"/>
                  <wp:effectExtent b="0" l="0" r="0" t="0"/>
                  <wp:docPr descr="" title="" id="172" name="Picture"/>
                  <a:graphic>
                    <a:graphicData uri="http://schemas.openxmlformats.org/drawingml/2006/picture">
                      <pic:pic>
                        <pic:nvPicPr>
                          <pic:cNvPr descr="index_files/figure-docx/notebooks-fairness-fig-fairness-subgroups-output-1.png" id="173" name="Picture"/>
                          <pic:cNvPicPr>
                            <a:picLocks noChangeArrowheads="1" noChangeAspect="1"/>
                          </pic:cNvPicPr>
                        </pic:nvPicPr>
                        <pic:blipFill>
                          <a:blip r:embed="rId17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74"/>
        </w:tc>
      </w:tr>
    </w:tbl>
    <w:p>
      <w:pPr>
        <w:pStyle w:val="BodyText"/>
      </w:pPr>
      <w:r>
        <w:rPr>
          <w:vertAlign w:val="subscript"/>
        </w:rPr>
        <w:t xml:space="preserve">Source:</w:t>
      </w:r>
      <w:r>
        <w:rPr>
          <w:vertAlign w:val="subscript"/>
        </w:rPr>
        <w:t xml:space="preserve"> </w:t>
      </w:r>
      <w:hyperlink r:id="rId175">
        <w:r>
          <w:rPr>
            <w:rStyle w:val="Hyperlink"/>
            <w:vertAlign w:val="subscript"/>
          </w:rPr>
          <w:t xml:space="preserve">Subgroup Analysis</w:t>
        </w:r>
      </w:hyperlink>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png" /><Relationship Type="http://schemas.openxmlformats.org/officeDocument/2006/relationships/image" Id="rId147" Target="media/rId147.png" /><Relationship Type="http://schemas.openxmlformats.org/officeDocument/2006/relationships/image" Id="rId159" Target="media/rId159.png" /><Relationship Type="http://schemas.openxmlformats.org/officeDocument/2006/relationships/image" Id="rId153" Target="media/rId153.png" /><Relationship Type="http://schemas.openxmlformats.org/officeDocument/2006/relationships/image" Id="rId171" Target="media/rId171.png" /><Relationship Type="http://schemas.openxmlformats.org/officeDocument/2006/relationships/image" Id="rId165" Target="media/rId165.png" /><Relationship Type="http://schemas.openxmlformats.org/officeDocument/2006/relationships/image" Id="rId136" Target="media/rId136.png" /><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5" Target="https://jjcurtin.github.io/study_gps/notebooks/auROC_distribution_posterior-preview.html#cell-fig-auroc-histogram" TargetMode="External" /><Relationship Type="http://schemas.openxmlformats.org/officeDocument/2006/relationships/hyperlink" Id="rId151" Target="https://jjcurtin.github.io/study_gps/notebooks/auROC_distribution_posterior-preview.html#cell-fig-pp" TargetMode="External" /><Relationship Type="http://schemas.openxmlformats.org/officeDocument/2006/relationships/hyperlink" Id="rId163" Target="https://jjcurtin.github.io/study_gps/notebooks/auROC_plot-preview.html#cell-fig-auroc-plot" TargetMode="External" /><Relationship Type="http://schemas.openxmlformats.org/officeDocument/2006/relationships/hyperlink" Id="rId157" Target="https://jjcurtin.github.io/study_gps/notebooks/calibration_plot-preview.html#cell-fig-calibration" TargetMode="External" /><Relationship Type="http://schemas.openxmlformats.org/officeDocument/2006/relationships/hyperlink" Id="rId175" Target="https://jjcurtin.github.io/study_gps/notebooks/fairness-preview.html#cell-fig-fairness-subgroups" TargetMode="External" /><Relationship Type="http://schemas.openxmlformats.org/officeDocument/2006/relationships/hyperlink" Id="rId169"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5" Target="https://jjcurtin.github.io/study_gps/notebooks/auROC_distribution_posterior-preview.html#cell-fig-auroc-histogram" TargetMode="External" /><Relationship Type="http://schemas.openxmlformats.org/officeDocument/2006/relationships/hyperlink" Id="rId151" Target="https://jjcurtin.github.io/study_gps/notebooks/auROC_distribution_posterior-preview.html#cell-fig-pp" TargetMode="External" /><Relationship Type="http://schemas.openxmlformats.org/officeDocument/2006/relationships/hyperlink" Id="rId163" Target="https://jjcurtin.github.io/study_gps/notebooks/auROC_plot-preview.html#cell-fig-auroc-plot" TargetMode="External" /><Relationship Type="http://schemas.openxmlformats.org/officeDocument/2006/relationships/hyperlink" Id="rId157" Target="https://jjcurtin.github.io/study_gps/notebooks/calibration_plot-preview.html#cell-fig-calibration" TargetMode="External" /><Relationship Type="http://schemas.openxmlformats.org/officeDocument/2006/relationships/hyperlink" Id="rId175" Target="https://jjcurtin.github.io/study_gps/notebooks/fairness-preview.html#cell-fig-fairness-subgroups" TargetMode="External" /><Relationship Type="http://schemas.openxmlformats.org/officeDocument/2006/relationships/hyperlink" Id="rId169"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2024-10-18T02:20:15Z</dcterms:created>
  <dcterms:modified xsi:type="dcterms:W3CDTF">2024-10-18T02:20:15Z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2024-10-17</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