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41.png" ContentType="image/png"/>
  <Override PartName="/word/media/rId151.png" ContentType="image/png"/>
  <Override PartName="/word/media/rId146.png" ContentType="image/png"/>
  <Override PartName="/word/media/rId161.png" ContentType="image/png"/>
  <Override PartName="/word/media/rId156.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2024-10-17</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(.5). This study also provided explanatory insights by way of quantifying feature importance as well as a crucial examination of fairness of model performance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than lapses). Instead, we see the opposite. This may be because our features may be biased in favor of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risk monitoring system. In the future development of such a system, we are not interested in communicating exact probabilities to individuals about their lapse risk (e.g.,</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(e.g.,</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four broad classes of race/ethnicity, sex at birth, age, and income, such that model performance was worse for non-white, female, and older participants, as well as those below the poverty line. It is likely that we are seeing effects of both lack of representation as well as historically entrenched biases in the literature in our sample. For instance, even collapsing across dichotomous categories for both race and ethnicity (i.e., white and non-white),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We also see divergent performance across men and women in our sample, a class that is well-balanced (</w:t>
      </w:r>
      <w:r>
        <w:rPr>
          <w:iCs/>
          <w:i/>
        </w:rPr>
        <w:t xml:space="preserve">N</w:t>
      </w:r>
      <w:r>
        <w:t xml:space="preserve"> </w:t>
      </w:r>
      <w:r>
        <w:t xml:space="preserve">male = 74,</w:t>
      </w:r>
      <w:r>
        <w:t xml:space="preserve"> </w:t>
      </w:r>
      <w:r>
        <w:rPr>
          <w:iCs/>
          <w:i/>
        </w:rPr>
        <w:t xml:space="preserve">N</w:t>
      </w:r>
      <w:r>
        <w:t xml:space="preserve"> </w:t>
      </w:r>
      <w:r>
        <w:t xml:space="preserve">female = 72). Our features may not be as salient of predictors for lapse for women as they are for men, perhaps stemming from a historical literature that has been built primarily from studying the experiences of AUD in white men. These results suggest that we are seeing the aftereffects of both statistical bias (i.e., inadequate sampling) and societal bias (i.e., constructs which are of limited value to certain groups) in our sample</w:t>
      </w:r>
      <w:r>
        <w:t xml:space="preserve"> </w:t>
      </w:r>
      <w:r>
        <w:t xml:space="preserve">(Mitchell et al. 2021)</w:t>
      </w:r>
      <w:r>
        <w:t xml:space="preserve">.</w:t>
      </w:r>
    </w:p>
    <w:p>
      <w:pPr>
        <w:pStyle w:val="BodyText"/>
      </w:pPr>
      <w:r>
        <w:t xml:space="preserve">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p>
      <w:pPr>
        <w:numPr>
          <w:ilvl w:val="0"/>
          <w:numId w:val="1001"/>
        </w:numPr>
        <w:pStyle w:val="Compact"/>
      </w:pPr>
      <w:r>
        <w:t xml:space="preserve">Further calibration</w:t>
      </w:r>
    </w:p>
    <w:p>
      <w:pPr>
        <w:numPr>
          <w:ilvl w:val="0"/>
          <w:numId w:val="1001"/>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p>
      <w:pPr>
        <w:numPr>
          <w:ilvl w:val="0"/>
          <w:numId w:val="1001"/>
        </w:numPr>
        <w:pStyle w:val="Compact"/>
      </w:pPr>
      <w:r>
        <w:t xml:space="preserve">More information about feature importance can be gleaned from examining local Shapley values using a Sina plot.</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66" w:name="references"/>
    <w:p>
      <w:pPr>
        <w:pStyle w:val="Heading2"/>
      </w:pPr>
      <w:r>
        <w:t xml:space="preserve">References</w:t>
      </w:r>
    </w:p>
    <w:bookmarkStart w:id="12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4">
        <w:r>
          <w:rPr>
            <w:rStyle w:val="Hyperlink"/>
          </w:rPr>
          <w:t xml:space="preserve">https://doi.org/10.1111/geb.13070</w:t>
        </w:r>
      </w:hyperlink>
      <w:r>
        <w:t xml:space="preserve">.</w:t>
      </w:r>
    </w:p>
    <w:bookmarkEnd w:id="55"/>
    <w:bookmarkStart w:id="5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6">
        <w:r>
          <w:rPr>
            <w:rStyle w:val="Hyperlink"/>
          </w:rPr>
          <w:t xml:space="preserve">https://doi.org/10.2196/13209</w:t>
        </w:r>
      </w:hyperlink>
      <w:r>
        <w:t xml:space="preserve">.</w:t>
      </w:r>
    </w:p>
    <w:bookmarkEnd w:id="57"/>
    <w:bookmarkStart w:id="5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8">
        <w:r>
          <w:rPr>
            <w:rStyle w:val="Hyperlink"/>
          </w:rPr>
          <w:t xml:space="preserve">https://doi.org/10.1016/j.drugalcdep.2013.09.007</w:t>
        </w:r>
      </w:hyperlink>
      <w:r>
        <w:t xml:space="preserve">.</w:t>
      </w:r>
    </w:p>
    <w:bookmarkEnd w:id="59"/>
    <w:bookmarkStart w:id="6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0">
        <w:r>
          <w:rPr>
            <w:rStyle w:val="Hyperlink"/>
          </w:rPr>
          <w:t xml:space="preserve">https://doi.org/10.1037/a0038620</w:t>
        </w:r>
      </w:hyperlink>
      <w:r>
        <w:t xml:space="preserve">.</w:t>
      </w:r>
    </w:p>
    <w:bookmarkEnd w:id="61"/>
    <w:bookmarkStart w:id="63"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2">
        <w:r>
          <w:rPr>
            <w:rStyle w:val="Hyperlink"/>
          </w:rPr>
          <w:t xml:space="preserve">https://doi.org/10.1007/s13347-022-00584-6</w:t>
        </w:r>
      </w:hyperlink>
      <w:r>
        <w:t xml:space="preserve">.</w:t>
      </w:r>
    </w:p>
    <w:bookmarkEnd w:id="63"/>
    <w:bookmarkStart w:id="64"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5">
        <w:r>
          <w:rPr>
            <w:rStyle w:val="Hyperlink"/>
          </w:rPr>
          <w:t xml:space="preserve">https://doi.org/10.1145/3674029.3674034</w:t>
        </w:r>
      </w:hyperlink>
      <w:r>
        <w:t xml:space="preserve">.</w:t>
      </w:r>
    </w:p>
    <w:bookmarkEnd w:id="76"/>
    <w:bookmarkStart w:id="7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7">
        <w:r>
          <w:rPr>
            <w:rStyle w:val="Hyperlink"/>
          </w:rPr>
          <w:t xml:space="preserve">https://doi.org/10.1007/978-1-4614-6849-3</w:t>
        </w:r>
      </w:hyperlink>
      <w:r>
        <w:t xml:space="preserve">.</w:t>
      </w:r>
    </w:p>
    <w:bookmarkEnd w:id="78"/>
    <w:bookmarkStart w:id="7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79"/>
    <w:bookmarkStart w:id="8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0">
        <w:r>
          <w:rPr>
            <w:rStyle w:val="Hyperlink"/>
          </w:rPr>
          <w:t xml:space="preserve">https://doi.org/10.1080/13658816.2018.1503276</w:t>
        </w:r>
      </w:hyperlink>
      <w:r>
        <w:t xml:space="preserve">.</w:t>
      </w:r>
    </w:p>
    <w:bookmarkEnd w:id="81"/>
    <w:bookmarkStart w:id="83" w:name="X37a1ac456fec1ab26cb86bd87934b700ddc3ec3"/>
    <w:p>
      <w:pPr>
        <w:pStyle w:val="Bibliography"/>
      </w:pPr>
      <w:r>
        <w:t xml:space="preserve">Larimer, Mary E., Rebekka S. Palmer, and G. Alan Marlatt. 1999.</w:t>
      </w:r>
      <w:r>
        <w:t xml:space="preserve"> </w:t>
      </w:r>
      <w:r>
        <w:t xml:space="preserve">“</w:t>
      </w:r>
      <w:hyperlink r:id="rId82">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3"/>
    <w:bookmarkStart w:id="8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4">
        <w:r>
          <w:rPr>
            <w:rStyle w:val="Hyperlink"/>
          </w:rPr>
          <w:t xml:space="preserve">https://doi.org/10.1007/s13311-019-00824-2</w:t>
        </w:r>
      </w:hyperlink>
      <w:r>
        <w:t xml:space="preserve">.</w:t>
      </w:r>
    </w:p>
    <w:bookmarkEnd w:id="85"/>
    <w:bookmarkStart w:id="8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6"/>
    <w:bookmarkStart w:id="8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87">
        <w:r>
          <w:rPr>
            <w:rStyle w:val="Hyperlink"/>
          </w:rPr>
          <w:t xml:space="preserve">https://doi.org/10.1097/JTO.0b013e3181ec173d</w:t>
        </w:r>
      </w:hyperlink>
      <w:r>
        <w:t xml:space="preserve">.</w:t>
      </w:r>
    </w:p>
    <w:bookmarkEnd w:id="88"/>
    <w:bookmarkStart w:id="89"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89"/>
    <w:bookmarkStart w:id="9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0"/>
    <w:bookmarkStart w:id="92"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1">
        <w:r>
          <w:rPr>
            <w:rStyle w:val="Hyperlink"/>
          </w:rPr>
          <w:t xml:space="preserve">https://doi.org/10.1146/annurev-statistics-042720-125902</w:t>
        </w:r>
      </w:hyperlink>
      <w:r>
        <w:t xml:space="preserve">.</w:t>
      </w:r>
    </w:p>
    <w:bookmarkEnd w:id="92"/>
    <w:bookmarkStart w:id="9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93">
        <w:r>
          <w:rPr>
            <w:rStyle w:val="Hyperlink"/>
          </w:rPr>
          <w:t xml:space="preserve">https://doi.org/10.1146/annurev-clinpsy-032816-044949</w:t>
        </w:r>
      </w:hyperlink>
      <w:r>
        <w:t xml:space="preserve">.</w:t>
      </w:r>
    </w:p>
    <w:bookmarkEnd w:id="94"/>
    <w:bookmarkStart w:id="9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5">
        <w:r>
          <w:rPr>
            <w:rStyle w:val="Hyperlink"/>
          </w:rPr>
          <w:t xml:space="preserve">https://doi.org/10.2196/mhealth.5787</w:t>
        </w:r>
      </w:hyperlink>
      <w:r>
        <w:t xml:space="preserve">.</w:t>
      </w:r>
    </w:p>
    <w:bookmarkEnd w:id="96"/>
    <w:bookmarkStart w:id="97"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97"/>
    <w:bookmarkStart w:id="98"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98"/>
    <w:bookmarkStart w:id="100"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9">
        <w:r>
          <w:rPr>
            <w:rStyle w:val="Hyperlink"/>
          </w:rPr>
          <w:t xml:space="preserve">https://doi.org/10.7326/M18-1990</w:t>
        </w:r>
      </w:hyperlink>
      <w:r>
        <w:t xml:space="preserve">.</w:t>
      </w:r>
    </w:p>
    <w:bookmarkEnd w:id="100"/>
    <w:bookmarkStart w:id="102"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1">
        <w:r>
          <w:rPr>
            <w:rStyle w:val="Hyperlink"/>
          </w:rPr>
          <w:t xml:space="preserve">https://doi.org/10.1093/schbul/sbaa121</w:t>
        </w:r>
      </w:hyperlink>
      <w:r>
        <w:t xml:space="preserve">.</w:t>
      </w:r>
    </w:p>
    <w:bookmarkEnd w:id="102"/>
    <w:bookmarkStart w:id="104"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03">
        <w:r>
          <w:rPr>
            <w:rStyle w:val="Hyperlink"/>
          </w:rPr>
          <w:t xml:space="preserve">https://doi.org/10.1111/acer.14440</w:t>
        </w:r>
      </w:hyperlink>
      <w:r>
        <w:t xml:space="preserve">.</w:t>
      </w:r>
    </w:p>
    <w:bookmarkEnd w:id="104"/>
    <w:bookmarkStart w:id="10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5">
        <w:r>
          <w:rPr>
            <w:rStyle w:val="Hyperlink"/>
          </w:rPr>
          <w:t xml:space="preserve">https://doi.org/10.3390/ijerph20115984</w:t>
        </w:r>
      </w:hyperlink>
      <w:r>
        <w:t xml:space="preserve">.</w:t>
      </w:r>
    </w:p>
    <w:bookmarkEnd w:id="106"/>
    <w:bookmarkStart w:id="108"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7">
        <w:r>
          <w:rPr>
            <w:rStyle w:val="Hyperlink"/>
          </w:rPr>
          <w:t xml:space="preserve">https://doi.org/10.2105/AJPH.2013.301306</w:t>
        </w:r>
      </w:hyperlink>
      <w:r>
        <w:t xml:space="preserve">.</w:t>
      </w:r>
    </w:p>
    <w:bookmarkEnd w:id="108"/>
    <w:bookmarkStart w:id="109"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09"/>
    <w:bookmarkStart w:id="111"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0">
        <w:r>
          <w:rPr>
            <w:rStyle w:val="Hyperlink"/>
          </w:rPr>
          <w:t xml:space="preserve">https://doi.org/10.35946/arcr.v40.3.02</w:t>
        </w:r>
      </w:hyperlink>
      <w:r>
        <w:t xml:space="preserve">.</w:t>
      </w:r>
    </w:p>
    <w:bookmarkEnd w:id="111"/>
    <w:bookmarkStart w:id="113"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12">
        <w:r>
          <w:rPr>
            <w:rStyle w:val="Hyperlink"/>
          </w:rPr>
          <w:t xml:space="preserve">https://doi.org/10.1186/s12916-019-1466-7</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p>
      <w:r>
        <w:br w:type="page"/>
      </w:r>
    </w:p>
    <w:tbl>
      <w:tblPr>
        <w:tblStyle w:val="Table"/>
        <w:tblW w:type="pct" w:w="5000"/>
        <w:tblLook w:firstRow="0" w:lastRow="0" w:firstColumn="0" w:lastColumn="0" w:noHBand="0" w:noVBand="0" w:val="0000"/>
        <w:jc w:val="start"/>
        <w:tblLayout w:type="fixed"/>
      </w:tblPr>
      <w:tblGrid>
        <w:gridCol w:w="7920"/>
      </w:tblGrid>
      <w:tr>
        <w:tc>
          <w:tcPr/>
          <w:bookmarkStart w:id="129"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29"/>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0"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30"/>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1"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31"/>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5"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33" name="Picture"/>
                  <a:graphic>
                    <a:graphicData uri="http://schemas.openxmlformats.org/drawingml/2006/picture">
                      <pic:pic>
                        <pic:nvPicPr>
                          <pic:cNvPr descr="objects/table.png" id="134" name="Picture"/>
                          <pic:cNvPicPr>
                            <a:picLocks noChangeArrowheads="1" noChangeAspect="1"/>
                          </pic:cNvPicPr>
                        </pic:nvPicPr>
                        <pic:blipFill>
                          <a:blip r:embed="rId132"/>
                          <a:stretch>
                            <a:fillRect/>
                          </a:stretch>
                        </pic:blipFill>
                        <pic:spPr bwMode="auto">
                          <a:xfrm>
                            <a:off x="0" y="0"/>
                            <a:ext cx="2987855" cy="8608816"/>
                          </a:xfrm>
                          <a:prstGeom prst="rect">
                            <a:avLst/>
                          </a:prstGeom>
                          <a:noFill/>
                          <a:ln w="9525">
                            <a:noFill/>
                            <a:headEnd/>
                            <a:tailEnd/>
                          </a:ln>
                        </pic:spPr>
                      </pic:pic>
                    </a:graphicData>
                  </a:graphic>
                </wp:inline>
              </w:drawing>
            </w:r>
          </w:p>
          <w:bookmarkEnd w:id="135"/>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9" w:name="fig-auroc-histogram"/>
          <w:p>
            <w:pPr>
              <w:pStyle w:val="Compact"/>
              <w:jc w:val="center"/>
            </w:pPr>
            <w:r>
              <w:drawing>
                <wp:inline>
                  <wp:extent cx="5334000" cy="4267200"/>
                  <wp:effectExtent b="0" l="0" r="0" t="0"/>
                  <wp:docPr descr="" title="" id="137" name="Picture"/>
                  <a:graphic>
                    <a:graphicData uri="http://schemas.openxmlformats.org/drawingml/2006/picture">
                      <pic:pic>
                        <pic:nvPicPr>
                          <pic:cNvPr descr="index_files/figure-docx/notebooks-auROC_distribution_posterior-fig-auroc-histogram-output-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39"/>
        </w:tc>
      </w:tr>
    </w:tbl>
    <w:p>
      <w:pPr>
        <w:pStyle w:val="BodyText"/>
      </w:pPr>
      <w:r>
        <w:rPr>
          <w:vertAlign w:val="subscript"/>
        </w:rPr>
        <w:t xml:space="preserve">Source:</w:t>
      </w:r>
      <w:r>
        <w:rPr>
          <w:vertAlign w:val="subscript"/>
        </w:rPr>
        <w:t xml:space="preserve"> </w:t>
      </w:r>
      <w:hyperlink r:id="rId140">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44" w:name="fig-pp"/>
          <w:p>
            <w:pPr>
              <w:pStyle w:val="Compact"/>
              <w:jc w:val="center"/>
            </w:pPr>
            <w:r>
              <w:drawing>
                <wp:inline>
                  <wp:extent cx="5334000" cy="3200400"/>
                  <wp:effectExtent b="0" l="0" r="0" t="0"/>
                  <wp:docPr descr="" title="" id="142" name="Picture"/>
                  <a:graphic>
                    <a:graphicData uri="http://schemas.openxmlformats.org/drawingml/2006/picture">
                      <pic:pic>
                        <pic:nvPicPr>
                          <pic:cNvPr descr="index_files/figure-docx/notebooks-auROC_distribution_posterior-fig-pp-output-1.png" id="143" name="Picture"/>
                          <pic:cNvPicPr>
                            <a:picLocks noChangeArrowheads="1" noChangeAspect="1"/>
                          </pic:cNvPicPr>
                        </pic:nvPicPr>
                        <pic:blipFill>
                          <a:blip r:embed="rId14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44"/>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49" w:name="fig-calibration"/>
          <w:p>
            <w:pPr>
              <w:pStyle w:val="Compact"/>
              <w:jc w:val="center"/>
            </w:pPr>
            <w:r>
              <w:drawing>
                <wp:inline>
                  <wp:extent cx="5334000" cy="3556000"/>
                  <wp:effectExtent b="0" l="0" r="0" t="0"/>
                  <wp:docPr descr="" title="" id="147" name="Picture"/>
                  <a:graphic>
                    <a:graphicData uri="http://schemas.openxmlformats.org/drawingml/2006/picture">
                      <pic:pic>
                        <pic:nvPicPr>
                          <pic:cNvPr descr="index_files/figure-docx/notebooks-calibration_plot-fig-calibration-output-2.png" id="148" name="Picture"/>
                          <pic:cNvPicPr>
                            <a:picLocks noChangeArrowheads="1" noChangeAspect="1"/>
                          </pic:cNvPicPr>
                        </pic:nvPicPr>
                        <pic:blipFill>
                          <a:blip r:embed="rId1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49"/>
        </w:tc>
      </w:tr>
    </w:tbl>
    <w:p>
      <w:pPr>
        <w:pStyle w:val="BodyText"/>
      </w:pPr>
      <w:r>
        <w:rPr>
          <w:vertAlign w:val="subscript"/>
        </w:rPr>
        <w:t xml:space="preserve">Source:</w:t>
      </w:r>
      <w:r>
        <w:rPr>
          <w:vertAlign w:val="subscript"/>
        </w:rPr>
        <w:t xml:space="preserve"> </w:t>
      </w:r>
      <w:hyperlink r:id="rId150">
        <w:r>
          <w:rPr>
            <w:rStyle w:val="Hyperlink"/>
            <w:vertAlign w:val="subscript"/>
          </w:rPr>
          <w:t xml:space="preserve">Generate INNER calibration</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4" w:name="fig-auroc-plot"/>
          <w:p>
            <w:pPr>
              <w:pStyle w:val="Compact"/>
              <w:jc w:val="center"/>
            </w:pPr>
            <w:r>
              <w:drawing>
                <wp:inline>
                  <wp:extent cx="5334000" cy="5334000"/>
                  <wp:effectExtent b="0" l="0" r="0" t="0"/>
                  <wp:docPr descr="" title="" id="152" name="Picture"/>
                  <a:graphic>
                    <a:graphicData uri="http://schemas.openxmlformats.org/drawingml/2006/picture">
                      <pic:pic>
                        <pic:nvPicPr>
                          <pic:cNvPr descr="index_files/figure-docx/notebooks-auROC_plot-fig-auroc-plot-output-2.png" id="153" name="Picture"/>
                          <pic:cNvPicPr>
                            <a:picLocks noChangeArrowheads="1" noChangeAspect="1"/>
                          </pic:cNvPicPr>
                        </pic:nvPicPr>
                        <pic:blipFill>
                          <a:blip r:embed="rId15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54"/>
        </w:tc>
      </w:tr>
    </w:tbl>
    <w:p>
      <w:pPr>
        <w:pStyle w:val="BodyText"/>
      </w:pPr>
      <w:r>
        <w:rPr>
          <w:vertAlign w:val="subscript"/>
        </w:rPr>
        <w:t xml:space="preserve">Source:</w:t>
      </w:r>
      <w:r>
        <w:rPr>
          <w:vertAlign w:val="subscript"/>
        </w:rPr>
        <w:t xml:space="preserve"> </w:t>
      </w:r>
      <w:hyperlink r:id="rId155">
        <w:r>
          <w:rPr>
            <w:rStyle w:val="Hyperlink"/>
            <w:vertAlign w:val="subscript"/>
          </w:rPr>
          <w:t xml:space="preserve">Generate auROC plot for main models of training jobs from CHTC for gps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9" w:name="fig-shaps-group"/>
          <w:p>
            <w:pPr>
              <w:pStyle w:val="Compact"/>
              <w:jc w:val="center"/>
            </w:pPr>
            <w:r>
              <w:drawing>
                <wp:inline>
                  <wp:extent cx="5334000" cy="5334000"/>
                  <wp:effectExtent b="0" l="0" r="0" t="0"/>
                  <wp:docPr descr="" title="" id="157" name="Picture"/>
                  <a:graphic>
                    <a:graphicData uri="http://schemas.openxmlformats.org/drawingml/2006/picture">
                      <pic:pic>
                        <pic:nvPicPr>
                          <pic:cNvPr descr="index_files/figure-docx/notebooks-shaps-fig-shaps-group-output-1.png" id="158" name="Picture"/>
                          <pic:cNvPicPr>
                            <a:picLocks noChangeArrowheads="1" noChangeAspect="1"/>
                          </pic:cNvPicPr>
                        </pic:nvPicPr>
                        <pic:blipFill>
                          <a:blip r:embed="rId1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59"/>
        </w:tc>
      </w:tr>
    </w:tbl>
    <w:p>
      <w:pPr>
        <w:pStyle w:val="BodyText"/>
      </w:pPr>
      <w:r>
        <w:rPr>
          <w:vertAlign w:val="subscript"/>
        </w:rPr>
        <w:t xml:space="preserve">Source:</w:t>
      </w:r>
      <w:r>
        <w:rPr>
          <w:vertAlign w:val="subscript"/>
        </w:rPr>
        <w:t xml:space="preserve"> </w:t>
      </w:r>
      <w:hyperlink r:id="rId160">
        <w:r>
          <w:rPr>
            <w:rStyle w:val="Hyperlink"/>
            <w:vertAlign w:val="subscript"/>
          </w:rPr>
          <w:t xml:space="preserve">SHAPs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64" w:name="fig-fairness-subgroups"/>
          <w:p>
            <w:pPr>
              <w:pStyle w:val="Compact"/>
              <w:jc w:val="center"/>
            </w:pPr>
            <w:r>
              <w:drawing>
                <wp:inline>
                  <wp:extent cx="5334000" cy="3556000"/>
                  <wp:effectExtent b="0" l="0" r="0" t="0"/>
                  <wp:docPr descr="" title="" id="162" name="Picture"/>
                  <a:graphic>
                    <a:graphicData uri="http://schemas.openxmlformats.org/drawingml/2006/picture">
                      <pic:pic>
                        <pic:nvPicPr>
                          <pic:cNvPr descr="index_files/figure-docx/notebooks-fairness-fig-fairness-subgroups-output-1.png" id="163" name="Picture"/>
                          <pic:cNvPicPr>
                            <a:picLocks noChangeArrowheads="1" noChangeAspect="1"/>
                          </pic:cNvPicPr>
                        </pic:nvPicPr>
                        <pic:blipFill>
                          <a:blip r:embed="rId16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Subgroup Analysis</w:t>
        </w:r>
      </w:hyperlink>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46" Target="media/rId146.png" /><Relationship Type="http://schemas.openxmlformats.org/officeDocument/2006/relationships/image" Id="rId161" Target="media/rId161.png" /><Relationship Type="http://schemas.openxmlformats.org/officeDocument/2006/relationships/image" Id="rId156" Target="media/rId156.png" /><Relationship Type="http://schemas.openxmlformats.org/officeDocument/2006/relationships/image" Id="rId132" Target="media/rId132.png" /><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0" Target="https://jjcurtin.github.io/study_gps/notebooks/auROC_distribution_posterior-preview.html#cell-fig-auroc-histogram" TargetMode="External" /><Relationship Type="http://schemas.openxmlformats.org/officeDocument/2006/relationships/hyperlink" Id="rId145" Target="https://jjcurtin.github.io/study_gps/notebooks/auROC_distribution_posterior-preview.html#cell-fig-pp" TargetMode="External" /><Relationship Type="http://schemas.openxmlformats.org/officeDocument/2006/relationships/hyperlink" Id="rId155" Target="https://jjcurtin.github.io/study_gps/notebooks/auROC_plot-preview.html#cell-fig-auroc-plot" TargetMode="External" /><Relationship Type="http://schemas.openxmlformats.org/officeDocument/2006/relationships/hyperlink" Id="rId150" Target="https://jjcurtin.github.io/study_gps/notebooks/calibration_plot-preview.html#cell-fig-calibration" TargetMode="External" /><Relationship Type="http://schemas.openxmlformats.org/officeDocument/2006/relationships/hyperlink" Id="rId165" Target="https://jjcurtin.github.io/study_gps/notebooks/fairness-preview.html#cell-fig-fairness-subgroups" TargetMode="External" /><Relationship Type="http://schemas.openxmlformats.org/officeDocument/2006/relationships/hyperlink" Id="rId160"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0" Target="https://jjcurtin.github.io/study_gps/notebooks/auROC_distribution_posterior-preview.html#cell-fig-auroc-histogram" TargetMode="External" /><Relationship Type="http://schemas.openxmlformats.org/officeDocument/2006/relationships/hyperlink" Id="rId145" Target="https://jjcurtin.github.io/study_gps/notebooks/auROC_distribution_posterior-preview.html#cell-fig-pp" TargetMode="External" /><Relationship Type="http://schemas.openxmlformats.org/officeDocument/2006/relationships/hyperlink" Id="rId155" Target="https://jjcurtin.github.io/study_gps/notebooks/auROC_plot-preview.html#cell-fig-auroc-plot" TargetMode="External" /><Relationship Type="http://schemas.openxmlformats.org/officeDocument/2006/relationships/hyperlink" Id="rId150" Target="https://jjcurtin.github.io/study_gps/notebooks/calibration_plot-preview.html#cell-fig-calibration" TargetMode="External" /><Relationship Type="http://schemas.openxmlformats.org/officeDocument/2006/relationships/hyperlink" Id="rId165" Target="https://jjcurtin.github.io/study_gps/notebooks/fairness-preview.html#cell-fig-fairness-subgroups" TargetMode="External" /><Relationship Type="http://schemas.openxmlformats.org/officeDocument/2006/relationships/hyperlink" Id="rId160"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2024-10-18T01:38:20Z</dcterms:created>
  <dcterms:modified xsi:type="dcterms:W3CDTF">2024-10-18T01:38:20Z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2024-10-17</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