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3.png" ContentType="image/png"/>
  <Override PartName="/word/media/rId53.png" ContentType="image/png"/>
  <Override PartName="/word/media/rId48.png" ContentType="image/png"/>
  <Override PartName="/word/media/rId58.png" ContentType="image/png"/>
  <Override PartName="/word/media/rId70.png" ContentType="image/png"/>
  <Override PartName="/word/media/rId64.png" ContentType="image/png"/>
  <Override PartName="/word/media/rId3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2024-10-15</w:t>
      </w:r>
    </w:p>
    <w:bookmarkStart w:id="23" w:name="introduction"/>
    <w:p>
      <w:pPr>
        <w:pStyle w:val="Heading2"/>
      </w:pPr>
      <w:r>
        <w:t xml:space="preserve">Introduction</w:t>
      </w:r>
    </w:p>
    <w:p>
      <w:pPr>
        <w:pStyle w:val="FirstParagraph"/>
      </w:pPr>
      <w:r>
        <w:t xml:space="preserve">About 1 in 10 adults in the United States met diagnostic criteria for alcohol use disorder (AUD) in 2022</w:t>
      </w:r>
      <w:r>
        <w:t xml:space="preserve"> </w:t>
      </w:r>
      <w:r>
        <w:t xml:space="preserve">(</w:t>
      </w: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r>
        <w:t xml:space="preserve">. While some individuals will experience natural recovery (i.e., improvement without intervention)</w:t>
      </w:r>
      <w:r>
        <w:t xml:space="preserve"> </w:t>
      </w:r>
      <w:r>
        <w:t xml:space="preserve">(Tucker, Chandler, and Witkiewitz 2020)</w:t>
      </w:r>
      <w:r>
        <w:t xml:space="preserve">, for others AUD will present as a chronic, relapsing disorder marked by periods of recovery interspersed with returns back to harmful use</w:t>
      </w:r>
      <w:r>
        <w:t xml:space="preserve"> </w:t>
      </w:r>
      <w:r>
        <w:t xml:space="preserve">(</w:t>
      </w: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Brandon, Vidrine, and Litvin 2007)</w:t>
      </w:r>
      <w:r>
        <w:t xml:space="preserve">. For such individuals, continued monitoring may be beneficial in assisting with the maintenance of recovery goals and in identifying precipitants to lapses, or single instances of goal-inconsistent use that may lead to relapse</w:t>
      </w:r>
      <w:r>
        <w:t xml:space="preserve"> </w:t>
      </w:r>
      <w:r>
        <w:t xml:space="preserve">(Witkiewitz and Marlatt 2004)</w:t>
      </w:r>
      <w:r>
        <w:t xml:space="preserve">. One sustainable and scalable way to provide this continuous monitoring to individuals who need it most is through developing algorithms to predict lapses using both personal sensing data and machine learning.</w:t>
      </w:r>
    </w:p>
    <w:p>
      <w:pPr>
        <w:pStyle w:val="BodyText"/>
      </w:pPr>
      <w:r>
        <w:t xml:space="preserve">Personal sensing data are data derived via embedded sensors in technology ubiquitous in our daily lives, such as smartphones, smartwatches, or other wearables</w:t>
      </w:r>
      <w:r>
        <w:t xml:space="preserve"> </w:t>
      </w:r>
      <w:r>
        <w:t xml:space="preserve">(Mohr, Zhang, and Schueller 2017)</w:t>
      </w:r>
      <w:r>
        <w:t xml:space="preserve">. Because these devices are already so integrated within our day-to-day lives, one benefit of porting these data to clinical use is their proven ability to be collected unobtrusively and continuously. Importantly, these data do not require individuals to change their behavior or routines in any way. Moreover, when paired with machine learning models, statistical patterns connecting antecedents to lapse derived from these data (e.g., changes in mood, difficulty with close social connections, proximity to risky locations) to true lapse events can be uncovered. This is crucial for several reasons: 1) even when someone anticipates an oncoming lapse, it may be difficult to pinpoint the specific driving forces behind it; 2) these precipitating factors will have great variation both between- and within-people; and 3) uncovering these factors may help relieve some of the cognitive burden of recovery (i.e., constant monitoring of potential environmental risk factors).</w:t>
      </w:r>
    </w:p>
    <w:bookmarkStart w:id="20" w:name="geolocation-data-for-risk-monitoring"/>
    <w:p>
      <w:pPr>
        <w:pStyle w:val="Heading3"/>
      </w:pPr>
      <w:r>
        <w:t xml:space="preserve">Geolocation Data for Risk Monitoring</w:t>
      </w:r>
    </w:p>
    <w:p>
      <w:pPr>
        <w:pStyle w:val="FirstParagraph"/>
      </w:pPr>
      <w:r>
        <w:t xml:space="preserve">Recovery and return to use are dynamic processes. Factors that contribute both to maintenance of recovery and return to use change from person-to-person and from moment-to-moment. A shift in social supports (e.g., a move, a break-up) may precede a lapse for one individual but not another. Time spent in locations where alcohol is available (e.g., bars, restaurants, concert venues) may precede a given lapse for another individual, but will not necessarily precede future lapses in that same individual. In order to best capture this fluidity, the ideal data type used within continuous risk monitoring systems should be able to provide a correspondingly appropriate level of granularity. One promising data source is geolocation data.</w:t>
      </w:r>
    </w:p>
    <w:p>
      <w:pPr>
        <w:pStyle w:val="BodyText"/>
      </w:pPr>
      <w:r>
        <w:t xml:space="preserve">Geolocation data consist of latitude and longtitude coordinates and can be sampled at regular intervals using applications on smartphones with little to no input from the user beyond initial set-up. Many smartphones and smartwatches automatically collect these data by default. This fact, paired with increasing rates of smartphone ownership, suggest that there is high potential for these data to be feasibly harnessed for use in a risk-monitoring system</w:t>
      </w:r>
      <w:r>
        <w:t xml:space="preserve"> </w:t>
      </w:r>
      <w:r>
        <w:t xml:space="preserve">(Areàn, Hoa Ly, and Andersson 2016)</w:t>
      </w:r>
      <w:r>
        <w:t xml:space="preserve">. 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relapse risk that an individual’s location can provide, but also demonstrate the proven integration of location information into treatment. Furthermore, geolocation data have been specifically identified as being of particular use in both understanding the precipitants to harmful substance use and its effective treatment</w:t>
      </w:r>
      <w:r>
        <w:t xml:space="preserve"> </w:t>
      </w:r>
      <w:r>
        <w:t xml:space="preserve">(Stahler, Mennis, and Baron 2013)</w:t>
      </w:r>
      <w:r>
        <w:t xml:space="preserve">.</w:t>
      </w:r>
    </w:p>
    <w:p>
      <w:pPr>
        <w:pStyle w:val="BodyText"/>
      </w:pPr>
      <w:r>
        <w:t xml:space="preserve">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An integration across these subfields can be in part accomplished by enriching geolocation data with brief, intermittent surveys probing specific information about frequently visited locations. For example, 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w:t>
      </w:r>
    </w:p>
    <w:bookmarkEnd w:id="20"/>
    <w:bookmarkStart w:id="21" w:name="model-evaluation"/>
    <w:p>
      <w:pPr>
        <w:pStyle w:val="Heading3"/>
      </w:pPr>
      <w:r>
        <w:t xml:space="preserve">Model Evaluation</w:t>
      </w:r>
    </w:p>
    <w:p>
      <w:pPr>
        <w:pStyle w:val="FirstParagraph"/>
      </w:pPr>
      <w:r>
        <w:t xml:space="preserve">Data selection, however, is only one component of the successful development of a continuous risk monitoring algorithm. Following algorithm development, it is imperative that these models be rigorously evaluated using performance metrics and eventually tested using independent observations (i.e., using data from individuals which were not used in model development). This workflow in machine learning is what enables researchers to anticipate how well a model could be expected to generalize to new populations and is key when aiming to develop algorithms for real-world healthcare implementation. While standard performance metrics like model accuracy, for example, have been standard reporting practice for years, recent literature has begun to urge researchers to also include assessments of how</w:t>
      </w:r>
      <w:r>
        <w:t xml:space="preserve"> </w:t>
      </w:r>
      <w:r>
        <w:rPr>
          <w:iCs/>
          <w:i/>
        </w:rPr>
        <w:t xml:space="preserve">fair</w:t>
      </w:r>
      <w:r>
        <w:t xml:space="preserve"> </w:t>
      </w:r>
      <w:r>
        <w:t xml:space="preserve">a model is</w:t>
      </w:r>
      <w:r>
        <w:t xml:space="preserve"> </w:t>
      </w:r>
      <w:r>
        <w:t xml:space="preserve">(Rajkomar et al. 2018; Wawira Gichoya et al. 2021)</w:t>
      </w:r>
      <w:r>
        <w:t xml:space="preserve">. A fair algorithm is one with no preference in performance with respect to inherent or acquired characteristics (e.g., gender, race, socioeconomic status;</w:t>
      </w:r>
      <w:r>
        <w:t xml:space="preserve"> </w:t>
      </w:r>
      <w:r>
        <w:t xml:space="preserve">(X. Wang, Zhang, and Zhu 2022)</w:t>
      </w:r>
      <w:r>
        <w:t xml:space="preserve">). In the context of a continuous risk monitoring algorithm for AUD, this would mean that lapse predictions are reasonably accurate and do not favor or disadvantage any particular group.</w:t>
      </w:r>
    </w:p>
    <w:p>
      <w:pPr>
        <w:pStyle w:val="BodyText"/>
      </w:pPr>
      <w:r>
        <w:t xml:space="preserve">The motivating factors behind this call to action are clear.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monitoring algorithms run the risk of providing sub-optimal mental health care to individuals who already face disadvantages.</w:t>
      </w:r>
    </w:p>
    <w:p>
      <w:pPr>
        <w:pStyle w:val="BodyText"/>
      </w:pPr>
      <w:r>
        <w:t xml:space="preserve">For example,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Fairness is also a particular concern specifically in the context of AUD, where the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researchers decide are important to measure and input into models, informed by knowledge of AUD theory, will inherently be biased and may favor these groups. Therefore, researchers can also not assume that balanced classes are enough to compensate for biases brought on by the broader societal context. Both of these facts motivate the reasoning behind examining algorithmic fairness in the context of developing continuous risk monitoring systems.</w:t>
      </w:r>
    </w:p>
    <w:bookmarkEnd w:id="21"/>
    <w:bookmarkStart w:id="22" w:name="the-current-study"/>
    <w:p>
      <w:pPr>
        <w:pStyle w:val="Heading3"/>
      </w:pPr>
      <w:r>
        <w:t xml:space="preserve">The Current Study</w:t>
      </w:r>
    </w:p>
    <w:p>
      <w:pPr>
        <w:pStyle w:val="FirstParagraph"/>
      </w:pPr>
      <w:r>
        <w:t xml:space="preserve">In order for these continuous risk monitoring systems to be implemented in the real-world, these models must both be developed outright and rigorously evaluated on both standard performance metrics and algorithmic fairness. To this end, this study utilized geolocation data collected from smartphones and corresponding self-reported contextual information for frequently visited locations to build a machine learning model to predict next-day alcohol use lapse among individuals with a diagnosis of AUD and a recovery goal of abstinence. Model features were engineered from both raw geolocation data, both context-dependent and context agnostic, and change in these data over the previous 6, 12, 24, 48, 72, and 168 hours.</w:t>
      </w:r>
    </w:p>
    <w:p>
      <w:pPr>
        <w:pStyle w:val="BodyText"/>
      </w:pPr>
      <w:r>
        <w:t xml:space="preserve">Here we present characterization of model performance for this prediction model in a validation set. We also evaluated feature importance and model fairness.</w:t>
      </w:r>
      <w:r>
        <w:t xml:space="preserve"> </w:t>
      </w:r>
      <w:r>
        <w:t xml:space="preserve"> </w:t>
      </w:r>
      <w:r>
        <w:t xml:space="preserve">This study constitutes a preliminary evaluation of a model designed to predict lapse back to alcohol use using minimally burdensome data that has the potential to be integrated within a continuous risk monitoring platform.</w:t>
      </w:r>
    </w:p>
    <w:bookmarkEnd w:id="22"/>
    <w:bookmarkEnd w:id="23"/>
    <w:bookmarkStart w:id="36" w:name="methods"/>
    <w:p>
      <w:pPr>
        <w:pStyle w:val="Heading2"/>
      </w:pPr>
      <w:r>
        <w:t xml:space="preserve">Methods</w:t>
      </w:r>
    </w:p>
    <w:bookmarkStart w:id="25" w:name="participants"/>
    <w:p>
      <w:pPr>
        <w:pStyle w:val="Heading3"/>
      </w:pPr>
      <w:r>
        <w:t xml:space="preserve">Participants</w:t>
      </w:r>
    </w:p>
    <w:p>
      <w:pPr>
        <w:pStyle w:val="FirstParagraph"/>
      </w:pPr>
      <w:r>
        <w:t xml:space="preserve">One hundred and forty six individuals in early-recovery (1-8 weeks of abstinence) for AUD were recruited from the Madison area to take part in a three-month study on how mobile health technology can provide recovery support between 2017 and 2019 (R01 AA024391). Recruitment approaches included social media platforms (e.g., Facebook), television and radio advertisements, and clinic referrals. Prospective participants completed a phone screen to assess match with eligibility criteria (</w:t>
      </w:r>
      <w:hyperlink w:anchor="tbl-elig">
        <w:r>
          <w:rPr>
            <w:rStyle w:val="Hyperlink"/>
          </w:rPr>
          <w:t xml:space="preserve">Table 1</w:t>
        </w:r>
      </w:hyperlink>
      <w:r>
        <w:t xml:space="preserve">). Participants were excluded if they exhibited severe symptoms of paranoia or psychosis (a score &lt;= 2.24 on the SCL-90 psychosis scale or a score &lt;= 2.82 on the SCL-90 paranoia scale administered at screening).</w:t>
      </w:r>
    </w:p>
    <w:tbl>
      <w:tblPr>
        <w:tblStyle w:val="Table"/>
        <w:tblW w:type="pct" w:w="5000"/>
        <w:tblLook w:firstRow="0" w:lastRow="0" w:firstColumn="0" w:lastColumn="0" w:noHBand="0" w:noVBand="0" w:val="0000"/>
        <w:jc w:val="start"/>
        <w:tblLayout w:type="fixed"/>
      </w:tblPr>
      <w:tblGrid>
        <w:gridCol w:w="7920"/>
      </w:tblGrid>
      <w:tr>
        <w:tc>
          <w:tcPr/>
          <w:bookmarkStart w:id="24" w:name="tbl-elig"/>
          <w:p>
            <w:pPr>
              <w:jc w:val="center"/>
            </w:pPr>
            <w:pPr>
              <w:jc w:val="start"/>
              <w:spacing w:before="200"/>
              <w:pStyle w:val="ImageCaption"/>
            </w:pPr>
            <w:r>
              <w:t xml:space="preserve">Table 1: Eligibility criteria for study enrollment. **Personal or study-provided.</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jc w:val="center"/>
                  </w:pPr>
                  <w:r>
                    <w:t xml:space="preserve">Eligibility Criteria</w:t>
                  </w:r>
                </w:p>
              </w:tc>
            </w:tr>
            <w:tr>
              <w:tc>
                <w:tcPr/>
                <w:p>
                  <w:pPr>
                    <w:pStyle w:val="Compact"/>
                    <w:jc w:val="left"/>
                    <w:jc w:val="center"/>
                  </w:pPr>
                  <w:r>
                    <w:t xml:space="preserve">&gt;= 18 years of age</w:t>
                  </w:r>
                </w:p>
              </w:tc>
            </w:tr>
            <w:tr>
              <w:tc>
                <w:tcPr/>
                <w:p>
                  <w:pPr>
                    <w:pStyle w:val="Compact"/>
                    <w:jc w:val="left"/>
                    <w:jc w:val="center"/>
                  </w:pPr>
                  <w:r>
                    <w:t xml:space="preserve">Ability to read and write in English</w:t>
                  </w:r>
                </w:p>
              </w:tc>
            </w:tr>
            <w:tr>
              <w:tc>
                <w:tcPr/>
                <w:p>
                  <w:pPr>
                    <w:pStyle w:val="Compact"/>
                    <w:jc w:val="left"/>
                    <w:jc w:val="center"/>
                  </w:pPr>
                  <w:r>
                    <w:t xml:space="preserve">Diagnosis of moderate AUD (&gt;= 4 self-reported DSM-5 symptoms)</w:t>
                  </w:r>
                </w:p>
              </w:tc>
            </w:tr>
            <w:tr>
              <w:tc>
                <w:tcPr/>
                <w:p>
                  <w:pPr>
                    <w:pStyle w:val="Compact"/>
                    <w:jc w:val="left"/>
                    <w:jc w:val="center"/>
                  </w:pPr>
                  <w:r>
                    <w:t xml:space="preserve">Abstinent from alcohol for 1-8 weeks</w:t>
                  </w:r>
                </w:p>
              </w:tc>
            </w:tr>
            <w:tr>
              <w:tc>
                <w:tcPr/>
                <w:p>
                  <w:pPr>
                    <w:pStyle w:val="Compact"/>
                    <w:jc w:val="left"/>
                    <w:jc w:val="center"/>
                  </w:pPr>
                  <w:r>
                    <w:t xml:space="preserve">Willing to use only one smartphone** while on study</w:t>
                  </w:r>
                </w:p>
              </w:tc>
            </w:tr>
          </w:tbl>
          <w:bookmarkEnd w:id="24"/>
          <w:p/>
        </w:tc>
      </w:tr>
    </w:tbl>
    <w:bookmarkEnd w:id="25"/>
    <w:bookmarkStart w:id="26"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6"/>
    <w:bookmarkStart w:id="27" w:name="geolocation-data"/>
    <w:p>
      <w:pPr>
        <w:pStyle w:val="Heading3"/>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p>
      <w:pPr>
        <w:pStyle w:val="BodyText"/>
      </w:pPr>
      <w:r>
        <w:t xml:space="preserve">Data were then processed to filter out duplicated points, fast movement speeds (&gt;100mph), sudden positional jumps, and periods of long duration suggesting sampling error issues (&gt;24 hours with no movement or &gt;2 hours with a positional jump of more than 0.31 miles or 500 meters). Data points were classified as</w:t>
      </w:r>
      <w:r>
        <w:t xml:space="preserve"> </w:t>
      </w:r>
      <w:r>
        <w:t xml:space="preserve">“</w:t>
      </w:r>
      <w:r>
        <w:t xml:space="preserve">in transit</w:t>
      </w:r>
      <w:r>
        <w:t xml:space="preserve">”</w:t>
      </w:r>
      <w:r>
        <w:t xml:space="preserve"> </w:t>
      </w:r>
      <w:r>
        <w:t xml:space="preserve">when spacing between individual positions suggested a movement speed of greater than 4mph per NIH health guidelines</w:t>
      </w:r>
      <w:r>
        <w:t xml:space="preserve"> </w:t>
      </w:r>
      <w:r>
        <w:t xml:space="preserve">(</w:t>
      </w: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r>
        <w:t xml:space="preserve">.</w:t>
      </w:r>
    </w:p>
    <w:bookmarkEnd w:id="27"/>
    <w:bookmarkStart w:id="29" w:name="contextual-information"/>
    <w:p>
      <w:pPr>
        <w:pStyle w:val="Heading3"/>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w:t>
      </w:r>
      <w:r>
        <w:t xml:space="preserve"> </w:t>
      </w:r>
      <w:hyperlink w:anchor="tbl-context">
        <w:r>
          <w:rPr>
            <w:rStyle w:val="Hyperlink"/>
          </w:rPr>
          <w:t xml:space="preserve">Table 2</w:t>
        </w:r>
      </w:hyperlink>
      <w:r>
        <w:t xml:space="preserve">). Participants were considered to be at a known contextual location if they were within 0.031 miles (50 meters) of a reported frequently visited location.</w:t>
      </w:r>
    </w:p>
    <w:tbl>
      <w:tblPr>
        <w:tblStyle w:val="Table"/>
        <w:tblW w:type="pct" w:w="5000"/>
        <w:tblLook w:firstRow="0" w:lastRow="0" w:firstColumn="0" w:lastColumn="0" w:noHBand="0" w:noVBand="0" w:val="0000"/>
        <w:jc w:val="start"/>
        <w:tblLayout w:type="fixed"/>
      </w:tblPr>
      <w:tblGrid>
        <w:gridCol w:w="7920"/>
      </w:tblGrid>
      <w:tr>
        <w:tc>
          <w:tcPr/>
          <w:bookmarkStart w:id="28" w:name="tbl-context"/>
          <w:p>
            <w:pPr>
              <w:jc w:val="center"/>
            </w:pPr>
            <w:pPr>
              <w:jc w:val="start"/>
              <w:spacing w:before="200"/>
              <w:pStyle w:val="ImageCaption"/>
            </w:pPr>
            <w:r>
              <w:t xml:space="preserve">Table 2: Location information collected from frequently visited locations.</w:t>
            </w:r>
          </w:p>
          <w:tbl>
            <w:tblPr>
              <w:tblStyle w:val="Table"/>
              <w:tblW w:type="pct" w:w="5000"/>
              <w:tblLook w:firstRow="1" w:lastRow="0" w:firstColumn="0" w:lastColumn="0" w:noHBand="0" w:noVBand="0" w:val="0020"/>
              <w:jc w:val="start"/>
              <w:tblLayout w:type="fixed"/>
            </w:tblPr>
            <w:tblGrid>
              <w:gridCol w:w="2530"/>
              <w:gridCol w:w="5390"/>
            </w:tblGrid>
            <w:tr>
              <w:trPr>
                <w:tblHeader w:val="true"/>
              </w:trPr>
              <w:tc>
                <w:tcPr/>
                <w:p>
                  <w:pPr>
                    <w:pStyle w:val="Compact"/>
                    <w:jc w:val="left"/>
                    <w:jc w:val="center"/>
                  </w:pPr>
                  <w:r>
                    <w:t xml:space="preserve">Question</w:t>
                  </w:r>
                </w:p>
              </w:tc>
              <w:tc>
                <w:tcPr/>
                <w:p>
                  <w:pPr>
                    <w:pStyle w:val="Compact"/>
                    <w:jc w:val="left"/>
                    <w:jc w:val="center"/>
                  </w:pPr>
                  <w:r>
                    <w:t xml:space="preserve">Responses</w:t>
                  </w:r>
                </w:p>
              </w:tc>
            </w:tr>
            <w:tr>
              <w:tc>
                <w:tcPr/>
                <w:p>
                  <w:pPr>
                    <w:pStyle w:val="Compact"/>
                    <w:jc w:val="left"/>
                    <w:jc w:val="center"/>
                  </w:pPr>
                  <w:r>
                    <w:t xml:space="preserve">Address</w:t>
                  </w:r>
                </w:p>
              </w:tc>
              <w:tc>
                <w:tcPr/>
                <w:p>
                  <w:pPr>
                    <w:pStyle w:val="Compact"/>
                  </w:pPr>
                </w:p>
              </w:tc>
            </w:tr>
            <w:tr>
              <w:tc>
                <w:tcPr/>
                <w:p>
                  <w:pPr>
                    <w:pStyle w:val="Compact"/>
                    <w:jc w:val="left"/>
                    <w:jc w:val="center"/>
                  </w:pPr>
                  <w:r>
                    <w:t xml:space="preserve">Type of place</w:t>
                  </w:r>
                </w:p>
              </w:tc>
              <w:tc>
                <w:tcPr/>
                <w:p>
                  <w:pPr>
                    <w:pStyle w:val="Compact"/>
                    <w:jc w:val="left"/>
                    <w:jc w:val="center"/>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jc w:val="center"/>
                  </w:pPr>
                  <w:r>
                    <w:t xml:space="preserve">Have you drank alcohol here before?</w:t>
                  </w:r>
                </w:p>
              </w:tc>
              <w:tc>
                <w:tcPr/>
                <w:p>
                  <w:pPr>
                    <w:pStyle w:val="Compact"/>
                    <w:jc w:val="left"/>
                    <w:jc w:val="center"/>
                  </w:pPr>
                  <w:r>
                    <w:t xml:space="preserve">No, Yes</w:t>
                  </w:r>
                </w:p>
              </w:tc>
            </w:tr>
            <w:tr>
              <w:tc>
                <w:tcPr/>
                <w:p>
                  <w:pPr>
                    <w:pStyle w:val="Compact"/>
                    <w:jc w:val="left"/>
                    <w:jc w:val="center"/>
                  </w:pPr>
                  <w:r>
                    <w:t xml:space="preserve">Is alcohol available here?</w:t>
                  </w:r>
                </w:p>
              </w:tc>
              <w:tc>
                <w:tcPr/>
                <w:p>
                  <w:pPr>
                    <w:pStyle w:val="Compact"/>
                    <w:jc w:val="left"/>
                    <w:jc w:val="center"/>
                  </w:pPr>
                  <w:r>
                    <w:t xml:space="preserve">No, Yes</w:t>
                  </w:r>
                </w:p>
              </w:tc>
            </w:tr>
            <w:tr>
              <w:tc>
                <w:tcPr/>
                <w:p>
                  <w:pPr>
                    <w:pStyle w:val="Compact"/>
                    <w:jc w:val="left"/>
                    <w:jc w:val="center"/>
                  </w:pPr>
                  <w:r>
                    <w:t xml:space="preserve">How would you describe your experiences here?</w:t>
                  </w:r>
                </w:p>
              </w:tc>
              <w:tc>
                <w:tcPr/>
                <w:p>
                  <w:pPr>
                    <w:pStyle w:val="Compact"/>
                    <w:jc w:val="left"/>
                    <w:jc w:val="center"/>
                  </w:pPr>
                  <w:r>
                    <w:t xml:space="preserve">Pleasant, Unpleasant, Mixed, Neutral</w:t>
                  </w:r>
                </w:p>
              </w:tc>
            </w:tr>
            <w:tr>
              <w:tc>
                <w:tcPr/>
                <w:p>
                  <w:pPr>
                    <w:pStyle w:val="Compact"/>
                    <w:jc w:val="left"/>
                    <w:jc w:val="center"/>
                  </w:pPr>
                  <w:r>
                    <w:t xml:space="preserve">Does being at this location put you at any risk to begin drinking?</w:t>
                  </w:r>
                </w:p>
              </w:tc>
              <w:tc>
                <w:tcPr/>
                <w:p>
                  <w:pPr>
                    <w:pStyle w:val="Compact"/>
                    <w:jc w:val="left"/>
                    <w:jc w:val="center"/>
                  </w:pPr>
                  <w:r>
                    <w:t xml:space="preserve">No risk, Low risk, Medium risk, High risk</w:t>
                  </w:r>
                </w:p>
              </w:tc>
            </w:tr>
            <w:tr>
              <w:tc>
                <w:tcPr/>
                <w:p>
                  <w:pPr>
                    <w:pStyle w:val="Compact"/>
                    <w:jc w:val="left"/>
                    <w:jc w:val="center"/>
                  </w:pPr>
                  <w:r>
                    <w:t xml:space="preserve">Did the participant identify this place as a risky location they are trying to avoid now that they are sober?</w:t>
                  </w:r>
                </w:p>
              </w:tc>
              <w:tc>
                <w:tcPr/>
                <w:p>
                  <w:pPr>
                    <w:pStyle w:val="Compact"/>
                    <w:jc w:val="left"/>
                    <w:jc w:val="center"/>
                  </w:pPr>
                  <w:r>
                    <w:t xml:space="preserve">No, Yes</w:t>
                  </w:r>
                </w:p>
              </w:tc>
            </w:tr>
          </w:tbl>
          <w:bookmarkEnd w:id="28"/>
          <w:p/>
        </w:tc>
      </w:tr>
    </w:tbl>
    <w:bookmarkEnd w:id="29"/>
    <w:bookmarkStart w:id="31" w:name="participant-characteristics"/>
    <w:p>
      <w:pPr>
        <w:pStyle w:val="Heading3"/>
      </w:pPr>
      <w:r>
        <w:t xml:space="preserve">Participant characteristics</w:t>
      </w:r>
    </w:p>
    <w:p>
      <w:pPr>
        <w:pStyle w:val="FirstParagraph"/>
      </w:pPr>
      <w:r>
        <w:t xml:space="preserve">Participants completed a baseline measure of demographics and other constructs relevant to lapse at the screening visit, which was used for fairness assessments (</w:t>
      </w:r>
      <w:hyperlink w:anchor="tbl-demo-1">
        <w:r>
          <w:rPr>
            <w:rStyle w:val="Hyperlink"/>
          </w:rPr>
          <w:t xml:space="preserve">Table 3</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0" w:name="tbl-demo-1"/>
          <w:p>
            <w:pPr>
              <w:jc w:val="center"/>
            </w:pPr>
            <w:pPr>
              <w:jc w:val="start"/>
              <w:spacing w:before="200"/>
              <w:pStyle w:val="ImageCaption"/>
            </w:pPr>
            <w:r>
              <w:t xml:space="preserve">Table 3: Demographic and relevant alcohol use history variables sampled at screening visit.</w:t>
            </w:r>
          </w:p>
          <w:tbl>
            <w:tblPr>
              <w:tblStyle w:val="Table"/>
              <w:tblW w:type="pct" w:w="5000"/>
              <w:tblLook w:firstRow="1" w:lastRow="0" w:firstColumn="0" w:lastColumn="0" w:noHBand="0" w:noVBand="0" w:val="0020"/>
              <w:jc w:val="start"/>
              <w:tblLayout w:type="fixed"/>
            </w:tblPr>
            <w:tblGrid>
              <w:gridCol w:w="2860"/>
              <w:gridCol w:w="5060"/>
            </w:tblGrid>
            <w:tr>
              <w:trPr>
                <w:tblHeader w:val="true"/>
              </w:trPr>
              <w:tc>
                <w:tcPr/>
                <w:p>
                  <w:pPr>
                    <w:pStyle w:val="Compact"/>
                    <w:jc w:val="left"/>
                    <w:jc w:val="center"/>
                  </w:pPr>
                  <w:r>
                    <w:t xml:space="preserve">Variable</w:t>
                  </w:r>
                </w:p>
              </w:tc>
              <w:tc>
                <w:tcPr/>
                <w:p>
                  <w:pPr>
                    <w:pStyle w:val="Compact"/>
                    <w:jc w:val="left"/>
                    <w:jc w:val="center"/>
                  </w:pPr>
                  <w:r>
                    <w:t xml:space="preserve">Measure</w:t>
                  </w:r>
                </w:p>
              </w:tc>
            </w:tr>
            <w:tr>
              <w:tc>
                <w:tcPr/>
                <w:p>
                  <w:pPr>
                    <w:pStyle w:val="Compact"/>
                    <w:jc w:val="left"/>
                    <w:jc w:val="center"/>
                  </w:pPr>
                  <w:r>
                    <w:t xml:space="preserve">Demographics</w:t>
                  </w:r>
                </w:p>
              </w:tc>
              <w:tc>
                <w:tcPr/>
                <w:p>
                  <w:pPr>
                    <w:pStyle w:val="Compact"/>
                    <w:jc w:val="left"/>
                    <w:jc w:val="center"/>
                  </w:pPr>
                  <w:r>
                    <w:t xml:space="preserve">Age</w:t>
                  </w:r>
                </w:p>
              </w:tc>
            </w:tr>
            <w:tr>
              <w:tc>
                <w:tcPr/>
                <w:p>
                  <w:pPr>
                    <w:pStyle w:val="Compact"/>
                  </w:pPr>
                </w:p>
              </w:tc>
              <w:tc>
                <w:tcPr/>
                <w:p>
                  <w:pPr>
                    <w:pStyle w:val="Compact"/>
                    <w:jc w:val="left"/>
                    <w:jc w:val="center"/>
                  </w:pPr>
                  <w:r>
                    <w:t xml:space="preserve">Sex</w:t>
                  </w:r>
                </w:p>
              </w:tc>
            </w:tr>
            <w:tr>
              <w:tc>
                <w:tcPr/>
                <w:p>
                  <w:pPr>
                    <w:pStyle w:val="Compact"/>
                  </w:pPr>
                </w:p>
              </w:tc>
              <w:tc>
                <w:tcPr/>
                <w:p>
                  <w:pPr>
                    <w:pStyle w:val="Compact"/>
                    <w:jc w:val="left"/>
                    <w:jc w:val="center"/>
                  </w:pPr>
                  <w:r>
                    <w:t xml:space="preserve">Race</w:t>
                  </w:r>
                </w:p>
              </w:tc>
            </w:tr>
            <w:tr>
              <w:tc>
                <w:tcPr/>
                <w:p>
                  <w:pPr>
                    <w:pStyle w:val="Compact"/>
                  </w:pPr>
                </w:p>
              </w:tc>
              <w:tc>
                <w:tcPr/>
                <w:p>
                  <w:pPr>
                    <w:pStyle w:val="Compact"/>
                    <w:jc w:val="left"/>
                    <w:jc w:val="center"/>
                  </w:pPr>
                  <w:r>
                    <w:t xml:space="preserve">Ethnicity</w:t>
                  </w:r>
                </w:p>
              </w:tc>
            </w:tr>
            <w:tr>
              <w:tc>
                <w:tcPr/>
                <w:p>
                  <w:pPr>
                    <w:pStyle w:val="Compact"/>
                  </w:pPr>
                </w:p>
              </w:tc>
              <w:tc>
                <w:tcPr/>
                <w:p>
                  <w:pPr>
                    <w:pStyle w:val="Compact"/>
                    <w:jc w:val="left"/>
                    <w:jc w:val="center"/>
                  </w:pPr>
                  <w:r>
                    <w:t xml:space="preserve">Employment</w:t>
                  </w:r>
                </w:p>
              </w:tc>
            </w:tr>
            <w:tr>
              <w:tc>
                <w:tcPr/>
                <w:p>
                  <w:pPr>
                    <w:pStyle w:val="Compact"/>
                  </w:pPr>
                </w:p>
              </w:tc>
              <w:tc>
                <w:tcPr/>
                <w:p>
                  <w:pPr>
                    <w:pStyle w:val="Compact"/>
                    <w:jc w:val="left"/>
                    <w:jc w:val="center"/>
                  </w:pPr>
                  <w:r>
                    <w:t xml:space="preserve">Income</w:t>
                  </w:r>
                </w:p>
              </w:tc>
            </w:tr>
            <w:tr>
              <w:tc>
                <w:tcPr/>
                <w:p>
                  <w:pPr>
                    <w:pStyle w:val="Compact"/>
                  </w:pPr>
                </w:p>
              </w:tc>
              <w:tc>
                <w:tcPr/>
                <w:p>
                  <w:pPr>
                    <w:pStyle w:val="Compact"/>
                    <w:jc w:val="left"/>
                    <w:jc w:val="center"/>
                  </w:pPr>
                  <w:r>
                    <w:t xml:space="preserve">Marital Status</w:t>
                  </w:r>
                </w:p>
              </w:tc>
            </w:tr>
            <w:tr>
              <w:tc>
                <w:tcPr/>
                <w:p>
                  <w:pPr>
                    <w:pStyle w:val="Compact"/>
                    <w:jc w:val="left"/>
                    <w:jc w:val="center"/>
                  </w:pPr>
                  <w:r>
                    <w:t xml:space="preserve">Alcohol</w:t>
                  </w:r>
                </w:p>
              </w:tc>
              <w:tc>
                <w:tcPr/>
                <w:p>
                  <w:pPr>
                    <w:pStyle w:val="Compact"/>
                    <w:jc w:val="left"/>
                    <w:jc w:val="center"/>
                  </w:pPr>
                  <w:r>
                    <w:t xml:space="preserve">Alcohol Use History</w:t>
                  </w:r>
                </w:p>
              </w:tc>
            </w:tr>
            <w:tr>
              <w:tc>
                <w:tcPr/>
                <w:p>
                  <w:pPr>
                    <w:pStyle w:val="Compact"/>
                  </w:pPr>
                </w:p>
              </w:tc>
              <w:tc>
                <w:tcPr/>
                <w:p>
                  <w:pPr>
                    <w:pStyle w:val="Compact"/>
                    <w:jc w:val="left"/>
                    <w:jc w:val="center"/>
                  </w:pPr>
                  <w:r>
                    <w:t xml:space="preserve">DSM-5 Checklist for AUD</w:t>
                  </w:r>
                </w:p>
              </w:tc>
            </w:tr>
            <w:tr>
              <w:tc>
                <w:tcPr/>
                <w:p>
                  <w:pPr>
                    <w:pStyle w:val="Compact"/>
                  </w:pPr>
                </w:p>
              </w:tc>
              <w:tc>
                <w:tcPr/>
                <w:p>
                  <w:pPr>
                    <w:pStyle w:val="Compact"/>
                    <w:jc w:val="left"/>
                    <w:jc w:val="center"/>
                  </w:pPr>
                  <w:r>
                    <w:t xml:space="preserve">Young Adult Alcohol Problems Test</w:t>
                  </w:r>
                </w:p>
              </w:tc>
            </w:tr>
            <w:tr>
              <w:tc>
                <w:tcPr/>
                <w:p>
                  <w:pPr>
                    <w:pStyle w:val="Compact"/>
                  </w:pPr>
                </w:p>
              </w:tc>
              <w:tc>
                <w:tcPr/>
                <w:p>
                  <w:pPr>
                    <w:pStyle w:val="Compact"/>
                    <w:jc w:val="left"/>
                    <w:jc w:val="center"/>
                  </w:pPr>
                  <w:r>
                    <w:t xml:space="preserve">WHO-The Alcohol, Smoking and Substance Involvement Screening Test</w:t>
                  </w:r>
                </w:p>
              </w:tc>
            </w:tr>
          </w:tbl>
          <w:bookmarkEnd w:id="30"/>
          <w:p/>
        </w:tc>
      </w:tr>
    </w:tbl>
    <w:bookmarkEnd w:id="31"/>
    <w:bookmarkStart w:id="32" w:name="lapses"/>
    <w:p>
      <w:pPr>
        <w:pStyle w:val="Heading3"/>
      </w:pPr>
      <w:r>
        <w:t xml:space="preserve">Lapses</w:t>
      </w:r>
    </w:p>
    <w:p>
      <w:pPr>
        <w:pStyle w:val="FirstParagraph"/>
      </w:pPr>
      <w:r>
        <w:t xml:space="preserve">Alcohol lapses were used as the outcome variable in this study and were used to provide labels for model training, for testing model performance, and for testing issues of algorithmic fairness across our predefined subgroups. Future lapse occurrence (here conceptualized as next-day lapse) was be predicted in 24-hour windows, beginning at 4:00am on a participant’s second day of participation to ensure one full day of data collection for the first window, and at every subsequent day on study thereafter.</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were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was labeled</w:t>
      </w:r>
      <w:r>
        <w:t xml:space="preserve"> </w:t>
      </w:r>
      <w:r>
        <w:rPr>
          <w:iCs/>
          <w:i/>
        </w:rPr>
        <w:t xml:space="preserve">lapse</w:t>
      </w:r>
      <w:r>
        <w:t xml:space="preserve">. Prediction windows were labeled</w:t>
      </w:r>
      <w:r>
        <w:t xml:space="preserve"> </w:t>
      </w:r>
      <w:r>
        <w:rPr>
          <w:iCs/>
          <w:i/>
        </w:rPr>
        <w:t xml:space="preserve">no lapse</w:t>
      </w:r>
      <w:r>
        <w:t xml:space="preserve"> </w:t>
      </w:r>
      <w:r>
        <w:t xml:space="preserve">if no alcohol use was reported within that window.</w:t>
      </w:r>
    </w:p>
    <w:bookmarkEnd w:id="32"/>
    <w:bookmarkStart w:id="33"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was used to transform raw data from geolocation data collected the prior day.</w:t>
      </w:r>
    </w:p>
    <w:p>
      <w:pPr>
        <w:pStyle w:val="BodyText"/>
      </w:pPr>
      <w:r>
        <w:t xml:space="preserve">Features from geolocation data were generated that utilized both contextual information collected from monthly surveys (e.g., location valence, perceived riskiness) as well as features that were independent of further individual input (e.g., location variance, time spent out of the home in the evening).</w:t>
      </w:r>
      <w:r>
        <w:t xml:space="preserve"> </w:t>
      </w:r>
      <w:r>
        <w:t xml:space="preserve"> </w:t>
      </w:r>
      <w:r>
        <w:t xml:space="preserve">All features were calculated both as raw and change features based on previous geolocation data (i.e., change from past 6, 12, 24, 48, 72, and 168 hour periods)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3"/>
    <w:bookmarkStart w:id="34" w:name="algorithm-development-performance"/>
    <w:p>
      <w:pPr>
        <w:pStyle w:val="Heading3"/>
      </w:pPr>
      <w:r>
        <w:t xml:space="preserve">Algorithm development &amp; performance</w:t>
      </w:r>
    </w:p>
    <w:p>
      <w:pPr>
        <w:pStyle w:val="FirstParagraph"/>
      </w:pPr>
      <w:r>
        <w:t xml:space="preserve">Several configurations of the XGBoost machine learning algorithm were considered which varied across a relevant and appropriate range of model-specific hyperparameters (mtry, tree depth, learning rate) as well as resampling techniques (up-sampling of the positive class, lapse, and down-sampling of the negative class, no lapse).</w:t>
      </w:r>
    </w:p>
    <w:p>
      <w:pPr>
        <w:pStyle w:val="BodyText"/>
      </w:pPr>
      <w:r>
        <w:t xml:space="preserve">Models were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of the validation set was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was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were computed as interpretability metrics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continuous risk monitoring system. However, these are descriptive analyses because standard errors or other indices of uncertainty for importance scores are not available for SHAP values.</w:t>
      </w:r>
    </w:p>
    <w:p>
      <w:pPr>
        <w:pStyle w:val="BodyText"/>
      </w:pPr>
      <w:r>
        <w:t xml:space="preserve">Finally, a Bayesian hierarchical generalized linear model was used to estimate the posterior probability distributions and 95% Bayesian credible intervals (CIs) for auROC.</w:t>
      </w:r>
    </w:p>
    <w:bookmarkEnd w:id="34"/>
    <w:bookmarkStart w:id="35" w:name="algorithmic-fairness"/>
    <w:p>
      <w:pPr>
        <w:pStyle w:val="Heading3"/>
      </w:pPr>
      <w:r>
        <w:t xml:space="preserve">Algorithmic fairness</w:t>
      </w:r>
    </w:p>
    <w:p>
      <w:pPr>
        <w:pStyle w:val="FirstParagraph"/>
      </w:pPr>
      <w:r>
        <w:t xml:space="preserve">Subgroups were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w:t>
      </w:r>
    </w:p>
    <w:p>
      <w:pPr>
        <w:pStyle w:val="BodyText"/>
      </w:pPr>
      <w:r>
        <w:t xml:space="preserve">A Bayesian hierarchical generalized linear model was used to estimate the posterior probability distributions and 95% Bayesian CIs for auROC across four subgroups of participants: white versus non-white, younger than 55 versus equal to and older than 55, below or above the federal poverty line (citation), and sex (male versus female).</w:t>
      </w:r>
    </w:p>
    <w:bookmarkEnd w:id="35"/>
    <w:bookmarkEnd w:id="36"/>
    <w:bookmarkStart w:id="76" w:name="results"/>
    <w:p>
      <w:pPr>
        <w:pStyle w:val="Heading2"/>
      </w:pPr>
      <w:r>
        <w:t xml:space="preserve">Results</w:t>
      </w:r>
    </w:p>
    <w:p>
      <w:pPr>
        <w:pStyle w:val="FirstParagraph"/>
      </w:pPr>
      <w:r>
        <w:rPr>
          <w:vertAlign w:val="subscript"/>
        </w:rPr>
        <w:t xml:space="preserve">Source:</w:t>
      </w:r>
      <w:r>
        <w:rPr>
          <w:vertAlign w:val="subscript"/>
        </w:rPr>
        <w:t xml:space="preserve"> </w:t>
      </w:r>
      <w:hyperlink r:id="rId37">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Start w:id="42" w:name="demographics"/>
    <w:p>
      <w:pPr>
        <w:pStyle w:val="Heading3"/>
      </w:pPr>
      <w:r>
        <w:t xml:space="preserve">Demographics</w:t>
      </w:r>
    </w:p>
    <w:p>
      <w:pPr>
        <w:pStyle w:val="FirstParagraph"/>
      </w:pPr>
      <w:r>
        <w:t xml:space="preserve">A total of 192 individuals were eligible to participate in the study, of which 191 consented to participate and 169 enrolled in the study. Fifteen participants were excluded prior to the first monthly follow-up visit. One participant was excluded for not maintaining a recovery goal of abstinence during their time on study. Two participants were excluded due to evidence of low compliance and careless responding. A further five individuals were excluded due to poor geolocation data quality as a result of insufficient data (resulting from software incompatibility and/or very limited mobility), resulting in a final sample size of 146.</w:t>
      </w:r>
    </w:p>
    <w:p>
      <w:pPr>
        <w:pStyle w:val="BodyText"/>
      </w:pPr>
      <w:r>
        <w:t xml:space="preserve">The average age of the final sample was 40.9 years (SD = 12 years, range = 21-72 years). There was an approximately equal number of men (n = 74, 50.7%) and women (n = 72, 49.3%). The majority of the sample was White/Caucasian (n = 127, 86.99%) and non-Hispanic (n = 142, n = 97%). The mean income of participants was $34,408 (SD = $32,259, range = $0-$200,000). On average, participants self-reported a mean number of 8.9 DSM-V symptoms of AUD (range = 4-11). A detailed breakdown of participant characteristics is presented in</w:t>
      </w:r>
      <w:r>
        <w:t xml:space="preserve"> </w:t>
      </w:r>
      <w:hyperlink w:anchor="fig-demo-2">
        <w:r>
          <w:rPr>
            <w:rStyle w:val="Hyperlink"/>
          </w:rPr>
          <w:t xml:space="preserve">Figure 1</w:t>
        </w:r>
      </w:hyperlink>
      <w:r>
        <w:t xml:space="preserve">.</w:t>
      </w:r>
    </w:p>
    <w:p>
      <w:pPr>
        <w:pStyle w:val="BodyText"/>
      </w:pPr>
      <w:r>
        <w:t xml:space="preserve">output: true</w:t>
      </w:r>
      <w:r>
        <w:t xml:space="preserve"> </w:t>
      </w:r>
      <w:r>
        <w:t xml:space="preserve">label: tbl-demo-2</w:t>
      </w:r>
    </w:p>
    <w:tbl>
      <w:tblPr>
        <w:tblStyle w:val="Table"/>
        <w:tblW w:type="pct" w:w="5000"/>
        <w:tblLook w:firstRow="0" w:lastRow="0" w:firstColumn="0" w:lastColumn="0" w:noHBand="0" w:noVBand="0" w:val="0000"/>
        <w:jc w:val="start"/>
        <w:tblLayout w:type="fixed"/>
      </w:tblPr>
      <w:tblGrid>
        <w:gridCol w:w="7920"/>
      </w:tblGrid>
      <w:tr>
        <w:tc>
          <w:tcPr/>
          <w:bookmarkStart w:id="41" w:name="fig-demo-2"/>
          <w:p>
            <w:pPr>
              <w:pStyle w:val="Compact"/>
              <w:jc w:val="center"/>
            </w:pPr>
            <w:r>
              <w:drawing>
                <wp:inline>
                  <wp:extent cx="2987855" cy="8608816"/>
                  <wp:effectExtent b="0" l="0" r="0" t="0"/>
                  <wp:docPr descr="" title="" id="39" name="Picture"/>
                  <a:graphic>
                    <a:graphicData uri="http://schemas.openxmlformats.org/drawingml/2006/picture">
                      <pic:pic>
                        <pic:nvPicPr>
                          <pic:cNvPr descr="objects/table.png" id="40" name="Picture"/>
                          <pic:cNvPicPr>
                            <a:picLocks noChangeArrowheads="1" noChangeAspect="1"/>
                          </pic:cNvPicPr>
                        </pic:nvPicPr>
                        <pic:blipFill>
                          <a:blip r:embed="rId38"/>
                          <a:stretch>
                            <a:fillRect/>
                          </a:stretch>
                        </pic:blipFill>
                        <pic:spPr bwMode="auto">
                          <a:xfrm>
                            <a:off x="0" y="0"/>
                            <a:ext cx="2987855" cy="860881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Test</w:t>
            </w:r>
          </w:p>
          <w:bookmarkEnd w:id="41"/>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Article Notebook</w:t>
        </w:r>
      </w:hyperlink>
    </w:p>
    <w:bookmarkEnd w:id="42"/>
    <w:bookmarkStart w:id="63" w:name="model-evaluation-1"/>
    <w:p>
      <w:pPr>
        <w:pStyle w:val="Heading3"/>
      </w:pPr>
      <w:r>
        <w:t xml:space="preserve">Model Evaluation</w:t>
      </w:r>
    </w:p>
    <w:p>
      <w:pPr>
        <w:pStyle w:val="FirstParagraph"/>
      </w:pPr>
      <w:r>
        <w:t xml:space="preserve">We selected and evaluated the best performing XGBoost model from our validation set. This may result in a slight optimism bias in our model performance, though we believe this is largely offset through our use of 10 x 30 cross-validation (which averages model performance across 300 folds). However, evaluating the validation set was important to do because model development is still in progress, and as such it would not have been appropriate to examine independent test set performance at this stage.</w:t>
      </w:r>
    </w:p>
    <w:p>
      <w:pPr>
        <w:pStyle w:val="BodyText"/>
      </w:pPr>
      <w:r>
        <w:t xml:space="preserve">The median auROC across the 300 folds achieved fair performance (</w:t>
      </w:r>
      <w:r>
        <w:rPr>
          <w:iCs/>
          <w:i/>
        </w:rPr>
        <w:t xml:space="preserve">Mdn</w:t>
      </w:r>
      <w:r>
        <w:t xml:space="preserve"> </w:t>
      </w:r>
      <w:r>
        <w:t xml:space="preserve">= 0.712).</w:t>
      </w:r>
      <w:r>
        <w:t xml:space="preserve"> </w:t>
      </w:r>
      <w:hyperlink w:anchor="fig-auroc-histogram">
        <w:r>
          <w:rPr>
            <w:rStyle w:val="Hyperlink"/>
          </w:rPr>
          <w:t xml:space="preserve">Figure 2</w:t>
        </w:r>
      </w:hyperlink>
      <w:r>
        <w:t xml:space="preserve"> </w:t>
      </w:r>
      <w:r>
        <w:t xml:space="preserve">displays a histogram of model performance distribution across all folds. A receiver operating characteristic curve is displayed in</w:t>
      </w:r>
      <w:r>
        <w:t xml:space="preserve"> </w:t>
      </w:r>
      <w:hyperlink w:anchor="fig-auroc-plot">
        <w:r>
          <w:rPr>
            <w:rStyle w:val="Hyperlink"/>
          </w:rPr>
          <w:t xml:space="preserve">Figure 3</w:t>
        </w:r>
      </w:hyperlink>
      <w:r>
        <w:t xml:space="preserve">, representing aggregate predicted lapse probabilities across all 300 folds of the validation set.</w:t>
      </w:r>
    </w:p>
    <w:p>
      <w:pPr>
        <w:pStyle w:val="BodyText"/>
      </w:pPr>
      <w:r>
        <w:t xml:space="preserve">Posterior probability distributions for the auROCs for our best performing validation set model were used to formally characterize model performance. The median auROC was 0.714 (95% CI [0.70-0.73]), indicating that there is a probability &gt; .95 that our model is performing above chance (i.e., auROC &gt; .5;</w:t>
      </w:r>
      <w:r>
        <w:t xml:space="preserve"> </w:t>
      </w:r>
      <w:hyperlink w:anchor="fig-pp">
        <w:r>
          <w:rPr>
            <w:rStyle w:val="Hyperlink"/>
          </w:rPr>
          <w:t xml:space="preserve">Figure 4</w:t>
        </w:r>
      </w:hyperlink>
      <w:r>
        <w:t xml:space="preserve">).</w:t>
      </w:r>
    </w:p>
    <w:p>
      <w:pPr>
        <w:pStyle w:val="BodyText"/>
      </w:pPr>
      <w:r>
        <w:t xml:space="preserve">Finally, we performed model calibration in order to improve our trust in model predictions. Results of model calibration are displayed in</w:t>
      </w:r>
      <w:r>
        <w:t xml:space="preserve"> </w:t>
      </w:r>
      <w:hyperlink w:anchor="fig-calibration">
        <w:r>
          <w:rPr>
            <w:rStyle w:val="Hyperlink"/>
          </w:rPr>
          <w:t xml:space="preserve">Figure 5</w:t>
        </w:r>
      </w:hyperlink>
      <w:r>
        <w:t xml:space="preserve">, showing that this model</w:t>
      </w:r>
      <w:r>
        <w:t xml:space="preserve"> </w:t>
      </w:r>
      <w:r>
        <w:rPr>
          <w:iCs/>
          <w:i/>
        </w:rPr>
        <w:t xml:space="preserve">over</w:t>
      </w:r>
      <w:r>
        <w:t xml:space="preserve"> </w:t>
      </w:r>
      <w:r>
        <w:t xml:space="preserve">predicts lapse probability even after calibrating the model. In other words, our model is more likely to predict that an individual will lapse than the true rate of lapse in our sample.</w:t>
      </w:r>
    </w:p>
    <w:tbl>
      <w:tblPr>
        <w:tblStyle w:val="Table"/>
        <w:tblW w:type="pct" w:w="5000"/>
        <w:tblLook w:firstRow="0" w:lastRow="0" w:firstColumn="0" w:lastColumn="0" w:noHBand="0" w:noVBand="0" w:val="0000"/>
        <w:jc w:val="start"/>
        <w:tblLayout w:type="fixed"/>
      </w:tblPr>
      <w:tblGrid>
        <w:gridCol w:w="7920"/>
      </w:tblGrid>
      <w:tr>
        <w:tc>
          <w:tcPr/>
          <w:bookmarkStart w:id="46" w:name="fig-auroc-histogram"/>
          <w:p>
            <w:pPr>
              <w:pStyle w:val="Compact"/>
              <w:jc w:val="center"/>
            </w:pPr>
            <w:r>
              <w:drawing>
                <wp:inline>
                  <wp:extent cx="5334000" cy="5334000"/>
                  <wp:effectExtent b="0" l="0" r="0" t="0"/>
                  <wp:docPr descr="" title="" id="44" name="Picture"/>
                  <a:graphic>
                    <a:graphicData uri="http://schemas.openxmlformats.org/drawingml/2006/picture">
                      <pic:pic>
                        <pic:nvPicPr>
                          <pic:cNvPr descr="index_files/figure-docx/notebooks-auROC_distribution_posterior-fig-auroc-histogram-output-1.png"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auROC performance across all inner cross-validation folds.</w:t>
            </w:r>
          </w:p>
          <w:bookmarkEnd w:id="46"/>
        </w:tc>
      </w:tr>
    </w:tbl>
    <w:p>
      <w:pPr>
        <w:pStyle w:val="BodyText"/>
      </w:pPr>
      <w:r>
        <w:rPr>
          <w:vertAlign w:val="subscript"/>
        </w:rPr>
        <w:t xml:space="preserve">Source:</w:t>
      </w:r>
      <w:r>
        <w:rPr>
          <w:vertAlign w:val="subscript"/>
        </w:rPr>
        <w:t xml:space="preserve"> </w:t>
      </w:r>
      <w:hyperlink r:id="rId4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51" w:name="fig-auroc-plot"/>
          <w:p>
            <w:pPr>
              <w:pStyle w:val="Compact"/>
              <w:jc w:val="center"/>
            </w:pPr>
            <w:r>
              <w:drawing>
                <wp:inline>
                  <wp:extent cx="5334000" cy="5334000"/>
                  <wp:effectExtent b="0" l="0" r="0" t="0"/>
                  <wp:docPr descr="" title="" id="49" name="Picture"/>
                  <a:graphic>
                    <a:graphicData uri="http://schemas.openxmlformats.org/drawingml/2006/picture">
                      <pic:pic>
                        <pic:nvPicPr>
                          <pic:cNvPr descr="index_files/figure-docx/notebooks-auROC_plot-fig-auroc-plot-output-2.png" id="5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auROC for overall validation set performance across thresholds.</w:t>
            </w:r>
          </w:p>
          <w:bookmarkEnd w:id="51"/>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Generate auROC plot for main models of training jobs from CHTC for gps</w:t>
        </w:r>
      </w:hyperlink>
    </w:p>
    <w:tbl>
      <w:tblPr>
        <w:tblStyle w:val="Table"/>
        <w:tblW w:type="pct" w:w="5000"/>
        <w:tblLook w:firstRow="0" w:lastRow="0" w:firstColumn="0" w:lastColumn="0" w:noHBand="0" w:noVBand="0" w:val="0000"/>
        <w:jc w:val="start"/>
        <w:tblLayout w:type="fixed"/>
      </w:tblPr>
      <w:tblGrid>
        <w:gridCol w:w="7920"/>
      </w:tblGrid>
      <w:tr>
        <w:tc>
          <w:tcPr/>
          <w:bookmarkStart w:id="56" w:name="fig-pp"/>
          <w:p>
            <w:pPr>
              <w:pStyle w:val="Compact"/>
              <w:jc w:val="center"/>
            </w:pPr>
            <w:r>
              <w:drawing>
                <wp:inline>
                  <wp:extent cx="5334000" cy="5334000"/>
                  <wp:effectExtent b="0" l="0" r="0" t="0"/>
                  <wp:docPr descr="" title="" id="54" name="Picture"/>
                  <a:graphic>
                    <a:graphicData uri="http://schemas.openxmlformats.org/drawingml/2006/picture">
                      <pic:pic>
                        <pic:nvPicPr>
                          <pic:cNvPr descr="index_files/figure-docx/notebooks-auROC_distribution_posterior-fig-pp-output-1.png" id="55" name="Picture"/>
                          <pic:cNvPicPr>
                            <a:picLocks noChangeArrowheads="1" noChangeAspect="1"/>
                          </pic:cNvPicPr>
                        </pic:nvPicPr>
                        <pic:blipFill>
                          <a:blip r:embed="rId53"/>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Posterior distribution of model performance with 95% credible interval.</w:t>
            </w:r>
          </w:p>
          <w:bookmarkEnd w:id="56"/>
        </w:tc>
      </w:tr>
    </w:tbl>
    <w:p>
      <w:pPr>
        <w:pStyle w:val="BodyText"/>
      </w:pPr>
      <w:r>
        <w:rPr>
          <w:vertAlign w:val="subscript"/>
        </w:rPr>
        <w:t xml:space="preserve">Source:</w:t>
      </w:r>
      <w:r>
        <w:rPr>
          <w:vertAlign w:val="subscript"/>
        </w:rPr>
        <w:t xml:space="preserve"> </w:t>
      </w:r>
      <w:hyperlink r:id="rId57">
        <w:r>
          <w:rPr>
            <w:rStyle w:val="Hyperlink"/>
            <w:vertAlign w:val="subscript"/>
          </w:rPr>
          <w:t xml:space="preserve">Evaluate inner auROC for main models of training jobs from CHTC for</w:t>
        </w:r>
      </w:hyperlink>
    </w:p>
    <w:tbl>
      <w:tblPr>
        <w:tblStyle w:val="Table"/>
        <w:tblW w:type="pct" w:w="5000"/>
        <w:tblLook w:firstRow="0" w:lastRow="0" w:firstColumn="0" w:lastColumn="0" w:noHBand="0" w:noVBand="0" w:val="0000"/>
        <w:jc w:val="start"/>
        <w:tblLayout w:type="fixed"/>
      </w:tblPr>
      <w:tblGrid>
        <w:gridCol w:w="7920"/>
      </w:tblGrid>
      <w:tr>
        <w:tc>
          <w:tcPr/>
          <w:bookmarkStart w:id="61" w:name="fig-calibration"/>
          <w:p>
            <w:pPr>
              <w:pStyle w:val="Compact"/>
              <w:jc w:val="center"/>
            </w:pPr>
            <w:r>
              <w:drawing>
                <wp:inline>
                  <wp:extent cx="5334000" cy="5334000"/>
                  <wp:effectExtent b="0" l="0" r="0" t="0"/>
                  <wp:docPr descr="" title="" id="59" name="Picture"/>
                  <a:graphic>
                    <a:graphicData uri="http://schemas.openxmlformats.org/drawingml/2006/picture">
                      <pic:pic>
                        <pic:nvPicPr>
                          <pic:cNvPr descr="index_files/figure-docx/notebooks-calibration_plot-fig-calibration-output-2.png" id="60" name="Picture"/>
                          <pic:cNvPicPr>
                            <a:picLocks noChangeArrowheads="1" noChangeAspect="1"/>
                          </pic:cNvPicPr>
                        </pic:nvPicPr>
                        <pic:blipFill>
                          <a:blip r:embed="rId58"/>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Comparison between raw (uncalibrated) and logistic (calibrated) probabilities.</w:t>
            </w:r>
          </w:p>
          <w:bookmarkEnd w:id="61"/>
        </w:tc>
      </w:tr>
    </w:tbl>
    <w:p>
      <w:pPr>
        <w:pStyle w:val="BodyText"/>
      </w:pPr>
      <w:r>
        <w:rPr>
          <w:vertAlign w:val="subscript"/>
        </w:rPr>
        <w:t xml:space="preserve">Source:</w:t>
      </w:r>
      <w:r>
        <w:rPr>
          <w:vertAlign w:val="subscript"/>
        </w:rPr>
        <w:t xml:space="preserve"> </w:t>
      </w:r>
      <w:hyperlink r:id="rId62">
        <w:r>
          <w:rPr>
            <w:rStyle w:val="Hyperlink"/>
            <w:vertAlign w:val="subscript"/>
          </w:rPr>
          <w:t xml:space="preserve">Generate INNER calibration</w:t>
        </w:r>
      </w:hyperlink>
    </w:p>
    <w:bookmarkEnd w:id="63"/>
    <w:bookmarkStart w:id="69" w:name="feature-importance"/>
    <w:p>
      <w:pPr>
        <w:pStyle w:val="Heading3"/>
      </w:pPr>
      <w:r>
        <w:t xml:space="preserve">Feature Importance</w:t>
      </w:r>
    </w:p>
    <w:p>
      <w:pPr>
        <w:pStyle w:val="FirstParagraph"/>
      </w:pPr>
      <w:r>
        <w:t xml:space="preserve">Global importance (mean absolute Shapley values) for feature categories is shown in</w:t>
      </w:r>
      <w:r>
        <w:t xml:space="preserve"> </w:t>
      </w:r>
      <w:hyperlink w:anchor="fig-shaps-group">
        <w:r>
          <w:rPr>
            <w:rStyle w:val="Hyperlink"/>
          </w:rPr>
          <w:t xml:space="preserve">Figure 6</w:t>
        </w:r>
      </w:hyperlink>
      <w:r>
        <w:t xml:space="preserve">. Three aggregated feature categories were identified as being particularly important in contributing to model predictions: time spent at risky locations, time spent at different types of location, and time spent at locations with varying levels of alcohol availability. Other aggregated feature groups, both context-supplemented and without, did not appear to be strong and unique global contributors to model predictions.</w:t>
      </w:r>
    </w:p>
    <w:tbl>
      <w:tblPr>
        <w:tblStyle w:val="Table"/>
        <w:tblW w:type="pct" w:w="5000"/>
        <w:tblLook w:firstRow="0" w:lastRow="0" w:firstColumn="0" w:lastColumn="0" w:noHBand="0" w:noVBand="0" w:val="0000"/>
        <w:jc w:val="start"/>
        <w:tblLayout w:type="fixed"/>
      </w:tblPr>
      <w:tblGrid>
        <w:gridCol w:w="7920"/>
      </w:tblGrid>
      <w:tr>
        <w:tc>
          <w:tcPr/>
          <w:bookmarkStart w:id="67" w:name="fig-shaps-group"/>
          <w:p>
            <w:pPr>
              <w:pStyle w:val="Compact"/>
              <w:jc w:val="center"/>
            </w:pPr>
            <w:r>
              <w:drawing>
                <wp:inline>
                  <wp:extent cx="5334000" cy="5334000"/>
                  <wp:effectExtent b="0" l="0" r="0" t="0"/>
                  <wp:docPr descr="" title="" id="65" name="Picture"/>
                  <a:graphic>
                    <a:graphicData uri="http://schemas.openxmlformats.org/drawingml/2006/picture">
                      <pic:pic>
                        <pic:nvPicPr>
                          <pic:cNvPr descr="index_files/figure-docx/notebooks-shaps-fig-shaps-group-output-1.png" id="66" name="Picture"/>
                          <pic:cNvPicPr>
                            <a:picLocks noChangeArrowheads="1" noChangeAspect="1"/>
                          </pic:cNvPicPr>
                        </pic:nvPicPr>
                        <pic:blipFill>
                          <a:blip r:embed="rId64"/>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Grouped (mean absolute values) SHAP values displaying relative feature importance.</w:t>
            </w:r>
          </w:p>
          <w:bookmarkEnd w:id="67"/>
        </w:tc>
      </w:tr>
    </w:tbl>
    <w:p>
      <w:pPr>
        <w:pStyle w:val="BodyText"/>
      </w:pPr>
      <w:r>
        <w:rPr>
          <w:vertAlign w:val="subscript"/>
        </w:rPr>
        <w:t xml:space="preserve">Source:</w:t>
      </w:r>
      <w:r>
        <w:rPr>
          <w:vertAlign w:val="subscript"/>
        </w:rPr>
        <w:t xml:space="preserve"> </w:t>
      </w:r>
      <w:hyperlink r:id="rId68">
        <w:r>
          <w:rPr>
            <w:rStyle w:val="Hyperlink"/>
            <w:vertAlign w:val="subscript"/>
          </w:rPr>
          <w:t xml:space="preserve">SHAPs</w:t>
        </w:r>
      </w:hyperlink>
    </w:p>
    <w:bookmarkEnd w:id="69"/>
    <w:bookmarkStart w:id="75" w:name="algorithmic-fairness-1"/>
    <w:p>
      <w:pPr>
        <w:pStyle w:val="Heading3"/>
      </w:pPr>
      <w:r>
        <w:t xml:space="preserve">Algorithmic Fairness</w:t>
      </w:r>
    </w:p>
    <w:p>
      <w:pPr>
        <w:pStyle w:val="FirstParagraph"/>
      </w:pPr>
      <w:hyperlink w:anchor="fig-fairness-subgroups">
        <w:r>
          <w:rPr>
            <w:rStyle w:val="Hyperlink"/>
          </w:rPr>
          <w:t xml:space="preserve">Figure 7</w:t>
        </w:r>
      </w:hyperlink>
      <w:r>
        <w:t xml:space="preserve"> </w:t>
      </w:r>
      <w:r>
        <w:t xml:space="preserve">shows differences in model performance across race (</w:t>
      </w:r>
      <w:r>
        <w:rPr>
          <w:iCs/>
          <w:i/>
        </w:rPr>
        <w:t xml:space="preserve">N</w:t>
      </w:r>
      <w:r>
        <w:t xml:space="preserve"> </w:t>
      </w:r>
      <w:r>
        <w:t xml:space="preserve">white = 127,</w:t>
      </w:r>
      <w:r>
        <w:t xml:space="preserve"> </w:t>
      </w:r>
      <w:r>
        <w:rPr>
          <w:iCs/>
          <w:i/>
        </w:rPr>
        <w:t xml:space="preserve">N</w:t>
      </w:r>
      <w:r>
        <w:t xml:space="preserve"> </w:t>
      </w:r>
      <w:r>
        <w:t xml:space="preserve">non-white = 19), sex (</w:t>
      </w:r>
      <w:r>
        <w:rPr>
          <w:iCs/>
          <w:i/>
        </w:rPr>
        <w:t xml:space="preserve">N</w:t>
      </w:r>
      <w:r>
        <w:t xml:space="preserve"> </w:t>
      </w:r>
      <w:r>
        <w:t xml:space="preserve">male = 74,</w:t>
      </w:r>
      <w:r>
        <w:t xml:space="preserve"> </w:t>
      </w:r>
      <w:r>
        <w:rPr>
          <w:iCs/>
          <w:i/>
        </w:rPr>
        <w:t xml:space="preserve">N</w:t>
      </w:r>
      <w:r>
        <w:t xml:space="preserve"> </w:t>
      </w:r>
      <w:r>
        <w:t xml:space="preserve">female = 72), age (</w:t>
      </w:r>
      <w:r>
        <w:rPr>
          <w:iCs/>
          <w:i/>
        </w:rPr>
        <w:t xml:space="preserve">N</w:t>
      </w:r>
      <w:r>
        <w:t xml:space="preserve"> </w:t>
      </w:r>
      <w:r>
        <w:t xml:space="preserve">younger than 55 = 126,</w:t>
      </w:r>
      <w:r>
        <w:t xml:space="preserve"> </w:t>
      </w:r>
      <w:r>
        <w:rPr>
          <w:iCs/>
          <w:i/>
        </w:rPr>
        <w:t xml:space="preserve">N</w:t>
      </w:r>
      <w:r>
        <w:t xml:space="preserve"> </w:t>
      </w:r>
      <w:r>
        <w:t xml:space="preserve">older than or equal to 55 = 20), and income (</w:t>
      </w:r>
      <w:r>
        <w:rPr>
          <w:iCs/>
          <w:i/>
        </w:rPr>
        <w:t xml:space="preserve">N</w:t>
      </w:r>
      <w:r>
        <w:t xml:space="preserve"> </w:t>
      </w:r>
      <w:r>
        <w:t xml:space="preserve">below federal poverty line = 48,</w:t>
      </w:r>
      <w:r>
        <w:t xml:space="preserve"> </w:t>
      </w:r>
      <w:r>
        <w:rPr>
          <w:iCs/>
          <w:i/>
        </w:rPr>
        <w:t xml:space="preserve">N</w:t>
      </w:r>
      <w:r>
        <w:t xml:space="preserve"> </w:t>
      </w:r>
      <w:r>
        <w:t xml:space="preserve">above federal poverty line = 98). All group comparisons were reliably different (probability &gt; .95) across models, such that identities with higher assumed privilege were associated with improved model performance. White, non-Hispanic participants demonstrated 0.055 greater model performance than Hispanic and/or non-white participants (range=0.026-0.083, probability=1.000). Male participants demonstrated 0.036 greater model performance than female participants (range=0.012-0.060, probability=0.999). Younger participants demonstrated 0.106 greater model performance than older participants (range=0.080-0.133, probability=1.000). Finally, participants above the poverty line demonstrated 0.056 greater model performance than those below the poverty line (range=0.033-0.079, probability=1.000).</w:t>
      </w:r>
    </w:p>
    <w:tbl>
      <w:tblPr>
        <w:tblStyle w:val="Table"/>
        <w:tblW w:type="pct" w:w="5000"/>
        <w:tblLook w:firstRow="0" w:lastRow="0" w:firstColumn="0" w:lastColumn="0" w:noHBand="0" w:noVBand="0" w:val="0000"/>
        <w:jc w:val="start"/>
        <w:tblLayout w:type="fixed"/>
      </w:tblPr>
      <w:tblGrid>
        <w:gridCol w:w="7920"/>
      </w:tblGrid>
      <w:tr>
        <w:tc>
          <w:tcPr/>
          <w:bookmarkStart w:id="73" w:name="fig-fairness-subgroups"/>
          <w:p>
            <w:pPr>
              <w:pStyle w:val="Compact"/>
              <w:jc w:val="center"/>
            </w:pPr>
            <w:r>
              <w:drawing>
                <wp:inline>
                  <wp:extent cx="5334000" cy="5334000"/>
                  <wp:effectExtent b="0" l="0" r="0" t="0"/>
                  <wp:docPr descr="" title="" id="71" name="Picture"/>
                  <a:graphic>
                    <a:graphicData uri="http://schemas.openxmlformats.org/drawingml/2006/picture">
                      <pic:pic>
                        <pic:nvPicPr>
                          <pic:cNvPr descr="index_files/figure-docx/notebooks-fairness-fig-fairness-subgroups-output-1.png" id="72" name="Picture"/>
                          <pic:cNvPicPr>
                            <a:picLocks noChangeArrowheads="1" noChangeAspect="1"/>
                          </pic:cNvPicPr>
                        </pic:nvPicPr>
                        <pic:blipFill>
                          <a:blip r:embed="rId70"/>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95% credible intervals across posterior subgroups at differential levels of privilege.</w:t>
            </w:r>
          </w:p>
          <w:bookmarkEnd w:id="73"/>
        </w:tc>
      </w:tr>
    </w:tbl>
    <w:p>
      <w:pPr>
        <w:pStyle w:val="BodyText"/>
      </w:pPr>
      <w:r>
        <w:rPr>
          <w:vertAlign w:val="subscript"/>
        </w:rPr>
        <w:t xml:space="preserve">Source:</w:t>
      </w:r>
      <w:r>
        <w:rPr>
          <w:vertAlign w:val="subscript"/>
        </w:rPr>
        <w:t xml:space="preserve"> </w:t>
      </w:r>
      <w:hyperlink r:id="rId74">
        <w:r>
          <w:rPr>
            <w:rStyle w:val="Hyperlink"/>
            <w:vertAlign w:val="subscript"/>
          </w:rPr>
          <w:t xml:space="preserve">Subgroup Analysis</w:t>
        </w:r>
      </w:hyperlink>
    </w:p>
    <w:bookmarkEnd w:id="75"/>
    <w:bookmarkEnd w:id="76"/>
    <w:bookmarkStart w:id="81" w:name="discussion"/>
    <w:p>
      <w:pPr>
        <w:pStyle w:val="Heading2"/>
      </w:pPr>
      <w:r>
        <w:t xml:space="preserve">Discussion</w:t>
      </w:r>
    </w:p>
    <w:bookmarkStart w:id="77" w:name="model-performance"/>
    <w:p>
      <w:pPr>
        <w:pStyle w:val="Heading3"/>
      </w:pPr>
      <w:r>
        <w:t xml:space="preserve">Model Performance</w:t>
      </w:r>
    </w:p>
    <w:p>
      <w:pPr>
        <w:numPr>
          <w:ilvl w:val="0"/>
          <w:numId w:val="1001"/>
        </w:numPr>
      </w:pPr>
      <w:r>
        <w:t xml:space="preserve">Our day-level model of lapse prediction using geolocation data performs adequately well. Models which perform at around the .7 threshold are considered to have</w:t>
      </w:r>
      <w:r>
        <w:t xml:space="preserve"> </w:t>
      </w:r>
      <w:r>
        <w:t xml:space="preserve">“</w:t>
      </w:r>
      <w:r>
        <w:t xml:space="preserve">fair</w:t>
      </w:r>
      <w:r>
        <w:t xml:space="preserve">”</w:t>
      </w:r>
      <w:r>
        <w:t xml:space="preserve"> </w:t>
      </w:r>
      <w:r>
        <w:t xml:space="preserve">performance. This suggests that, while there is still substantial room for improvement in model performance, geolocation data can predict future alcohol lapse in the next day with fair sensitivity and specificity.</w:t>
      </w:r>
    </w:p>
    <w:p>
      <w:pPr>
        <w:numPr>
          <w:ilvl w:val="0"/>
          <w:numId w:val="1001"/>
        </w:numPr>
      </w:pPr>
      <w:r>
        <w:t xml:space="preserve">Calibration is more sensitive than true lapse rate in sample, suggesting that it overpredicts occurrence of lapses</w:t>
      </w:r>
    </w:p>
    <w:p>
      <w:pPr>
        <w:numPr>
          <w:ilvl w:val="0"/>
          <w:numId w:val="1001"/>
        </w:numPr>
      </w:pPr>
      <w:r>
        <w:t xml:space="preserve">This is not necessarily an issue if we are trying to quantify relative risk to individuals using a risk monitoring system</w:t>
      </w:r>
    </w:p>
    <w:p>
      <w:pPr>
        <w:numPr>
          <w:ilvl w:val="0"/>
          <w:numId w:val="1001"/>
        </w:numPr>
      </w:pPr>
      <w:r>
        <w:t xml:space="preserve">Top performing Shapley values were time spent at risky locations, time spent at different types of location, and time spent at locations with varying levels of alcohol availability.</w:t>
      </w:r>
    </w:p>
    <w:p>
      <w:pPr>
        <w:numPr>
          <w:ilvl w:val="0"/>
          <w:numId w:val="1001"/>
        </w:numPr>
      </w:pPr>
      <w:r>
        <w:t xml:space="preserve">These features were all generated utilizing additional context supplied by participants after a given location was identified as frequently visited (&gt; 2x in the previous month).</w:t>
      </w:r>
    </w:p>
    <w:p>
      <w:pPr>
        <w:numPr>
          <w:ilvl w:val="0"/>
          <w:numId w:val="1001"/>
        </w:numPr>
      </w:pPr>
      <w:r>
        <w:t xml:space="preserve">It should be noted that these features have potential to be generated without user feedback (i.e., using consumer and other publicly available data to identify establishments that sell alcohol, etc.)</w:t>
      </w:r>
    </w:p>
    <w:p>
      <w:pPr>
        <w:numPr>
          <w:ilvl w:val="0"/>
          <w:numId w:val="1001"/>
        </w:numPr>
      </w:pPr>
      <w:r>
        <w:t xml:space="preserve">This could potentially reduce burden further by not requiring individual input</w:t>
      </w:r>
    </w:p>
    <w:p>
      <w:pPr>
        <w:numPr>
          <w:ilvl w:val="0"/>
          <w:numId w:val="1001"/>
        </w:numPr>
      </w:pPr>
      <w:r>
        <w:t xml:space="preserve">However, self-classifying locations as risky might be encoding nuance that could not be feasibly obtained using public data. For example, a location might be labeled as risky from user input because it is a person-specific triggering location (e.g., scene of a traumatic event).</w:t>
      </w:r>
    </w:p>
    <w:p>
      <w:pPr>
        <w:numPr>
          <w:ilvl w:val="0"/>
          <w:numId w:val="1001"/>
        </w:numPr>
      </w:pPr>
      <w:r>
        <w:t xml:space="preserve">Interestingly, location valence (i.e., the emotion tied to a given location) is the fourth-highest Shapley value, yet appears to be minimally contributing to model predictions. This may be because participants were asked retrospectively about these locations at one month follow-up visits, and so our measures of emotional quality of a location may be too distal to be meaningful (particularly when compared to daily EMA).</w:t>
      </w:r>
    </w:p>
    <w:p>
      <w:pPr>
        <w:numPr>
          <w:ilvl w:val="0"/>
          <w:numId w:val="1001"/>
        </w:numPr>
      </w:pPr>
      <w:r>
        <w:t xml:space="preserve">Location to avoid in recovery and previous drinking location – poor insight so low predictive ability?</w:t>
      </w:r>
    </w:p>
    <w:p>
      <w:pPr>
        <w:numPr>
          <w:ilvl w:val="0"/>
          <w:numId w:val="1001"/>
        </w:numPr>
      </w:pPr>
      <w:r>
        <w:t xml:space="preserve">Transitory movement, location variance, time spent out of home in the evening – lacking individual input from participants, not easily tied to meaningful lapse risk factors</w:t>
      </w:r>
    </w:p>
    <w:bookmarkEnd w:id="77"/>
    <w:bookmarkStart w:id="78" w:name="model-fairness"/>
    <w:p>
      <w:pPr>
        <w:pStyle w:val="Heading3"/>
      </w:pPr>
      <w:r>
        <w:t xml:space="preserve">Model Fairness</w:t>
      </w:r>
    </w:p>
    <w:bookmarkEnd w:id="78"/>
    <w:bookmarkStart w:id="79" w:name="future-directions"/>
    <w:p>
      <w:pPr>
        <w:pStyle w:val="Heading3"/>
      </w:pPr>
      <w:r>
        <w:t xml:space="preserve">Future directions</w:t>
      </w:r>
    </w:p>
    <w:p>
      <w:pPr>
        <w:numPr>
          <w:ilvl w:val="0"/>
          <w:numId w:val="1002"/>
        </w:numPr>
        <w:pStyle w:val="Compact"/>
      </w:pPr>
      <w:r>
        <w:t xml:space="preserve">Baseline model?</w:t>
      </w:r>
    </w:p>
    <w:p>
      <w:pPr>
        <w:numPr>
          <w:ilvl w:val="0"/>
          <w:numId w:val="1002"/>
        </w:numPr>
        <w:pStyle w:val="Compact"/>
      </w:pPr>
      <w:r>
        <w:t xml:space="preserve">Add in more affective features</w:t>
      </w:r>
    </w:p>
    <w:p>
      <w:pPr>
        <w:numPr>
          <w:ilvl w:val="0"/>
          <w:numId w:val="1002"/>
        </w:numPr>
        <w:pStyle w:val="Compact"/>
      </w:pPr>
      <w:r>
        <w:t xml:space="preserve">Add in risk-terrain modeling features</w:t>
      </w:r>
    </w:p>
    <w:p>
      <w:pPr>
        <w:numPr>
          <w:ilvl w:val="0"/>
          <w:numId w:val="1002"/>
        </w:numPr>
        <w:pStyle w:val="Compact"/>
      </w:pPr>
      <w:r>
        <w:t xml:space="preserve">Add in other important features that could contribute to movement patterns like day of the week and weather</w:t>
      </w:r>
    </w:p>
    <w:p>
      <w:pPr>
        <w:numPr>
          <w:ilvl w:val="0"/>
          <w:numId w:val="1002"/>
        </w:numPr>
        <w:pStyle w:val="Compact"/>
      </w:pPr>
      <w:r>
        <w:t xml:space="preserve">Test final model</w:t>
      </w:r>
    </w:p>
    <w:p>
      <w:pPr>
        <w:numPr>
          <w:ilvl w:val="0"/>
          <w:numId w:val="1002"/>
        </w:numPr>
        <w:pStyle w:val="Compact"/>
      </w:pPr>
      <w:r>
        <w:t xml:space="preserve">Further calibration</w:t>
      </w:r>
    </w:p>
    <w:p>
      <w:pPr>
        <w:numPr>
          <w:ilvl w:val="0"/>
          <w:numId w:val="1002"/>
        </w:numPr>
        <w:pStyle w:val="Compact"/>
      </w:pPr>
      <w:r>
        <w:t xml:space="preserve">Break down three top performing features into their subcomponents (i.e., high risk locations, medium risk locations, and low risk locations; yes there is alcohol available here or no there is not alcohol available here) to obtain a more nuanced understanding of model performance.</w:t>
      </w:r>
    </w:p>
    <w:bookmarkEnd w:id="79"/>
    <w:bookmarkStart w:id="80" w:name="conclusion"/>
    <w:p>
      <w:pPr>
        <w:pStyle w:val="Heading3"/>
      </w:pPr>
      <w:r>
        <w:t xml:space="preserve">Conclusion</w:t>
      </w:r>
    </w:p>
    <w:p>
      <w:pPr>
        <w:pStyle w:val="FirstParagraph"/>
      </w:pPr>
      <w:r>
        <w:t xml:space="preserve">This study demonstrates that it is feasible to predict lapse with a fair level of accuracy using geolocation data, suggesting that geolocation data is a viable supplement for risk prediction monitoring systems. Moreover, our model demonstrates similar performance across vulnerable subgroups. Moving forward, additional risk-relevant features will be added to the model in an effort to improve prediction and the final model will be evaluated.</w:t>
      </w:r>
    </w:p>
    <w:bookmarkEnd w:id="80"/>
    <w:bookmarkEnd w:id="81"/>
    <w:bookmarkStart w:id="144" w:name="references"/>
    <w:p>
      <w:pPr>
        <w:pStyle w:val="Heading2"/>
      </w:pPr>
      <w:r>
        <w:t xml:space="preserve">References</w:t>
      </w:r>
    </w:p>
    <w:bookmarkStart w:id="143" w:name="refs"/>
    <w:bookmarkStart w:id="83" w:name="ref-areanMobileTechnologyMental2016"/>
    <w:p>
      <w:pPr>
        <w:pStyle w:val="Bibliography"/>
      </w:pPr>
      <w:r>
        <w:t xml:space="preserve">Areàn, Patricia A., Kien Hoa Ly, and Gerhard Andersson. 2016.</w:t>
      </w:r>
      <w:r>
        <w:t xml:space="preserve"> </w:t>
      </w:r>
      <w:r>
        <w:t xml:space="preserve">“</w:t>
      </w:r>
      <w:hyperlink r:id="rId82">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83"/>
    <w:bookmarkStart w:id="85"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84">
        <w:r>
          <w:rPr>
            <w:rStyle w:val="Hyperlink"/>
          </w:rPr>
          <w:t xml:space="preserve">https://doi.org/10.1186/s12889-017-4358-9</w:t>
        </w:r>
      </w:hyperlink>
      <w:r>
        <w:t xml:space="preserve">.</w:t>
      </w:r>
    </w:p>
    <w:bookmarkEnd w:id="85"/>
    <w:bookmarkStart w:id="87" w:name="ref-brandonRelapseRelapsePrevention2007a"/>
    <w:p>
      <w:pPr>
        <w:pStyle w:val="Bibliography"/>
      </w:pPr>
      <w:r>
        <w:t xml:space="preserve">Brandon, Thomas H., Jennifer Irvin Vidrine, and Erika B. Litvin. 2007.</w:t>
      </w:r>
      <w:r>
        <w:t xml:space="preserve"> </w:t>
      </w:r>
      <w:r>
        <w:t xml:space="preserve">“Relapse and</w:t>
      </w:r>
      <w:r>
        <w:t xml:space="preserve"> </w:t>
      </w:r>
      <w:r>
        <w:t xml:space="preserve">Relapse Prevention</w:t>
      </w:r>
      <w:r>
        <w:t xml:space="preserve">.”</w:t>
      </w:r>
      <w:r>
        <w:t xml:space="preserve"> </w:t>
      </w:r>
      <w:r>
        <w:rPr>
          <w:iCs/>
          <w:i/>
        </w:rPr>
        <w:t xml:space="preserve">Annual Review of Clinical Psychology</w:t>
      </w:r>
      <w:r>
        <w:t xml:space="preserve"> </w:t>
      </w:r>
      <w:r>
        <w:t xml:space="preserve">3 (Volume 3, 2007): 257–84.</w:t>
      </w:r>
      <w:r>
        <w:t xml:space="preserve"> </w:t>
      </w:r>
      <w:hyperlink r:id="rId86">
        <w:r>
          <w:rPr>
            <w:rStyle w:val="Hyperlink"/>
          </w:rPr>
          <w:t xml:space="preserve">https://doi.org/10.1146/annurev.clinpsy.3.022806.091455</w:t>
        </w:r>
      </w:hyperlink>
      <w:r>
        <w:t xml:space="preserve">.</w:t>
      </w:r>
    </w:p>
    <w:bookmarkEnd w:id="87"/>
    <w:bookmarkStart w:id="89"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88">
        <w:r>
          <w:rPr>
            <w:rStyle w:val="Hyperlink"/>
          </w:rPr>
          <w:t xml:space="preserve">https://doi.org/10.20900/jpbs.20210002</w:t>
        </w:r>
      </w:hyperlink>
      <w:r>
        <w:t xml:space="preserve">.</w:t>
      </w:r>
    </w:p>
    <w:bookmarkEnd w:id="89"/>
    <w:bookmarkStart w:id="91"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90">
        <w:r>
          <w:rPr>
            <w:rStyle w:val="Hyperlink"/>
          </w:rPr>
          <w:t xml:space="preserve">https://doi.org/10.2196/13209</w:t>
        </w:r>
      </w:hyperlink>
      <w:r>
        <w:t xml:space="preserve">.</w:t>
      </w:r>
    </w:p>
    <w:bookmarkEnd w:id="91"/>
    <w:bookmarkStart w:id="93"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92">
        <w:r>
          <w:rPr>
            <w:rStyle w:val="Hyperlink"/>
          </w:rPr>
          <w:t xml:space="preserve">https://doi.org/10.1016/j.drugalcdep.2013.09.007</w:t>
        </w:r>
      </w:hyperlink>
      <w:r>
        <w:t xml:space="preserve">.</w:t>
      </w:r>
    </w:p>
    <w:bookmarkEnd w:id="93"/>
    <w:bookmarkStart w:id="95"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94">
        <w:r>
          <w:rPr>
            <w:rStyle w:val="Hyperlink"/>
          </w:rPr>
          <w:t xml:space="preserve">https://doi.org/10.1037/a0038620</w:t>
        </w:r>
      </w:hyperlink>
      <w:r>
        <w:t xml:space="preserve">.</w:t>
      </w:r>
    </w:p>
    <w:bookmarkEnd w:id="95"/>
    <w:bookmarkStart w:id="97"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96">
        <w:r>
          <w:rPr>
            <w:rStyle w:val="Hyperlink"/>
          </w:rPr>
          <w:t xml:space="preserve">https://doi.org/10.1001/jamapsychiatry.2013.4642</w:t>
        </w:r>
      </w:hyperlink>
      <w:r>
        <w:t xml:space="preserve">.</w:t>
      </w:r>
    </w:p>
    <w:bookmarkEnd w:id="97"/>
    <w:bookmarkStart w:id="99"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98">
        <w:r>
          <w:rPr>
            <w:rStyle w:val="Hyperlink"/>
          </w:rPr>
          <w:t xml:space="preserve">https://doi.org/10.1038/s41593-020-0636-4</w:t>
        </w:r>
      </w:hyperlink>
      <w:r>
        <w:t xml:space="preserve">.</w:t>
      </w:r>
    </w:p>
    <w:bookmarkEnd w:id="99"/>
    <w:bookmarkStart w:id="100" w:name="ref-Highlights2022National"/>
    <w:p>
      <w:pPr>
        <w:pStyle w:val="Bibliography"/>
      </w:pPr>
      <w:r>
        <w:t xml:space="preserve">“Highlights for the 2022</w:t>
      </w:r>
      <w:r>
        <w:t xml:space="preserve"> </w:t>
      </w:r>
      <w:r>
        <w:t xml:space="preserve">National Survey</w:t>
      </w:r>
      <w:r>
        <w:t xml:space="preserve"> </w:t>
      </w:r>
      <w:r>
        <w:t xml:space="preserve">on</w:t>
      </w:r>
      <w:r>
        <w:t xml:space="preserve"> </w:t>
      </w:r>
      <w:r>
        <w:t xml:space="preserve">Drug Use</w:t>
      </w:r>
      <w:r>
        <w:t xml:space="preserve"> </w:t>
      </w:r>
      <w:r>
        <w:t xml:space="preserve">and</w:t>
      </w:r>
      <w:r>
        <w:t xml:space="preserve"> </w:t>
      </w:r>
      <w:r>
        <w:t xml:space="preserve">Health</w:t>
      </w:r>
      <w:r>
        <w:t xml:space="preserve">.”</w:t>
      </w:r>
      <w:r>
        <w:t xml:space="preserve"> </w:t>
      </w:r>
      <w:r>
        <w:t xml:space="preserve">n.d.</w:t>
      </w:r>
    </w:p>
    <w:bookmarkEnd w:id="100"/>
    <w:bookmarkStart w:id="102"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101">
        <w:r>
          <w:rPr>
            <w:rStyle w:val="Hyperlink"/>
          </w:rPr>
          <w:t xml:space="preserve">https://doi.org/10.2174/1874941001003010076</w:t>
        </w:r>
      </w:hyperlink>
      <w:r>
        <w:t xml:space="preserve">.</w:t>
      </w:r>
    </w:p>
    <w:bookmarkEnd w:id="102"/>
    <w:bookmarkStart w:id="103"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p>
    <w:bookmarkEnd w:id="103"/>
    <w:bookmarkStart w:id="105"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104">
        <w:r>
          <w:rPr>
            <w:rStyle w:val="Hyperlink"/>
          </w:rPr>
          <w:t xml:space="preserve">https://doi.org/10.1023/A:1008987426876</w:t>
        </w:r>
      </w:hyperlink>
      <w:r>
        <w:t xml:space="preserve">.</w:t>
      </w:r>
    </w:p>
    <w:bookmarkEnd w:id="105"/>
    <w:bookmarkStart w:id="107"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9"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108">
        <w:r>
          <w:rPr>
            <w:rStyle w:val="Hyperlink"/>
          </w:rPr>
          <w:t xml:space="preserve">https://doi.org/10.1080/13658816.2018.1503276</w:t>
        </w:r>
      </w:hyperlink>
      <w:r>
        <w:t xml:space="preserve">.</w:t>
      </w:r>
    </w:p>
    <w:bookmarkEnd w:id="109"/>
    <w:bookmarkStart w:id="111"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110">
        <w:r>
          <w:rPr>
            <w:rStyle w:val="Hyperlink"/>
          </w:rPr>
          <w:t xml:space="preserve">https://doi.org/10.1007/s13311-019-00824-2</w:t>
        </w:r>
      </w:hyperlink>
      <w:r>
        <w:t xml:space="preserve">.</w:t>
      </w:r>
    </w:p>
    <w:bookmarkEnd w:id="111"/>
    <w:bookmarkStart w:id="112"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112"/>
    <w:bookmarkStart w:id="114" w:name="X1192e7418d333a78bbc0d63d55807a687776e50"/>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Cs/>
          <w:i/>
        </w:rPr>
        <w:t xml:space="preserve">Annual Review of Clinical Psychology</w:t>
      </w:r>
      <w:r>
        <w:t xml:space="preserve"> </w:t>
      </w:r>
      <w:r>
        <w:t xml:space="preserve">13 (1): 23–47.</w:t>
      </w:r>
      <w:r>
        <w:t xml:space="preserve"> </w:t>
      </w:r>
      <w:hyperlink r:id="rId113">
        <w:r>
          <w:rPr>
            <w:rStyle w:val="Hyperlink"/>
          </w:rPr>
          <w:t xml:space="preserve">https://doi.org/10.1146/annurev-clinpsy-032816-044949</w:t>
        </w:r>
      </w:hyperlink>
      <w:r>
        <w:t xml:space="preserve">.</w:t>
      </w:r>
    </w:p>
    <w:bookmarkEnd w:id="114"/>
    <w:bookmarkStart w:id="116"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115">
        <w:r>
          <w:rPr>
            <w:rStyle w:val="Hyperlink"/>
          </w:rPr>
          <w:t xml:space="preserve">https://doi.org/10.2196/mhealth.5787</w:t>
        </w:r>
      </w:hyperlink>
      <w:r>
        <w:t xml:space="preserve">.</w:t>
      </w:r>
    </w:p>
    <w:bookmarkEnd w:id="116"/>
    <w:bookmarkStart w:id="117" w:name="ref-PhysicalActivityGuidelines"/>
    <w:p>
      <w:pPr>
        <w:pStyle w:val="Bibliography"/>
      </w:pPr>
      <w:r>
        <w:t xml:space="preserve">“Physical</w:t>
      </w:r>
      <w:r>
        <w:t xml:space="preserve"> </w:t>
      </w:r>
      <w:r>
        <w:t xml:space="preserve">Activity Guidelines</w:t>
      </w:r>
      <w:r>
        <w:t xml:space="preserve"> </w:t>
      </w:r>
      <w:r>
        <w:t xml:space="preserve">for</w:t>
      </w:r>
      <w:r>
        <w:t xml:space="preserve"> </w:t>
      </w:r>
      <w:r>
        <w:t xml:space="preserve">Americans</w:t>
      </w:r>
      <w:r>
        <w:t xml:space="preserve">, 2nd Edition.”</w:t>
      </w:r>
      <w:r>
        <w:t xml:space="preserve"> </w:t>
      </w:r>
      <w:r>
        <w:t xml:space="preserve">n.d.</w:t>
      </w:r>
    </w:p>
    <w:bookmarkEnd w:id="117"/>
    <w:bookmarkStart w:id="119"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118">
        <w:r>
          <w:rPr>
            <w:rStyle w:val="Hyperlink"/>
          </w:rPr>
          <w:t xml:space="preserve">https://doi.org/10.7326/M18-1990</w:t>
        </w:r>
      </w:hyperlink>
      <w:r>
        <w:t xml:space="preserve">.</w:t>
      </w:r>
    </w:p>
    <w:bookmarkEnd w:id="119"/>
    <w:bookmarkStart w:id="121"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120">
        <w:r>
          <w:rPr>
            <w:rStyle w:val="Hyperlink"/>
          </w:rPr>
          <w:t xml:space="preserve">https://doi.org/10.1093/schbul/sbaa121</w:t>
        </w:r>
      </w:hyperlink>
      <w:r>
        <w:t xml:space="preserve">.</w:t>
      </w:r>
    </w:p>
    <w:bookmarkEnd w:id="121"/>
    <w:bookmarkStart w:id="123"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122">
        <w:r>
          <w:rPr>
            <w:rStyle w:val="Hyperlink"/>
          </w:rPr>
          <w:t xml:space="preserve">https://doi.org/10.1111/acer.14440</w:t>
        </w:r>
      </w:hyperlink>
      <w:r>
        <w:t xml:space="preserve">.</w:t>
      </w:r>
    </w:p>
    <w:bookmarkEnd w:id="123"/>
    <w:bookmarkStart w:id="12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124">
        <w:r>
          <w:rPr>
            <w:rStyle w:val="Hyperlink"/>
          </w:rPr>
          <w:t xml:space="preserve">https://doi.org/10.3390/ijerph20115984</w:t>
        </w:r>
      </w:hyperlink>
      <w:r>
        <w:t xml:space="preserve">.</w:t>
      </w:r>
    </w:p>
    <w:bookmarkEnd w:id="125"/>
    <w:bookmarkStart w:id="127"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126">
        <w:r>
          <w:rPr>
            <w:rStyle w:val="Hyperlink"/>
          </w:rPr>
          <w:t xml:space="preserve">https://doi.org/10.2105/AJPH.2013.301306</w:t>
        </w:r>
      </w:hyperlink>
      <w:r>
        <w:t xml:space="preserve">.</w:t>
      </w:r>
    </w:p>
    <w:bookmarkEnd w:id="127"/>
    <w:bookmarkStart w:id="128" w:name="ref-ScienceDrugUse"/>
    <w:p>
      <w:pPr>
        <w:pStyle w:val="Bibliography"/>
      </w:pPr>
      <w:r>
        <w:t xml:space="preserve">“The</w:t>
      </w:r>
      <w:r>
        <w:t xml:space="preserve"> </w:t>
      </w:r>
      <w:r>
        <w:t xml:space="preserve">Science</w:t>
      </w:r>
      <w:r>
        <w:t xml:space="preserve"> </w:t>
      </w:r>
      <w:r>
        <w:t xml:space="preserve">of</w:t>
      </w:r>
      <w:r>
        <w:t xml:space="preserve"> </w:t>
      </w:r>
      <w:r>
        <w:t xml:space="preserve">Drug Use</w:t>
      </w:r>
      <w:r>
        <w:t xml:space="preserve"> </w:t>
      </w:r>
      <w:r>
        <w:t xml:space="preserve">and</w:t>
      </w:r>
      <w:r>
        <w:t xml:space="preserve"> </w:t>
      </w:r>
      <w:r>
        <w:t xml:space="preserve">Addiction</w:t>
      </w:r>
      <w:r>
        <w:t xml:space="preserve">:</w:t>
      </w:r>
      <w:r>
        <w:t xml:space="preserve"> </w:t>
      </w:r>
      <w:r>
        <w:t xml:space="preserve">The Basics</w:t>
      </w:r>
      <w:r>
        <w:t xml:space="preserve"> </w:t>
      </w:r>
      <w:r>
        <w:t xml:space="preserve"> </w:t>
      </w:r>
      <w:r>
        <w:t xml:space="preserve">NIDA Archives</w:t>
      </w:r>
      <w:r>
        <w:t xml:space="preserve">.”</w:t>
      </w:r>
      <w:r>
        <w:t xml:space="preserve"> </w:t>
      </w:r>
      <w:r>
        <w:t xml:space="preserve">n.d. https://archives.nida.nih.gov/publications/media-guide/science-drug-use-addiction-basics. Accessed October 7, 2024.</w:t>
      </w:r>
    </w:p>
    <w:bookmarkEnd w:id="128"/>
    <w:bookmarkStart w:id="130" w:name="X97af1b265505e12b116c5ce5ed25347f4200f52"/>
    <w:p>
      <w:pPr>
        <w:pStyle w:val="Bibliography"/>
      </w:pPr>
      <w:r>
        <w:t xml:space="preserve">Tucker, Jalie A., Susan D. Chandler, and Katie Witkiewitz. 2020.</w:t>
      </w:r>
      <w:r>
        <w:t xml:space="preserve"> </w:t>
      </w:r>
      <w:r>
        <w:t xml:space="preserve">“Epidemiology of</w:t>
      </w:r>
      <w:r>
        <w:t xml:space="preserve"> </w:t>
      </w:r>
      <w:r>
        <w:t xml:space="preserve">Recovery From Alcohol Use Disorder</w:t>
      </w:r>
      <w:r>
        <w:t xml:space="preserve">.”</w:t>
      </w:r>
      <w:r>
        <w:t xml:space="preserve"> </w:t>
      </w:r>
      <w:r>
        <w:rPr>
          <w:iCs/>
          <w:i/>
        </w:rPr>
        <w:t xml:space="preserve">Alcohol Research : Current Reviews</w:t>
      </w:r>
      <w:r>
        <w:t xml:space="preserve"> </w:t>
      </w:r>
      <w:r>
        <w:t xml:space="preserve">40 (3): 02.</w:t>
      </w:r>
      <w:r>
        <w:t xml:space="preserve"> </w:t>
      </w:r>
      <w:hyperlink r:id="rId129">
        <w:r>
          <w:rPr>
            <w:rStyle w:val="Hyperlink"/>
          </w:rPr>
          <w:t xml:space="preserve">https://doi.org/10.35946/arcr.v40.3.02</w:t>
        </w:r>
      </w:hyperlink>
      <w:r>
        <w:t xml:space="preserve">.</w:t>
      </w:r>
    </w:p>
    <w:bookmarkEnd w:id="130"/>
    <w:bookmarkStart w:id="132"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31">
        <w:r>
          <w:rPr>
            <w:rStyle w:val="Hyperlink"/>
          </w:rPr>
          <w:t xml:space="preserve">https://doi.org/10.1016/0899-3289(95)90006-3</w:t>
        </w:r>
      </w:hyperlink>
      <w:r>
        <w:t xml:space="preserve">.</w:t>
      </w:r>
    </w:p>
    <w:bookmarkEnd w:id="132"/>
    <w:bookmarkStart w:id="134"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33">
        <w:r>
          <w:rPr>
            <w:rStyle w:val="Hyperlink"/>
          </w:rPr>
          <w:t xml:space="preserve">https://doi.org/10.1016/s0306-4603(01)00284-2</w:t>
        </w:r>
      </w:hyperlink>
      <w:r>
        <w:t xml:space="preserve">.</w:t>
      </w:r>
    </w:p>
    <w:bookmarkEnd w:id="134"/>
    <w:bookmarkStart w:id="136"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35">
        <w:r>
          <w:rPr>
            <w:rStyle w:val="Hyperlink"/>
          </w:rPr>
          <w:t xml:space="preserve">https://doi.org/10.1145/3531146.3533101</w:t>
        </w:r>
      </w:hyperlink>
      <w:r>
        <w:t xml:space="preserve">.</w:t>
      </w:r>
    </w:p>
    <w:bookmarkEnd w:id="136"/>
    <w:bookmarkStart w:id="138"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37">
        <w:r>
          <w:rPr>
            <w:rStyle w:val="Hyperlink"/>
          </w:rPr>
          <w:t xml:space="preserve">https://doi.org/10.1007/s44176-022-00006-z</w:t>
        </w:r>
      </w:hyperlink>
      <w:r>
        <w:t xml:space="preserve">.</w:t>
      </w:r>
    </w:p>
    <w:bookmarkEnd w:id="138"/>
    <w:bookmarkStart w:id="140"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39">
        <w:r>
          <w:rPr>
            <w:rStyle w:val="Hyperlink"/>
          </w:rPr>
          <w:t xml:space="preserve">https://doi.org/10.1136/bmjhci-2020-100289</w:t>
        </w:r>
      </w:hyperlink>
      <w:r>
        <w:t xml:space="preserve">.</w:t>
      </w:r>
    </w:p>
    <w:bookmarkEnd w:id="140"/>
    <w:bookmarkStart w:id="142"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41">
        <w:r>
          <w:rPr>
            <w:rStyle w:val="Hyperlink"/>
          </w:rPr>
          <w:t xml:space="preserve">https://doi.org/10.1037/0003-066X.59.4.224</w:t>
        </w:r>
      </w:hyperlink>
      <w:r>
        <w:t xml:space="preserve">.</w:t>
      </w:r>
    </w:p>
    <w:bookmarkEnd w:id="142"/>
    <w:bookmarkEnd w:id="143"/>
    <w:bookmarkEnd w:id="1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3" Target="media/rId43.png" /><Relationship Type="http://schemas.openxmlformats.org/officeDocument/2006/relationships/image" Id="rId53" Target="media/rId53.png" /><Relationship Type="http://schemas.openxmlformats.org/officeDocument/2006/relationships/image" Id="rId48" Target="media/rId48.png" /><Relationship Type="http://schemas.openxmlformats.org/officeDocument/2006/relationships/image" Id="rId58" Target="media/rId58.png" /><Relationship Type="http://schemas.openxmlformats.org/officeDocument/2006/relationships/image" Id="rId70" Target="media/rId70.png" /><Relationship Type="http://schemas.openxmlformats.org/officeDocument/2006/relationships/image" Id="rId64" Target="media/rId64.png" /><Relationship Type="http://schemas.openxmlformats.org/officeDocument/2006/relationships/image" Id="rId38" Target="media/rId38.png" /><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96" Target="https://doi.org/10.1001/jamapsychiatry.2013.4642" TargetMode="External" /><Relationship Type="http://schemas.openxmlformats.org/officeDocument/2006/relationships/hyperlink" Id="rId106" Target="https://doi.org/10.1007/978-1-4614-6849-3" TargetMode="External" /><Relationship Type="http://schemas.openxmlformats.org/officeDocument/2006/relationships/hyperlink" Id="rId110" Target="https://doi.org/10.1007/s13311-019-00824-2" TargetMode="External" /><Relationship Type="http://schemas.openxmlformats.org/officeDocument/2006/relationships/hyperlink" Id="rId137" Target="https://doi.org/10.1007/s44176-022-00006-z" TargetMode="External" /><Relationship Type="http://schemas.openxmlformats.org/officeDocument/2006/relationships/hyperlink" Id="rId131" Target="https://doi.org/10.1016/0899-3289(95)90006-3" TargetMode="External" /><Relationship Type="http://schemas.openxmlformats.org/officeDocument/2006/relationships/hyperlink" Id="rId92" Target="https://doi.org/10.1016/j.drugalcdep.2013.09.007" TargetMode="External" /><Relationship Type="http://schemas.openxmlformats.org/officeDocument/2006/relationships/hyperlink" Id="rId133" Target="https://doi.org/10.1016/s0306-4603(01)00284-2" TargetMode="External" /><Relationship Type="http://schemas.openxmlformats.org/officeDocument/2006/relationships/hyperlink" Id="rId104" Target="https://doi.org/10.1023/A:1008987426876" TargetMode="External" /><Relationship Type="http://schemas.openxmlformats.org/officeDocument/2006/relationships/hyperlink" Id="rId141" Target="https://doi.org/10.1037/0003-066X.59.4.224" TargetMode="External" /><Relationship Type="http://schemas.openxmlformats.org/officeDocument/2006/relationships/hyperlink" Id="rId94" Target="https://doi.org/10.1037/a0038620" TargetMode="External" /><Relationship Type="http://schemas.openxmlformats.org/officeDocument/2006/relationships/hyperlink" Id="rId98" Target="https://doi.org/10.1038/s41593-020-0636-4" TargetMode="External" /><Relationship Type="http://schemas.openxmlformats.org/officeDocument/2006/relationships/hyperlink" Id="rId108" Target="https://doi.org/10.1080/13658816.2018.1503276" TargetMode="External" /><Relationship Type="http://schemas.openxmlformats.org/officeDocument/2006/relationships/hyperlink" Id="rId120" Target="https://doi.org/10.1093/schbul/sbaa121" TargetMode="External" /><Relationship Type="http://schemas.openxmlformats.org/officeDocument/2006/relationships/hyperlink" Id="rId122" Target="https://doi.org/10.1111/acer.14440" TargetMode="External" /><Relationship Type="http://schemas.openxmlformats.org/officeDocument/2006/relationships/hyperlink" Id="rId139" Target="https://doi.org/10.1136/bmjhci-2020-100289" TargetMode="External" /><Relationship Type="http://schemas.openxmlformats.org/officeDocument/2006/relationships/hyperlink" Id="rId135" Target="https://doi.org/10.1145/3531146.3533101" TargetMode="External" /><Relationship Type="http://schemas.openxmlformats.org/officeDocument/2006/relationships/hyperlink" Id="rId113" Target="https://doi.org/10.1146/annurev-clinpsy-032816-044949" TargetMode="External" /><Relationship Type="http://schemas.openxmlformats.org/officeDocument/2006/relationships/hyperlink" Id="rId86" Target="https://doi.org/10.1146/annurev.clinpsy.3.022806.091455" TargetMode="External" /><Relationship Type="http://schemas.openxmlformats.org/officeDocument/2006/relationships/hyperlink" Id="rId84" Target="https://doi.org/10.1186/s12889-017-4358-9" TargetMode="External" /><Relationship Type="http://schemas.openxmlformats.org/officeDocument/2006/relationships/hyperlink" Id="rId88" Target="https://doi.org/10.20900/jpbs.20210002" TargetMode="External" /><Relationship Type="http://schemas.openxmlformats.org/officeDocument/2006/relationships/hyperlink" Id="rId126" Target="https://doi.org/10.2105/AJPH.2013.301306" TargetMode="External" /><Relationship Type="http://schemas.openxmlformats.org/officeDocument/2006/relationships/hyperlink" Id="rId101" Target="https://doi.org/10.2174/1874941001003010076" TargetMode="External" /><Relationship Type="http://schemas.openxmlformats.org/officeDocument/2006/relationships/hyperlink" Id="rId90" Target="https://doi.org/10.2196/13209" TargetMode="External" /><Relationship Type="http://schemas.openxmlformats.org/officeDocument/2006/relationships/hyperlink" Id="rId115" Target="https://doi.org/10.2196/mhealth.5787" TargetMode="External" /><Relationship Type="http://schemas.openxmlformats.org/officeDocument/2006/relationships/hyperlink" Id="rId124" Target="https://doi.org/10.3390/ijerph20115984" TargetMode="External" /><Relationship Type="http://schemas.openxmlformats.org/officeDocument/2006/relationships/hyperlink" Id="rId129" Target="https://doi.org/10.35946/arcr.v40.3.02" TargetMode="External" /><Relationship Type="http://schemas.openxmlformats.org/officeDocument/2006/relationships/hyperlink" Id="rId118" Target="https://doi.org/10.7326/M18-1990" TargetMode="External" /><Relationship Type="http://schemas.openxmlformats.org/officeDocument/2006/relationships/hyperlink" Id="rId37" Target="https://jjcurtin.github.io/study_gps/index.qmd.html" TargetMode="External" /><Relationship Type="http://schemas.openxmlformats.org/officeDocument/2006/relationships/hyperlink" Id="rId47" Target="https://jjcurtin.github.io/study_gps/notebooks/auROC_distribution_posterior-preview.html#cell-fig-auroc-histogram" TargetMode="External" /><Relationship Type="http://schemas.openxmlformats.org/officeDocument/2006/relationships/hyperlink" Id="rId57" Target="https://jjcurtin.github.io/study_gps/notebooks/auROC_distribution_posterior-preview.html#cell-fig-pp" TargetMode="External" /><Relationship Type="http://schemas.openxmlformats.org/officeDocument/2006/relationships/hyperlink" Id="rId52" Target="https://jjcurtin.github.io/study_gps/notebooks/auROC_plot-preview.html#cell-fig-auroc-plot" TargetMode="External" /><Relationship Type="http://schemas.openxmlformats.org/officeDocument/2006/relationships/hyperlink" Id="rId62" Target="https://jjcurtin.github.io/study_gps/notebooks/calibration_plot-preview.html#cell-fig-calibration" TargetMode="External" /><Relationship Type="http://schemas.openxmlformats.org/officeDocument/2006/relationships/hyperlink" Id="rId74" Target="https://jjcurtin.github.io/study_gps/notebooks/fairness-preview.html#cell-fig-fairness-subgroups" TargetMode="External" /><Relationship Type="http://schemas.openxmlformats.org/officeDocument/2006/relationships/hyperlink" Id="rId68" Target="https://jjcurtin.github.io/study_gps/notebooks/shaps-preview.html#cell-fig-shaps-group" TargetMode="External" /><Relationship Type="http://schemas.openxmlformats.org/officeDocument/2006/relationships/hyperlink" Id="rId82"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2024-10-16T02:39:25Z</dcterms:created>
  <dcterms:modified xsi:type="dcterms:W3CDTF">2024-10-16T02:39:25Z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2024-10-15</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