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2024-07-01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(Project Match Research Group 1997)</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Panel A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Panels B-F display local Shapley values that quantify the influence of feature categories on individual observations (i.e., a single prediction window for a specific participant) for each model.</w:t>
            </w:r>
          </w:p>
          <w:bookmarkEnd w:id="61"/>
        </w:tc>
      </w:tr>
    </w:tbl>
    <w:p>
      <w:pPr>
        <w:pStyle w:val="BodyText"/>
      </w:pPr>
      <w:r>
        <w:t xml:space="preserve">Global and Local Shapley values</w:t>
      </w:r>
    </w:p>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2024-07-02T01:55:05Z</dcterms:created>
  <dcterms:modified xsi:type="dcterms:W3CDTF">2024-07-02T01:55:05Z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