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2024-06-07</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Today, this approach is also applied to chronic mental health conditions, like substance use disorders (i.e., precision mental health). Precision mental health uses individual characteristics to guide initial treatment matching and adaptive continuing care over time. It requires dense, long-term monitoring of symptoms and related states, for interventions to be tailored to an individual’s needs and preferences at any given moment</w:t>
      </w:r>
      <w:r>
        <w:t xml:space="preserve"> </w:t>
      </w:r>
      <w:r>
        <w:t xml:space="preserve">(Bickman, Lyon, and Wolpert 2016)</w:t>
      </w:r>
      <w:r>
        <w:t xml:space="preserve">. Essentially, it aims to identify both</w:t>
      </w:r>
      <w:r>
        <w:t xml:space="preserve"> </w:t>
      </w:r>
      <w:r>
        <w:rPr>
          <w:iCs/>
          <w:i/>
        </w:rPr>
        <w:t xml:space="preserve">when</w:t>
      </w:r>
      <w:r>
        <w:t xml:space="preserve"> </w:t>
      </w:r>
      <w:r>
        <w:t xml:space="preserve">and</w:t>
      </w:r>
      <w:r>
        <w:t xml:space="preserve"> </w:t>
      </w:r>
      <w:r>
        <w:rPr>
          <w:iCs/>
          <w:i/>
        </w:rPr>
        <w:t xml:space="preserve">how</w:t>
      </w:r>
      <w:r>
        <w:t xml:space="preserve"> </w:t>
      </w:r>
      <w:r>
        <w:t xml:space="preserve">to intervene.</w:t>
      </w:r>
    </w:p>
    <w:p>
      <w:pPr>
        <w:pStyle w:val="BodyText"/>
      </w:pPr>
      <w:r>
        <w:t xml:space="preserve">Using algorithms to time (</w:t>
      </w:r>
      <w:r>
        <w:rPr>
          <w:iCs/>
          <w:i/>
        </w:rPr>
        <w:t xml:space="preserve">when</w:t>
      </w:r>
      <w:r>
        <w:t xml:space="preserve">) and select personalized interventions (</w:t>
      </w:r>
      <w:r>
        <w:rPr>
          <w:iCs/>
          <w:i/>
        </w:rPr>
        <w:t xml:space="preserve">how</w:t>
      </w:r>
      <w:r>
        <w:t xml:space="preserve">) for substance use may now be possible, thanks to personal sensing and high-dimensional machine learning algorithms. Personal sensing allows for frequent, longitudinal monitoring of individuals’ affect, behavior, and cognitions in their day-to-day lives</w:t>
      </w:r>
      <w:r>
        <w:t xml:space="preserve"> </w:t>
      </w:r>
      <w:r>
        <w:t xml:space="preserve">(Mohr, Zhang, and Schueller 2017)</w:t>
      </w:r>
      <w:r>
        <w:t xml:space="preserve">. These data can then be used as inputs for machine learning algorithms to predict the probability of specific outcomes (e.g., lapse risk) and identify the top features contributing to those predictions.</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Model features were engineered from raw scores and longitudinal change in responses to 4X daily EMAs. EMA questions were designed to measure theoretically-implicated risk factors including past use, craving, past pleasant events, past and future risky situations, past and future stressful events, emotional valence and arousal, and self-efficacy</w:t>
      </w:r>
      <w:r>
        <w:t xml:space="preserve"> </w:t>
      </w:r>
      <w:r>
        <w:t xml:space="preserve">(for reviews, see Marlatt and Gordon 1985; Fronk et al. 2020; Witkiewitz and Marlatt 2007)</w:t>
      </w:r>
      <w:r>
        <w:t xml:space="preserve">. We showed that it was possible to predict immediate alcohol lapses within the next week, day, and hour with clinically meaningful accuracy - area under the receiver operating curves (auROCs) of 0.89, 0.90,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for just-in-time adaptive interventions (JITAIs) integrated within an app to address these immediate risks.</w:t>
      </w:r>
    </w:p>
    <w:p>
      <w:pPr>
        <w:pStyle w:val="BodyText"/>
      </w:pPr>
      <w:r>
        <w:t xml:space="preserve">However, some interventions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Cs/>
          <w:i/>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model performance degrades with increasing lag time.</w:t>
      </w:r>
    </w:p>
    <w:bookmarkEnd w:id="21"/>
    <w:bookmarkStart w:id="103"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numPr>
          <w:ilvl w:val="0"/>
          <w:numId w:val="1001"/>
        </w:numPr>
        <w:pStyle w:val="Compact"/>
      </w:pPr>
      <w:r>
        <w:t xml:space="preserve">were age 18 or older,</w:t>
      </w:r>
    </w:p>
    <w:p>
      <w:pPr>
        <w:numPr>
          <w:ilvl w:val="0"/>
          <w:numId w:val="1001"/>
        </w:numPr>
        <w:pStyle w:val="Compact"/>
      </w:pPr>
      <w:r>
        <w:t xml:space="preserve">could write and read in English,</w:t>
      </w:r>
    </w:p>
    <w:p>
      <w:pPr>
        <w:numPr>
          <w:ilvl w:val="0"/>
          <w:numId w:val="1001"/>
        </w:numPr>
        <w:pStyle w:val="Compact"/>
      </w:pPr>
      <w:r>
        <w:t xml:space="preserve">had at least moderate AUD (&gt;= 4 self-reported DSM-5 symptoms),</w:t>
      </w:r>
    </w:p>
    <w:p>
      <w:pPr>
        <w:numPr>
          <w:ilvl w:val="0"/>
          <w:numId w:val="1001"/>
        </w:numPr>
        <w:pStyle w:val="Compact"/>
      </w:pPr>
      <w:r>
        <w:t xml:space="preserve">were abstinent from alcohol for 1-8 weeks, and</w:t>
      </w:r>
    </w:p>
    <w:p>
      <w:pPr>
        <w:numPr>
          <w:ilvl w:val="0"/>
          <w:numId w:val="1001"/>
        </w:numPr>
        <w:pStyle w:val="Compact"/>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Cs/>
          <w:i/>
        </w:rPr>
        <w:t xml:space="preserve">lapse</w:t>
      </w:r>
      <w:r>
        <w:t xml:space="preserve"> </w:t>
      </w:r>
      <w:r>
        <w:t xml:space="preserve">if the start date/hour of any drinking episode fell within that window. A window was labeled</w:t>
      </w:r>
      <w:r>
        <w:t xml:space="preserve"> </w:t>
      </w:r>
      <w:r>
        <w:rPr>
          <w:iCs/>
          <w:i/>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Cs/>
          <w:i/>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Cs/>
          <w:i/>
        </w:rPr>
        <w:t xml:space="preserve">Day and time of prediction window onset</w:t>
      </w:r>
      <w:r>
        <w:t xml:space="preserve">: We created dummy-coded features to indicate time of day and day of week that the prediction window began.</w:t>
      </w:r>
    </w:p>
    <w:p>
      <w:pPr>
        <w:numPr>
          <w:ilvl w:val="0"/>
          <w:numId w:val="1002"/>
        </w:numPr>
      </w:pPr>
      <w:r>
        <w:rPr>
          <w:iCs/>
          <w:i/>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7"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Cs/>
          <w:i/>
        </w:rPr>
        <w:t xml:space="preserve">validation</w:t>
      </w:r>
      <w:r>
        <w:t xml:space="preserve"> </w:t>
      </w:r>
      <w:r>
        <w:t xml:space="preserve">sets) and 3 repeats of 10-fold cross-validation for the outer loop (i.e.,</w:t>
      </w:r>
      <w:r>
        <w:t xml:space="preserve"> </w:t>
      </w:r>
      <w:r>
        <w:rPr>
          <w:iCs/>
          <w:i/>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5"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report the median posterior probability and 95% Bayesian CI for auROC for each model separately for four demographic groups with potential disparities in access to substance use treatment. Specifically, we report model performance for dichotomized groups of race and ethnicity (non-Hispanic white vs. non-white)</w:t>
      </w:r>
      <w:r>
        <w:t xml:space="preserve"> </w:t>
      </w:r>
      <w:r>
        <w:t xml:space="preserve">(Pinedo 2019; Kilaru et al. 2020)</w:t>
      </w:r>
      <w:r>
        <w:t xml:space="preserve">, income (above poverty vs. at or below poverty)</w:t>
      </w:r>
      <w:r>
        <w:t xml:space="preserve"> </w:t>
      </w:r>
      <w:r>
        <w:t xml:space="preserve">(Olfson et al. 2022)</w:t>
      </w:r>
      <w:r>
        <w:t xml:space="preserve">, sex (male vs. female)</w:t>
      </w:r>
      <w:r>
        <w:t xml:space="preserve"> </w:t>
      </w:r>
      <w:r>
        <w:t xml:space="preserve">(Greenfield et al. 2007; Kilaru et al. 2020)</w:t>
      </w:r>
      <w:r>
        <w:t xml:space="preserve">, and age (younger vs. older)</w:t>
      </w:r>
      <w:r>
        <w:t xml:space="preserve"> </w:t>
      </w:r>
      <w:r>
        <w:t xml:space="preserve">(Kilaru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95% Bayesian CIs.</w:t>
      </w:r>
    </w:p>
    <w:bookmarkEnd w:id="35"/>
    <w:bookmarkStart w:id="36"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6"/>
    <w:bookmarkEnd w:id="37"/>
    <w:bookmarkEnd w:id="38"/>
    <w:bookmarkStart w:id="57" w:name="results"/>
    <w:p>
      <w:pPr>
        <w:pStyle w:val="Heading2"/>
      </w:pPr>
      <w:r>
        <w:t xml:space="preserve">Results</w:t>
      </w:r>
    </w:p>
    <w:bookmarkStart w:id="43" w:name="demographic-and-clinical-characteristics"/>
    <w:p>
      <w:pPr>
        <w:pStyle w:val="Heading3"/>
      </w:pPr>
      <w:r>
        <w:t xml:space="preserve">Demographic and Clinical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and a median of 4.0 previous quit attempts (mean=5.5; SD=5.8; range=0.0-30.0). Most participants (N=84; 55.6%) reported one or more lapses during participation. The median number of lapses per participant while on-study was 1.0 (mean=6.8; SD = 12.0; range=0.0-75.0).</w:t>
      </w:r>
      <w:r>
        <w:t xml:space="preserve"> </w:t>
      </w:r>
      <w:hyperlink w:anchor="tbl-demopdf">
        <w:r>
          <w:rPr>
            <w:rStyle w:val="Hyperlink"/>
          </w:rPr>
          <w:t xml:space="preserve">Table 1</w:t>
        </w:r>
      </w:hyperlink>
      <w:r>
        <w:t xml:space="preserve"> </w:t>
      </w:r>
      <w:r>
        <w:t xml:space="preserve">provides more detail on demographic and clinical characteristics of the sample.</w:t>
      </w:r>
    </w:p>
    <w:tbl>
      <w:tblPr>
        <w:tblStyle w:val="Table"/>
        <w:tblW w:type="pct" w:w="5000"/>
        <w:tblLook w:firstRow="0" w:lastRow="0" w:firstColumn="0" w:lastColumn="0" w:noHBand="0" w:noVBand="0" w:val="0000"/>
        <w:jc w:val="start"/>
        <w:tblLayout w:type="fixed"/>
      </w:tblPr>
      <w:tblGrid>
        <w:gridCol w:w="7920"/>
      </w:tblGrid>
      <w:tr>
        <w:tc>
          <w:tcPr/>
          <w:bookmarkStart w:id="39" w:name="tbl-demopdf"/>
          <w:p>
            <w:pPr>
              <w:jc w:val="center"/>
            </w:pPr>
            <w:pPr>
              <w:jc w:val="start"/>
              <w:spacing w:before="200"/>
              <w:pStyle w:val="ImageCaption"/>
            </w:pPr>
            <w:r>
              <w:t xml:space="preserve">Table 1: Demographic and Lapse Characteristics</w:t>
            </w:r>
          </w:p>
          <w:tbl>
            <w:tblPr>
              <w:tblStyle w:val="Table"/>
              <w:tblW w:type="pct" w:w="4894"/>
              <w:tblLook w:firstRow="1" w:lastRow="0" w:firstColumn="0" w:lastColumn="0" w:noHBand="0" w:noVBand="0" w:val="0020"/>
              <w:jc w:val="start"/>
              <w:tblLayout w:type="fixed"/>
            </w:tblPr>
            <w:tblGrid>
              <w:gridCol w:w="3622"/>
              <w:gridCol w:w="505"/>
              <w:gridCol w:w="589"/>
              <w:gridCol w:w="926"/>
              <w:gridCol w:w="926"/>
              <w:gridCol w:w="1179"/>
            </w:tblGrid>
            <w:tr>
              <w:trPr>
                <w:tblHeader w:val="true"/>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r>
        <w:br w:type="page"/>
      </w:r>
    </w:p>
    <w:p>
      <w:pPr>
        <w:pStyle w:val="BodyText"/>
      </w:pPr>
      <w:r>
        <w:t xml:space="preserve">Table 2: Demographic and Lapse Characteristics (Continued)</w:t>
      </w:r>
    </w:p>
    <w:bookmarkStart w:id="41" w:name="demopdf"/>
    <w:tbl>
      <w:tblPr>
        <w:tblStyle w:val="Table"/>
        <w:tblW w:type="pct" w:w="4878"/>
        <w:tblLook w:firstRow="1" w:lastRow="0" w:firstColumn="0" w:lastColumn="0" w:noHBand="0" w:noVBand="0" w:val="0020"/>
        <w:jc w:val="start"/>
        <w:tblLayout w:type="fixed"/>
      </w:tblPr>
      <w:tblGrid>
        <w:gridCol w:w="4636"/>
        <w:gridCol w:w="482"/>
        <w:gridCol w:w="676"/>
        <w:gridCol w:w="579"/>
        <w:gridCol w:w="579"/>
        <w:gridCol w:w="772"/>
      </w:tblGrid>
      <w:tr>
        <w:trPr>
          <w:tblHeader w:val="true"/>
        </w:trPr>
        <w:tc>
          <w:tcPr/>
          <w:p>
            <w:pPr>
              <w:pStyle w:val="Compact"/>
              <w:jc w:val="left"/>
            </w:pPr>
            <w:r>
              <w:t xml:space="preserve">var</w:t>
            </w:r>
          </w:p>
        </w:tc>
        <w:tc>
          <w:tcPr/>
          <w:p>
            <w:pPr>
              <w:pStyle w:val="Compact"/>
              <w:jc w:val="right"/>
            </w:pPr>
            <w:r>
              <w:t xml:space="preserve">N</w:t>
            </w:r>
          </w:p>
        </w:tc>
        <w:tc>
          <w:tcPr/>
          <w:p>
            <w:pPr>
              <w:pStyle w:val="Compact"/>
              <w:jc w:val="right"/>
            </w:pPr>
            <w:r>
              <w:t xml:space="preserve">%</w:t>
            </w:r>
          </w:p>
        </w:tc>
        <w:tc>
          <w:tcPr/>
          <w:p>
            <w:pPr>
              <w:pStyle w:val="Compact"/>
              <w:jc w:val="left"/>
            </w:pPr>
            <w:r>
              <w:t xml:space="preserve">M</w:t>
            </w:r>
          </w:p>
        </w:tc>
        <w:tc>
          <w:tcPr/>
          <w:p>
            <w:pPr>
              <w:pStyle w:val="Compact"/>
              <w:jc w:val="left"/>
            </w:pPr>
            <w:r>
              <w:t xml:space="preserve">SD</w:t>
            </w:r>
          </w:p>
        </w:tc>
        <w:tc>
          <w:tcPr/>
          <w:p>
            <w:pPr>
              <w:pStyle w:val="Compact"/>
              <w:jc w:val="left"/>
            </w:pPr>
            <w:r>
              <w:t xml:space="preserve">Range</w:t>
            </w:r>
          </w:p>
        </w:tc>
      </w:tr>
      <w:tr>
        <w:tc>
          <w:tcPr/>
          <w:p>
            <w:pPr>
              <w:pStyle w:val="Compact"/>
              <w:jc w:val="left"/>
            </w:pPr>
            <w:r>
              <w:t xml:space="preserve">Married</w:t>
            </w:r>
          </w:p>
        </w:tc>
        <w:tc>
          <w:tcPr/>
          <w:p>
            <w:pPr>
              <w:pStyle w:val="Compact"/>
              <w:jc w:val="right"/>
            </w:pPr>
            <w:r>
              <w:t xml:space="preserve">32</w:t>
            </w:r>
          </w:p>
        </w:tc>
        <w:tc>
          <w:tcPr/>
          <w:p>
            <w:pPr>
              <w:pStyle w:val="Compact"/>
              <w:jc w:val="right"/>
            </w:pPr>
            <w:r>
              <w:t xml:space="preserve">21.2</w:t>
            </w:r>
          </w:p>
        </w:tc>
        <w:tc>
          <w:tcPr/>
          <w:p>
            <w:pPr>
              <w:pStyle w:val="Compact"/>
            </w:pPr>
          </w:p>
        </w:tc>
        <w:tc>
          <w:tcPr/>
          <w:p>
            <w:pPr>
              <w:pStyle w:val="Compact"/>
            </w:pPr>
          </w:p>
        </w:tc>
        <w:tc>
          <w:tcPr/>
          <w:p>
            <w:pPr>
              <w:pStyle w:val="Compact"/>
            </w:pPr>
          </w:p>
        </w:tc>
      </w:tr>
      <w:tr>
        <w:tc>
          <w:tcPr/>
          <w:p>
            <w:pPr>
              <w:pStyle w:val="Compact"/>
              <w:jc w:val="left"/>
            </w:pPr>
            <w:r>
              <w:t xml:space="preserve">Divorced</w:t>
            </w:r>
          </w:p>
        </w:tc>
        <w:tc>
          <w:tcPr/>
          <w:p>
            <w:pPr>
              <w:pStyle w:val="Compact"/>
              <w:jc w:val="right"/>
            </w:pPr>
            <w:r>
              <w:t xml:space="preserve">45</w:t>
            </w:r>
          </w:p>
        </w:tc>
        <w:tc>
          <w:tcPr/>
          <w:p>
            <w:pPr>
              <w:pStyle w:val="Compact"/>
              <w:jc w:val="right"/>
            </w:pPr>
            <w:r>
              <w:t xml:space="preserve">29.8</w:t>
            </w:r>
          </w:p>
        </w:tc>
        <w:tc>
          <w:tcPr/>
          <w:p>
            <w:pPr>
              <w:pStyle w:val="Compact"/>
            </w:pPr>
          </w:p>
        </w:tc>
        <w:tc>
          <w:tcPr/>
          <w:p>
            <w:pPr>
              <w:pStyle w:val="Compact"/>
            </w:pPr>
          </w:p>
        </w:tc>
        <w:tc>
          <w:tcPr/>
          <w:p>
            <w:pPr>
              <w:pStyle w:val="Compact"/>
            </w:pPr>
          </w:p>
        </w:tc>
      </w:tr>
      <w:tr>
        <w:tc>
          <w:tcPr/>
          <w:p>
            <w:pPr>
              <w:pStyle w:val="Compact"/>
              <w:jc w:val="left"/>
            </w:pPr>
            <w:r>
              <w:t xml:space="preserve">Separated</w:t>
            </w:r>
          </w:p>
        </w:tc>
        <w:tc>
          <w:tcPr/>
          <w:p>
            <w:pPr>
              <w:pStyle w:val="Compact"/>
              <w:jc w:val="right"/>
            </w:pPr>
            <w:r>
              <w:t xml:space="preserve">5</w:t>
            </w:r>
          </w:p>
        </w:tc>
        <w:tc>
          <w:tcPr/>
          <w:p>
            <w:pPr>
              <w:pStyle w:val="Compact"/>
              <w:jc w:val="right"/>
            </w:pPr>
            <w:r>
              <w:t xml:space="preserve">3.3</w:t>
            </w:r>
          </w:p>
        </w:tc>
        <w:tc>
          <w:tcPr/>
          <w:p>
            <w:pPr>
              <w:pStyle w:val="Compact"/>
            </w:pPr>
          </w:p>
        </w:tc>
        <w:tc>
          <w:tcPr/>
          <w:p>
            <w:pPr>
              <w:pStyle w:val="Compact"/>
            </w:pPr>
          </w:p>
        </w:tc>
        <w:tc>
          <w:tcPr/>
          <w:p>
            <w:pPr>
              <w:pStyle w:val="Compact"/>
            </w:pPr>
          </w:p>
        </w:tc>
      </w:tr>
      <w:tr>
        <w:tc>
          <w:tcPr/>
          <w:p>
            <w:pPr>
              <w:pStyle w:val="Compact"/>
              <w:jc w:val="left"/>
            </w:pPr>
            <w:r>
              <w:t xml:space="preserve">Widowed</w:t>
            </w:r>
          </w:p>
        </w:tc>
        <w:tc>
          <w:tcPr/>
          <w:p>
            <w:pPr>
              <w:pStyle w:val="Compact"/>
              <w:jc w:val="right"/>
            </w:pPr>
            <w:r>
              <w:t xml:space="preserve">2</w:t>
            </w:r>
          </w:p>
        </w:tc>
        <w:tc>
          <w:tcPr/>
          <w:p>
            <w:pPr>
              <w:pStyle w:val="Compact"/>
              <w:jc w:val="right"/>
            </w:pPr>
            <w:r>
              <w:t xml:space="preserve">1.3</w:t>
            </w:r>
          </w:p>
        </w:tc>
        <w:tc>
          <w:tcPr/>
          <w:p>
            <w:pPr>
              <w:pStyle w:val="Compact"/>
            </w:pPr>
          </w:p>
        </w:tc>
        <w:tc>
          <w:tcPr/>
          <w:p>
            <w:pPr>
              <w:pStyle w:val="Compact"/>
            </w:pPr>
          </w:p>
        </w:tc>
        <w:tc>
          <w:tcPr/>
          <w:p>
            <w:pPr>
              <w:pStyle w:val="Compact"/>
            </w:pPr>
          </w:p>
        </w:tc>
      </w:tr>
      <w:tr>
        <w:tc>
          <w:tcPr/>
          <w:p>
            <w:pPr>
              <w:pStyle w:val="Compact"/>
              <w:jc w:val="left"/>
            </w:pPr>
            <w:r>
              <w:t xml:space="preserve">DSM-5 AUD Symptom Count</w:t>
            </w:r>
          </w:p>
        </w:tc>
        <w:tc>
          <w:tcPr/>
          <w:p>
            <w:pPr>
              <w:pStyle w:val="Compact"/>
            </w:pPr>
          </w:p>
        </w:tc>
        <w:tc>
          <w:tcPr/>
          <w:p>
            <w:pPr>
              <w:pStyle w:val="Compact"/>
            </w:pPr>
          </w:p>
        </w:tc>
        <w:tc>
          <w:tcPr/>
          <w:p>
            <w:pPr>
              <w:pStyle w:val="Compact"/>
              <w:jc w:val="left"/>
            </w:pPr>
            <w:r>
              <w:t xml:space="preserve">8.9</w:t>
            </w:r>
          </w:p>
        </w:tc>
        <w:tc>
          <w:tcPr/>
          <w:p>
            <w:pPr>
              <w:pStyle w:val="Compact"/>
              <w:jc w:val="left"/>
            </w:pPr>
            <w:r>
              <w:t xml:space="preserve">1.9</w:t>
            </w:r>
          </w:p>
        </w:tc>
        <w:tc>
          <w:tcPr/>
          <w:p>
            <w:pPr>
              <w:pStyle w:val="Compact"/>
              <w:jc w:val="left"/>
            </w:pPr>
            <w:r>
              <w:t xml:space="preserve">4-11</w:t>
            </w: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84</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67</w:t>
            </w:r>
          </w:p>
        </w:tc>
        <w:tc>
          <w:tcPr/>
          <w:p>
            <w:pPr>
              <w:pStyle w:val="Compact"/>
              <w:jc w:val="right"/>
            </w:pPr>
            <w:r>
              <w:t xml:space="preserve">44.4</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left"/>
            </w:pPr>
            <w:r>
              <w:t xml:space="preserve">6.8</w:t>
            </w:r>
          </w:p>
        </w:tc>
        <w:tc>
          <w:tcPr/>
          <w:p>
            <w:pPr>
              <w:pStyle w:val="Compact"/>
              <w:jc w:val="left"/>
            </w:pPr>
            <w:r>
              <w:t xml:space="preserve">12</w:t>
            </w:r>
          </w:p>
        </w:tc>
        <w:tc>
          <w:tcPr/>
          <w:p>
            <w:pPr>
              <w:pStyle w:val="Compact"/>
              <w:jc w:val="left"/>
            </w:pPr>
            <w:r>
              <w:t xml:space="preserve">0-75</w:t>
            </w:r>
          </w:p>
        </w:tc>
      </w:tr>
    </w:tbl>
    <w:bookmarkEnd w:id="41"/>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and 168 hour lag (median=0.857, IQR=0.061), and moderate for the 336 hour lag (median=0.857, IQR=0.064).</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0.850 (336 hour lag). These values represent our best estimates for the magnitude of the auROC parameter for each model. The 95% Bayesian CI for the auROCs for these models were relatively narrow and did not contain 0.5: baseline[0.876-0.908], 24 hour lag[0.869-0.902], 72 hour lag[0.856-0.892], 168 hour lag[0.852-0.889], 336 hour lag[0.828-0.870].</w:t>
      </w:r>
      <w:r>
        <w:t xml:space="preserve"> </w:t>
      </w:r>
      <w:hyperlink w:anchor="fig-roc">
        <w:r>
          <w:rPr>
            <w:rStyle w:val="Hyperlink"/>
          </w:rPr>
          <w:t xml:space="preserve">Figure 1</w:t>
        </w:r>
      </w:hyperlink>
      <w:r>
        <w:t xml:space="preserve"> </w:t>
      </w:r>
      <w:r>
        <w:t xml:space="preserve">displays these median auROCs and 95% Bayesian CIs by model.</w:t>
      </w:r>
    </w:p>
    <w:bookmarkStart w:id="48" w:name="cell-fig-roc"/>
    <w:tbl>
      <w:tblPr>
        <w:tblStyle w:val="Table"/>
        <w:tblW w:type="pct" w:w="5000"/>
        <w:tblLook w:firstRow="0" w:lastRow="0" w:firstColumn="0" w:lastColumn="0" w:noHBand="0" w:noVBand="0" w:val="0000"/>
        <w:jc w:val="start"/>
        <w:tblLayout w:type="fixed"/>
      </w:tblPr>
      <w:tblGrid>
        <w:gridCol w:w="7920"/>
      </w:tblGrid>
      <w:tr>
        <w:tc>
          <w:tcPr/>
          <w:bookmarkStart w:id="47" w:name="fig-roc"/>
          <w:p>
            <w:pPr>
              <w:pStyle w:val="Compact"/>
              <w:jc w:val="center"/>
            </w:pPr>
            <w:r>
              <w:drawing>
                <wp:inline>
                  <wp:extent cx="4620126" cy="3696101"/>
                  <wp:effectExtent b="0" l="0" r="0" t="0"/>
                  <wp:docPr descr="" title="" id="45" name="Picture"/>
                  <a:graphic>
                    <a:graphicData uri="http://schemas.openxmlformats.org/drawingml/2006/picture">
                      <pic:pic>
                        <pic:nvPicPr>
                          <pic:cNvPr descr="index_files/figure-docx/fig-ro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auROC by Model</w:t>
            </w:r>
          </w:p>
          <w:bookmarkEnd w:id="47"/>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48"/>
    <w:bookmarkEnd w:id="49"/>
    <w:bookmarkStart w:id="52" w:name="model-comparisons-1"/>
    <w:p>
      <w:pPr>
        <w:pStyle w:val="Heading3"/>
      </w:pPr>
      <w:r>
        <w:t xml:space="preserve">Model Comparisons</w:t>
      </w:r>
    </w:p>
    <w:bookmarkStart w:id="50" w:name="baseline-contrasts"/>
    <w:p>
      <w:pPr>
        <w:pStyle w:val="Heading4"/>
      </w:pPr>
      <w:r>
        <w:t xml:space="preserve">Baseline Contrasts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CI=[0.013-0.025]),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50"/>
    <w:bookmarkStart w:id="51" w:name="adjacent-contrasts"/>
    <w:p>
      <w:pPr>
        <w:pStyle w:val="Heading4"/>
      </w:pPr>
      <w:r>
        <w:t xml:space="preserve">Adjacent Contrasts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median decrease in auROC for the 24 hour vs. 72 hour lag model was 0.012 (95% CI=[0.006-0.018]), yielding a significant probability of 0.999 that the 72 hour lag model had worse performance than the 24 hour lag model. The median decrease in auROC for the 72 hour vs. 168 hour lag model was 0.003 (95% CI=[-0.002-0.010]), yielding a non-significant probability of 0.836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1"/>
    <w:bookmarkEnd w:id="52"/>
    <w:bookmarkStart w:id="55" w:name="fairness-benchmarks-1"/>
    <w:p>
      <w:pPr>
        <w:pStyle w:val="Heading3"/>
      </w:pPr>
      <w:r>
        <w:t xml:space="preserve">Fairness Benchmarks</w:t>
      </w:r>
    </w:p>
    <w:p>
      <w:pPr>
        <w:pStyle w:val="FirstParagraph"/>
      </w:pPr>
      <w:hyperlink w:anchor="tbl-fairness">
        <w:r>
          <w:rPr>
            <w:rStyle w:val="Hyperlink"/>
          </w:rPr>
          <w:t xml:space="preserve">Table 2</w:t>
        </w:r>
      </w:hyperlink>
      <w:r>
        <w:t xml:space="preserve"> </w:t>
      </w:r>
      <w:r>
        <w:t xml:space="preserve">shows the performance of each model by demographic group. All group comparisons for race, sex, and income were significant across models. On average there was a median increase in auROC for white participants compared to participants who were not white was 0.235 (95% CI=[0.104-0.385]). On average there was a median increase in auROC for male participants compared to female participants was 0.090 (95% CI=[0.030-0.177]). On average there was a median increase in auROC for participants above the federal poverty line compared to participants below the federal poverty line was 0.171 (95% CI=[0.072-0.316]).</w:t>
      </w:r>
      <w:r>
        <w:t xml:space="preserve"> </w:t>
      </w:r>
    </w:p>
    <w:p>
      <w:pPr>
        <w:pStyle w:val="BodyText"/>
      </w:pPr>
      <w:r>
        <w:t xml:space="preserve">Notably, the Bayesian CIs were wide and included chance performance as lag increased (i.e., 72 hours, 168 hours, and 336 hours) for individuals who were not white and with an income below the federal poverty line.</w:t>
      </w:r>
    </w:p>
    <w:p>
      <w:pPr>
        <w:pStyle w:val="BodyText"/>
      </w:pPr>
      <w:r>
        <w:t xml:space="preserve">Comparisons were inconsistent across models for age. For the baseline (no lag), 72 hour lag, and 168 hour lag models there were no significant differences in performance. In the 24 hour lag model, there was a significant increase in performance for younger adults. However, in the 336 hour lag model, there was a significant increase in performance for older adults.</w:t>
      </w:r>
    </w:p>
    <w:tbl>
      <w:tblPr>
        <w:tblStyle w:val="Table"/>
        <w:tblW w:type="pct" w:w="5000"/>
        <w:tblLook w:firstRow="0" w:lastRow="0" w:firstColumn="0" w:lastColumn="0" w:noHBand="0" w:noVBand="0" w:val="0000"/>
        <w:jc w:val="start"/>
        <w:tblLayout w:type="fixed"/>
      </w:tblPr>
      <w:tblGrid>
        <w:gridCol w:w="7920"/>
      </w:tblGrid>
      <w:tr>
        <w:tc>
          <w:tcPr/>
          <w:bookmarkStart w:id="53" w:name="tbl-fairness"/>
          <w:p>
            <w:pPr>
              <w:jc w:val="center"/>
            </w:pPr>
            <w:pPr>
              <w:jc w:val="start"/>
              <w:spacing w:before="200"/>
              <w:pStyle w:val="ImageCaption"/>
            </w:pPr>
            <w:r>
              <w:t xml:space="preserve">Table 2: Model Performance by Demographic Group</w:t>
            </w:r>
          </w:p>
          <w:tbl>
            <w:tblPr>
              <w:tblStyle w:val="Table"/>
              <w:tblW w:type="pct" w:w="4925"/>
              <w:tblLook w:firstRow="1" w:lastRow="0" w:firstColumn="0" w:lastColumn="0" w:noHBand="0" w:noVBand="0" w:val="0020"/>
              <w:jc w:val="start"/>
              <w:tblLayout w:type="fixed"/>
            </w:tblPr>
            <w:tblGrid>
              <w:gridCol w:w="1004"/>
              <w:gridCol w:w="531"/>
              <w:gridCol w:w="827"/>
              <w:gridCol w:w="531"/>
              <w:gridCol w:w="827"/>
              <w:gridCol w:w="531"/>
              <w:gridCol w:w="827"/>
              <w:gridCol w:w="531"/>
              <w:gridCol w:w="827"/>
              <w:gridCol w:w="531"/>
              <w:gridCol w:w="827"/>
            </w:tblGrid>
            <w:tr>
              <w:trPr>
                <w:tblHeader w:val="true"/>
              </w:trPr>
              <w:tc>
                <w:tcPr/>
                <w:p>
                  <w:pPr>
                    <w:pStyle w:val="Compact"/>
                  </w:pPr>
                </w:p>
              </w:tc>
              <w:tc>
                <w:tcPr/>
                <w:p>
                  <w:pPr>
                    <w:pStyle w:val="Compact"/>
                    <w:jc w:val="left"/>
                    <w:jc w:val="center"/>
                  </w:pPr>
                  <w:r>
                    <w:t xml:space="preserve">0 Lag</w:t>
                  </w:r>
                </w:p>
              </w:tc>
              <w:tc>
                <w:tcPr/>
                <w:p>
                  <w:pPr>
                    <w:pStyle w:val="Compact"/>
                  </w:pPr>
                </w:p>
              </w:tc>
              <w:tc>
                <w:tcPr/>
                <w:p>
                  <w:pPr>
                    <w:pStyle w:val="Compact"/>
                    <w:jc w:val="left"/>
                    <w:jc w:val="center"/>
                  </w:pPr>
                  <w:r>
                    <w:t xml:space="preserve">24 Lag</w:t>
                  </w:r>
                </w:p>
              </w:tc>
              <w:tc>
                <w:tcPr/>
                <w:p>
                  <w:pPr>
                    <w:pStyle w:val="Compact"/>
                  </w:pPr>
                </w:p>
              </w:tc>
              <w:tc>
                <w:tcPr/>
                <w:p>
                  <w:pPr>
                    <w:pStyle w:val="Compact"/>
                    <w:jc w:val="left"/>
                    <w:jc w:val="center"/>
                  </w:pPr>
                  <w:r>
                    <w:t xml:space="preserve">72 Lag</w:t>
                  </w:r>
                </w:p>
              </w:tc>
              <w:tc>
                <w:tcPr/>
                <w:p>
                  <w:pPr>
                    <w:pStyle w:val="Compact"/>
                  </w:pPr>
                </w:p>
              </w:tc>
              <w:tc>
                <w:tcPr/>
                <w:p>
                  <w:pPr>
                    <w:pStyle w:val="Compact"/>
                    <w:jc w:val="left"/>
                    <w:jc w:val="center"/>
                  </w:pPr>
                  <w:r>
                    <w:t xml:space="preserve">168 Lag</w:t>
                  </w:r>
                </w:p>
              </w:tc>
              <w:tc>
                <w:tcPr/>
                <w:p>
                  <w:pPr>
                    <w:pStyle w:val="Compact"/>
                  </w:pPr>
                </w:p>
              </w:tc>
              <w:tc>
                <w:tcPr/>
                <w:p>
                  <w:pPr>
                    <w:pStyle w:val="Compact"/>
                    <w:jc w:val="left"/>
                    <w:jc w:val="center"/>
                  </w:pPr>
                  <w:r>
                    <w:t xml:space="preserve">336 Lag</w:t>
                  </w:r>
                </w:p>
              </w:tc>
              <w:tc>
                <w:tcPr/>
                <w:p>
                  <w:pPr>
                    <w:pStyle w:val="Compact"/>
                  </w:pPr>
                </w:p>
              </w:tc>
            </w:tr>
            <w:tr>
              <w:tc>
                <w:tcPr/>
                <w:p>
                  <w:pPr>
                    <w:pStyle w:val="Compact"/>
                    <w:jc w:val="left"/>
                    <w:jc w:val="center"/>
                  </w:pPr>
                  <w:r>
                    <w:t xml:space="preserve">Group</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not white</w:t>
                  </w:r>
                </w:p>
              </w:tc>
              <w:tc>
                <w:tcPr/>
                <w:p>
                  <w:pPr>
                    <w:pStyle w:val="Compact"/>
                    <w:jc w:val="left"/>
                    <w:jc w:val="center"/>
                  </w:pPr>
                  <w:r>
                    <w:t xml:space="preserve">0.736</w:t>
                  </w:r>
                </w:p>
              </w:tc>
              <w:tc>
                <w:tcPr/>
                <w:p>
                  <w:pPr>
                    <w:pStyle w:val="Compact"/>
                    <w:jc w:val="left"/>
                    <w:jc w:val="center"/>
                  </w:pPr>
                  <w:r>
                    <w:t xml:space="preserve">0.635-0.815</w:t>
                  </w:r>
                </w:p>
              </w:tc>
              <w:tc>
                <w:tcPr/>
                <w:p>
                  <w:pPr>
                    <w:pStyle w:val="Compact"/>
                    <w:jc w:val="left"/>
                    <w:jc w:val="center"/>
                  </w:pPr>
                  <w:r>
                    <w:t xml:space="preserve">0.696</w:t>
                  </w:r>
                </w:p>
              </w:tc>
              <w:tc>
                <w:tcPr/>
                <w:p>
                  <w:pPr>
                    <w:pStyle w:val="Compact"/>
                    <w:jc w:val="left"/>
                    <w:jc w:val="center"/>
                  </w:pPr>
                  <w:r>
                    <w:t xml:space="preserve">0.608-0.773</w:t>
                  </w:r>
                </w:p>
              </w:tc>
              <w:tc>
                <w:tcPr/>
                <w:p>
                  <w:pPr>
                    <w:pStyle w:val="Compact"/>
                    <w:jc w:val="left"/>
                    <w:jc w:val="center"/>
                  </w:pPr>
                  <w:r>
                    <w:t xml:space="preserve">0.645</w:t>
                  </w:r>
                </w:p>
              </w:tc>
              <w:tc>
                <w:tcPr/>
                <w:p>
                  <w:pPr>
                    <w:pStyle w:val="Compact"/>
                    <w:jc w:val="left"/>
                    <w:jc w:val="center"/>
                  </w:pPr>
                  <w:r>
                    <w:t xml:space="preserve">0.469-0.79</w:t>
                  </w:r>
                </w:p>
              </w:tc>
              <w:tc>
                <w:tcPr/>
                <w:p>
                  <w:pPr>
                    <w:pStyle w:val="Compact"/>
                    <w:jc w:val="left"/>
                    <w:jc w:val="center"/>
                  </w:pPr>
                  <w:r>
                    <w:t xml:space="preserve">0.635</w:t>
                  </w:r>
                </w:p>
              </w:tc>
              <w:tc>
                <w:tcPr/>
                <w:p>
                  <w:pPr>
                    <w:pStyle w:val="Compact"/>
                    <w:jc w:val="left"/>
                    <w:jc w:val="center"/>
                  </w:pPr>
                  <w:r>
                    <w:t xml:space="preserve">0.467-0.784</w:t>
                  </w:r>
                </w:p>
              </w:tc>
              <w:tc>
                <w:tcPr/>
                <w:p>
                  <w:pPr>
                    <w:pStyle w:val="Compact"/>
                    <w:jc w:val="left"/>
                    <w:jc w:val="center"/>
                  </w:pPr>
                  <w:r>
                    <w:t xml:space="preserve">0.589</w:t>
                  </w:r>
                </w:p>
              </w:tc>
              <w:tc>
                <w:tcPr/>
                <w:p>
                  <w:pPr>
                    <w:pStyle w:val="Compact"/>
                    <w:jc w:val="left"/>
                    <w:jc w:val="center"/>
                  </w:pPr>
                  <w:r>
                    <w:t xml:space="preserve">0.367-0.783</w:t>
                  </w:r>
                </w:p>
              </w:tc>
            </w:tr>
            <w:tr>
              <w:tc>
                <w:tcPr/>
                <w:p>
                  <w:pPr>
                    <w:pStyle w:val="Compact"/>
                    <w:jc w:val="left"/>
                    <w:jc w:val="center"/>
                  </w:pPr>
                  <w:r>
                    <w:t xml:space="preserve">white</w:t>
                  </w:r>
                </w:p>
              </w:tc>
              <w:tc>
                <w:tcPr/>
                <w:p>
                  <w:pPr>
                    <w:pStyle w:val="Compact"/>
                    <w:jc w:val="left"/>
                    <w:jc w:val="center"/>
                  </w:pPr>
                  <w:r>
                    <w:t xml:space="preserve">0.901</w:t>
                  </w:r>
                </w:p>
              </w:tc>
              <w:tc>
                <w:tcPr/>
                <w:p>
                  <w:pPr>
                    <w:pStyle w:val="Compact"/>
                    <w:jc w:val="left"/>
                    <w:jc w:val="center"/>
                  </w:pPr>
                  <w:r>
                    <w:t xml:space="preserve">0.857-0.931</w:t>
                  </w:r>
                </w:p>
              </w:tc>
              <w:tc>
                <w:tcPr/>
                <w:p>
                  <w:pPr>
                    <w:pStyle w:val="Compact"/>
                    <w:jc w:val="left"/>
                    <w:jc w:val="center"/>
                  </w:pPr>
                  <w:r>
                    <w:t xml:space="preserve">0.894</w:t>
                  </w:r>
                </w:p>
              </w:tc>
              <w:tc>
                <w:tcPr/>
                <w:p>
                  <w:pPr>
                    <w:pStyle w:val="Compact"/>
                    <w:jc w:val="left"/>
                    <w:jc w:val="center"/>
                  </w:pPr>
                  <w:r>
                    <w:t xml:space="preserve">0.855-0.922</w:t>
                  </w:r>
                </w:p>
              </w:tc>
              <w:tc>
                <w:tcPr/>
                <w:p>
                  <w:pPr>
                    <w:pStyle w:val="Compact"/>
                    <w:jc w:val="left"/>
                    <w:jc w:val="center"/>
                  </w:pPr>
                  <w:r>
                    <w:t xml:space="preserve">0.884</w:t>
                  </w:r>
                </w:p>
              </w:tc>
              <w:tc>
                <w:tcPr/>
                <w:p>
                  <w:pPr>
                    <w:pStyle w:val="Compact"/>
                    <w:jc w:val="left"/>
                    <w:jc w:val="center"/>
                  </w:pPr>
                  <w:r>
                    <w:t xml:space="preserve">0.808-0.932</w:t>
                  </w:r>
                </w:p>
              </w:tc>
              <w:tc>
                <w:tcPr/>
                <w:p>
                  <w:pPr>
                    <w:pStyle w:val="Compact"/>
                    <w:jc w:val="left"/>
                    <w:jc w:val="center"/>
                  </w:pPr>
                  <w:r>
                    <w:t xml:space="preserve">0.876</w:t>
                  </w:r>
                </w:p>
              </w:tc>
              <w:tc>
                <w:tcPr/>
                <w:p>
                  <w:pPr>
                    <w:pStyle w:val="Compact"/>
                    <w:jc w:val="left"/>
                    <w:jc w:val="center"/>
                  </w:pPr>
                  <w:r>
                    <w:t xml:space="preserve">0.795-0.927</w:t>
                  </w:r>
                </w:p>
              </w:tc>
              <w:tc>
                <w:tcPr/>
                <w:p>
                  <w:pPr>
                    <w:pStyle w:val="Compact"/>
                    <w:jc w:val="left"/>
                    <w:jc w:val="center"/>
                  </w:pPr>
                  <w:r>
                    <w:t xml:space="preserve">0.854</w:t>
                  </w:r>
                </w:p>
              </w:tc>
              <w:tc>
                <w:tcPr/>
                <w:p>
                  <w:pPr>
                    <w:pStyle w:val="Compact"/>
                    <w:jc w:val="left"/>
                    <w:jc w:val="center"/>
                  </w:pPr>
                  <w:r>
                    <w:t xml:space="preserve">0.734-0.927</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left"/>
                    <w:jc w:val="center"/>
                  </w:pPr>
                  <w:r>
                    <w:t xml:space="preserve">0.85</w:t>
                  </w:r>
                </w:p>
              </w:tc>
              <w:tc>
                <w:tcPr/>
                <w:p>
                  <w:pPr>
                    <w:pStyle w:val="Compact"/>
                    <w:jc w:val="left"/>
                    <w:jc w:val="center"/>
                  </w:pPr>
                  <w:r>
                    <w:t xml:space="preserve">0.793-0.893</w:t>
                  </w:r>
                </w:p>
              </w:tc>
              <w:tc>
                <w:tcPr/>
                <w:p>
                  <w:pPr>
                    <w:pStyle w:val="Compact"/>
                    <w:jc w:val="left"/>
                    <w:jc w:val="center"/>
                  </w:pPr>
                  <w:r>
                    <w:t xml:space="preserve">0.838</w:t>
                  </w:r>
                </w:p>
              </w:tc>
              <w:tc>
                <w:tcPr/>
                <w:p>
                  <w:pPr>
                    <w:pStyle w:val="Compact"/>
                    <w:jc w:val="left"/>
                    <w:jc w:val="center"/>
                  </w:pPr>
                  <w:r>
                    <w:t xml:space="preserve">0.783-0.88</w:t>
                  </w:r>
                </w:p>
              </w:tc>
              <w:tc>
                <w:tcPr/>
                <w:p>
                  <w:pPr>
                    <w:pStyle w:val="Compact"/>
                    <w:jc w:val="left"/>
                    <w:jc w:val="center"/>
                  </w:pPr>
                  <w:r>
                    <w:t xml:space="preserve">0.817</w:t>
                  </w:r>
                </w:p>
              </w:tc>
              <w:tc>
                <w:tcPr/>
                <w:p>
                  <w:pPr>
                    <w:pStyle w:val="Compact"/>
                    <w:jc w:val="left"/>
                    <w:jc w:val="center"/>
                  </w:pPr>
                  <w:r>
                    <w:t xml:space="preserve">0.71-0.891</w:t>
                  </w:r>
                </w:p>
              </w:tc>
              <w:tc>
                <w:tcPr/>
                <w:p>
                  <w:pPr>
                    <w:pStyle w:val="Compact"/>
                    <w:jc w:val="left"/>
                    <w:jc w:val="center"/>
                  </w:pPr>
                  <w:r>
                    <w:t xml:space="preserve">0.808</w:t>
                  </w:r>
                </w:p>
              </w:tc>
              <w:tc>
                <w:tcPr/>
                <w:p>
                  <w:pPr>
                    <w:pStyle w:val="Compact"/>
                    <w:jc w:val="left"/>
                    <w:jc w:val="center"/>
                  </w:pPr>
                  <w:r>
                    <w:t xml:space="preserve">0.694-0.883</w:t>
                  </w:r>
                </w:p>
              </w:tc>
              <w:tc>
                <w:tcPr/>
                <w:p>
                  <w:pPr>
                    <w:pStyle w:val="Compact"/>
                    <w:jc w:val="left"/>
                    <w:jc w:val="center"/>
                  </w:pPr>
                  <w:r>
                    <w:t xml:space="preserve">0.775</w:t>
                  </w:r>
                </w:p>
              </w:tc>
              <w:tc>
                <w:tcPr/>
                <w:p>
                  <w:pPr>
                    <w:pStyle w:val="Compact"/>
                    <w:jc w:val="left"/>
                    <w:jc w:val="center"/>
                  </w:pPr>
                  <w:r>
                    <w:t xml:space="preserve">0.613-0.878</w:t>
                  </w:r>
                </w:p>
              </w:tc>
            </w:tr>
            <w:tr>
              <w:tc>
                <w:tcPr/>
                <w:p>
                  <w:pPr>
                    <w:pStyle w:val="Compact"/>
                    <w:jc w:val="left"/>
                    <w:jc w:val="center"/>
                  </w:pPr>
                  <w:r>
                    <w:t xml:space="preserve">male</w:t>
                  </w:r>
                </w:p>
              </w:tc>
              <w:tc>
                <w:tcPr/>
                <w:p>
                  <w:pPr>
                    <w:pStyle w:val="Compact"/>
                    <w:jc w:val="left"/>
                    <w:jc w:val="center"/>
                  </w:pPr>
                  <w:r>
                    <w:t xml:space="preserve">0.921</w:t>
                  </w:r>
                </w:p>
              </w:tc>
              <w:tc>
                <w:tcPr/>
                <w:p>
                  <w:pPr>
                    <w:pStyle w:val="Compact"/>
                    <w:jc w:val="left"/>
                    <w:jc w:val="center"/>
                  </w:pPr>
                  <w:r>
                    <w:t xml:space="preserve">0.886-0.945</w:t>
                  </w:r>
                </w:p>
              </w:tc>
              <w:tc>
                <w:tcPr/>
                <w:p>
                  <w:pPr>
                    <w:pStyle w:val="Compact"/>
                    <w:jc w:val="left"/>
                    <w:jc w:val="center"/>
                  </w:pPr>
                  <w:r>
                    <w:t xml:space="preserve">0.917</w:t>
                  </w:r>
                </w:p>
              </w:tc>
              <w:tc>
                <w:tcPr/>
                <w:p>
                  <w:pPr>
                    <w:pStyle w:val="Compact"/>
                    <w:jc w:val="left"/>
                    <w:jc w:val="center"/>
                  </w:pPr>
                  <w:r>
                    <w:t xml:space="preserve">0.887-0.94</w:t>
                  </w:r>
                </w:p>
              </w:tc>
              <w:tc>
                <w:tcPr/>
                <w:p>
                  <w:pPr>
                    <w:pStyle w:val="Compact"/>
                    <w:jc w:val="left"/>
                    <w:jc w:val="center"/>
                  </w:pPr>
                  <w:r>
                    <w:t xml:space="preserve">0.909</w:t>
                  </w:r>
                </w:p>
              </w:tc>
              <w:tc>
                <w:tcPr/>
                <w:p>
                  <w:pPr>
                    <w:pStyle w:val="Compact"/>
                    <w:jc w:val="left"/>
                    <w:jc w:val="center"/>
                  </w:pPr>
                  <w:r>
                    <w:t xml:space="preserve">0.848-0.946</w:t>
                  </w:r>
                </w:p>
              </w:tc>
              <w:tc>
                <w:tcPr/>
                <w:p>
                  <w:pPr>
                    <w:pStyle w:val="Compact"/>
                    <w:jc w:val="left"/>
                    <w:jc w:val="center"/>
                  </w:pPr>
                  <w:r>
                    <w:t xml:space="preserve">0.917</w:t>
                  </w:r>
                </w:p>
              </w:tc>
              <w:tc>
                <w:tcPr/>
                <w:p>
                  <w:pPr>
                    <w:pStyle w:val="Compact"/>
                    <w:jc w:val="left"/>
                    <w:jc w:val="center"/>
                  </w:pPr>
                  <w:r>
                    <w:t xml:space="preserve">0.86-0.953</w:t>
                  </w:r>
                </w:p>
              </w:tc>
              <w:tc>
                <w:tcPr/>
                <w:p>
                  <w:pPr>
                    <w:pStyle w:val="Compact"/>
                    <w:jc w:val="left"/>
                    <w:jc w:val="center"/>
                  </w:pPr>
                  <w:r>
                    <w:t xml:space="preserve">0.9</w:t>
                  </w:r>
                </w:p>
              </w:tc>
              <w:tc>
                <w:tcPr/>
                <w:p>
                  <w:pPr>
                    <w:pStyle w:val="Compact"/>
                    <w:jc w:val="left"/>
                    <w:jc w:val="center"/>
                  </w:pPr>
                  <w:r>
                    <w:t xml:space="preserve">0.804-0.951</w:t>
                  </w:r>
                </w:p>
              </w:tc>
            </w:tr>
            <w:tr>
              <w:tc>
                <w:tcPr/>
                <w:p>
                  <w:pPr>
                    <w:pStyle w:val="Compact"/>
                    <w:jc w:val="left"/>
                    <w:jc w:val="center"/>
                  </w:pPr>
                  <w:r>
                    <w:t xml:space="preserve">Income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below poverty</w:t>
                  </w:r>
                </w:p>
              </w:tc>
              <w:tc>
                <w:tcPr/>
                <w:p>
                  <w:pPr>
                    <w:pStyle w:val="Compact"/>
                    <w:jc w:val="left"/>
                    <w:jc w:val="center"/>
                  </w:pPr>
                  <w:r>
                    <w:t xml:space="preserve">0.75</w:t>
                  </w:r>
                </w:p>
              </w:tc>
              <w:tc>
                <w:tcPr/>
                <w:p>
                  <w:pPr>
                    <w:pStyle w:val="Compact"/>
                    <w:jc w:val="left"/>
                    <w:jc w:val="center"/>
                  </w:pPr>
                  <w:r>
                    <w:t xml:space="preserve">0.651-0.833</w:t>
                  </w:r>
                </w:p>
              </w:tc>
              <w:tc>
                <w:tcPr/>
                <w:p>
                  <w:pPr>
                    <w:pStyle w:val="Compact"/>
                    <w:jc w:val="left"/>
                    <w:jc w:val="center"/>
                  </w:pPr>
                  <w:r>
                    <w:t xml:space="preserve">0.728</w:t>
                  </w:r>
                </w:p>
              </w:tc>
              <w:tc>
                <w:tcPr/>
                <w:p>
                  <w:pPr>
                    <w:pStyle w:val="Compact"/>
                    <w:jc w:val="left"/>
                    <w:jc w:val="center"/>
                  </w:pPr>
                  <w:r>
                    <w:t xml:space="preserve">0.635-0.804</w:t>
                  </w:r>
                </w:p>
              </w:tc>
              <w:tc>
                <w:tcPr/>
                <w:p>
                  <w:pPr>
                    <w:pStyle w:val="Compact"/>
                    <w:jc w:val="left"/>
                    <w:jc w:val="center"/>
                  </w:pPr>
                  <w:r>
                    <w:t xml:space="preserve">0.705</w:t>
                  </w:r>
                </w:p>
              </w:tc>
              <w:tc>
                <w:tcPr/>
                <w:p>
                  <w:pPr>
                    <w:pStyle w:val="Compact"/>
                    <w:jc w:val="left"/>
                    <w:jc w:val="center"/>
                  </w:pPr>
                  <w:r>
                    <w:t xml:space="preserve">0.526-0.835</w:t>
                  </w:r>
                </w:p>
              </w:tc>
              <w:tc>
                <w:tcPr/>
                <w:p>
                  <w:pPr>
                    <w:pStyle w:val="Compact"/>
                    <w:jc w:val="left"/>
                    <w:jc w:val="center"/>
                  </w:pPr>
                  <w:r>
                    <w:t xml:space="preserve">0.663</w:t>
                  </w:r>
                </w:p>
              </w:tc>
              <w:tc>
                <w:tcPr/>
                <w:p>
                  <w:pPr>
                    <w:pStyle w:val="Compact"/>
                    <w:jc w:val="left"/>
                    <w:jc w:val="center"/>
                  </w:pPr>
                  <w:r>
                    <w:t xml:space="preserve">0.478-0.815</w:t>
                  </w:r>
                </w:p>
              </w:tc>
              <w:tc>
                <w:tcPr/>
                <w:p>
                  <w:pPr>
                    <w:pStyle w:val="Compact"/>
                    <w:jc w:val="left"/>
                    <w:jc w:val="center"/>
                  </w:pPr>
                  <w:r>
                    <w:t xml:space="preserve">0.607</w:t>
                  </w:r>
                </w:p>
              </w:tc>
              <w:tc>
                <w:tcPr/>
                <w:p>
                  <w:pPr>
                    <w:pStyle w:val="Compact"/>
                    <w:jc w:val="left"/>
                    <w:jc w:val="center"/>
                  </w:pPr>
                  <w:r>
                    <w:t xml:space="preserve">0.366-0.801</w:t>
                  </w:r>
                </w:p>
              </w:tc>
            </w:tr>
            <w:tr>
              <w:tc>
                <w:tcPr/>
                <w:p>
                  <w:pPr>
                    <w:pStyle w:val="Compact"/>
                    <w:jc w:val="left"/>
                    <w:jc w:val="center"/>
                  </w:pPr>
                  <w:r>
                    <w:t xml:space="preserve">above poverty</w:t>
                  </w:r>
                </w:p>
              </w:tc>
              <w:tc>
                <w:tcPr/>
                <w:p>
                  <w:pPr>
                    <w:pStyle w:val="Compact"/>
                    <w:jc w:val="left"/>
                    <w:jc w:val="center"/>
                  </w:pPr>
                  <w:r>
                    <w:t xml:space="preserve">0.896</w:t>
                  </w:r>
                </w:p>
              </w:tc>
              <w:tc>
                <w:tcPr/>
                <w:p>
                  <w:pPr>
                    <w:pStyle w:val="Compact"/>
                    <w:jc w:val="left"/>
                    <w:jc w:val="center"/>
                  </w:pPr>
                  <w:r>
                    <w:t xml:space="preserve">0.854-0.929</w:t>
                  </w:r>
                </w:p>
              </w:tc>
              <w:tc>
                <w:tcPr/>
                <w:p>
                  <w:pPr>
                    <w:pStyle w:val="Compact"/>
                    <w:jc w:val="left"/>
                    <w:jc w:val="center"/>
                  </w:pPr>
                  <w:r>
                    <w:t xml:space="preserve">0.888</w:t>
                  </w:r>
                </w:p>
              </w:tc>
              <w:tc>
                <w:tcPr/>
                <w:p>
                  <w:pPr>
                    <w:pStyle w:val="Compact"/>
                    <w:jc w:val="left"/>
                    <w:jc w:val="center"/>
                  </w:pPr>
                  <w:r>
                    <w:t xml:space="preserve">0.848-0.918</w:t>
                  </w:r>
                </w:p>
              </w:tc>
              <w:tc>
                <w:tcPr/>
                <w:p>
                  <w:pPr>
                    <w:pStyle w:val="Compact"/>
                    <w:jc w:val="left"/>
                    <w:jc w:val="center"/>
                  </w:pPr>
                  <w:r>
                    <w:t xml:space="preserve">0.878</w:t>
                  </w:r>
                </w:p>
              </w:tc>
              <w:tc>
                <w:tcPr/>
                <w:p>
                  <w:pPr>
                    <w:pStyle w:val="Compact"/>
                    <w:jc w:val="left"/>
                    <w:jc w:val="center"/>
                  </w:pPr>
                  <w:r>
                    <w:t xml:space="preserve">0.798-0.929</w:t>
                  </w:r>
                </w:p>
              </w:tc>
              <w:tc>
                <w:tcPr/>
                <w:p>
                  <w:pPr>
                    <w:pStyle w:val="Compact"/>
                    <w:jc w:val="left"/>
                    <w:jc w:val="center"/>
                  </w:pPr>
                  <w:r>
                    <w:t xml:space="preserve">0.878</w:t>
                  </w:r>
                </w:p>
              </w:tc>
              <w:tc>
                <w:tcPr/>
                <w:p>
                  <w:pPr>
                    <w:pStyle w:val="Compact"/>
                    <w:jc w:val="left"/>
                    <w:jc w:val="center"/>
                  </w:pPr>
                  <w:r>
                    <w:t xml:space="preserve">0.795-0.93</w:t>
                  </w:r>
                </w:p>
              </w:tc>
              <w:tc>
                <w:tcPr/>
                <w:p>
                  <w:pPr>
                    <w:pStyle w:val="Compact"/>
                    <w:jc w:val="left"/>
                    <w:jc w:val="center"/>
                  </w:pPr>
                  <w:r>
                    <w:t xml:space="preserve">0.861</w:t>
                  </w:r>
                </w:p>
              </w:tc>
              <w:tc>
                <w:tcPr/>
                <w:p>
                  <w:pPr>
                    <w:pStyle w:val="Compact"/>
                    <w:jc w:val="left"/>
                    <w:jc w:val="center"/>
                  </w:pPr>
                  <w:r>
                    <w:t xml:space="preserve">0.738-0.931</w:t>
                  </w:r>
                </w:p>
              </w:tc>
            </w:tr>
            <w:tr>
              <w:tc>
                <w:tcPr/>
                <w:p>
                  <w:pPr>
                    <w:pStyle w:val="Compact"/>
                    <w:jc w:val="left"/>
                    <w:jc w:val="center"/>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older</w:t>
                  </w:r>
                </w:p>
              </w:tc>
              <w:tc>
                <w:tcPr/>
                <w:p>
                  <w:pPr>
                    <w:pStyle w:val="Compact"/>
                    <w:jc w:val="left"/>
                    <w:jc w:val="center"/>
                  </w:pPr>
                  <w:r>
                    <w:t xml:space="preserve">0.89</w:t>
                  </w:r>
                </w:p>
              </w:tc>
              <w:tc>
                <w:tcPr/>
                <w:p>
                  <w:pPr>
                    <w:pStyle w:val="Compact"/>
                    <w:jc w:val="left"/>
                    <w:jc w:val="center"/>
                  </w:pPr>
                  <w:r>
                    <w:t xml:space="preserve">0.838-0.928</w:t>
                  </w:r>
                </w:p>
              </w:tc>
              <w:tc>
                <w:tcPr/>
                <w:p>
                  <w:pPr>
                    <w:pStyle w:val="Compact"/>
                    <w:jc w:val="left"/>
                    <w:jc w:val="center"/>
                  </w:pPr>
                  <w:r>
                    <w:t xml:space="preserve">0.84</w:t>
                  </w:r>
                </w:p>
              </w:tc>
              <w:tc>
                <w:tcPr/>
                <w:p>
                  <w:pPr>
                    <w:pStyle w:val="Compact"/>
                    <w:jc w:val="left"/>
                    <w:jc w:val="center"/>
                  </w:pPr>
                  <w:r>
                    <w:t xml:space="preserve">0.779-0.886</w:t>
                  </w:r>
                </w:p>
              </w:tc>
              <w:tc>
                <w:tcPr/>
                <w:p>
                  <w:pPr>
                    <w:pStyle w:val="Compact"/>
                    <w:jc w:val="left"/>
                    <w:jc w:val="center"/>
                  </w:pPr>
                  <w:r>
                    <w:t xml:space="preserve">0.902</w:t>
                  </w:r>
                </w:p>
              </w:tc>
              <w:tc>
                <w:tcPr/>
                <w:p>
                  <w:pPr>
                    <w:pStyle w:val="Compact"/>
                    <w:jc w:val="left"/>
                    <w:jc w:val="center"/>
                  </w:pPr>
                  <w:r>
                    <w:t xml:space="preserve">0.823-0.949</w:t>
                  </w:r>
                </w:p>
              </w:tc>
              <w:tc>
                <w:tcPr/>
                <w:p>
                  <w:pPr>
                    <w:pStyle w:val="Compact"/>
                    <w:jc w:val="left"/>
                    <w:jc w:val="center"/>
                  </w:pPr>
                  <w:r>
                    <w:t xml:space="preserve">0.886</w:t>
                  </w:r>
                </w:p>
              </w:tc>
              <w:tc>
                <w:tcPr/>
                <w:p>
                  <w:pPr>
                    <w:pStyle w:val="Compact"/>
                    <w:jc w:val="left"/>
                    <w:jc w:val="center"/>
                  </w:pPr>
                  <w:r>
                    <w:t xml:space="preserve">0.792-0.941</w:t>
                  </w:r>
                </w:p>
              </w:tc>
              <w:tc>
                <w:tcPr/>
                <w:p>
                  <w:pPr>
                    <w:pStyle w:val="Compact"/>
                    <w:jc w:val="left"/>
                    <w:jc w:val="center"/>
                  </w:pPr>
                  <w:r>
                    <w:t xml:space="preserve">0.951</w:t>
                  </w:r>
                </w:p>
              </w:tc>
              <w:tc>
                <w:tcPr/>
                <w:p>
                  <w:pPr>
                    <w:pStyle w:val="Compact"/>
                    <w:jc w:val="left"/>
                    <w:jc w:val="center"/>
                  </w:pPr>
                  <w:r>
                    <w:t xml:space="preserve">0.884-0.981</w:t>
                  </w:r>
                </w:p>
              </w:tc>
            </w:tr>
            <w:tr>
              <w:tc>
                <w:tcPr/>
                <w:p>
                  <w:pPr>
                    <w:pStyle w:val="Compact"/>
                    <w:jc w:val="left"/>
                    <w:jc w:val="center"/>
                  </w:pPr>
                  <w:r>
                    <w:t xml:space="preserve">younger</w:t>
                  </w:r>
                </w:p>
              </w:tc>
              <w:tc>
                <w:tcPr/>
                <w:p>
                  <w:pPr>
                    <w:pStyle w:val="Compact"/>
                    <w:jc w:val="left"/>
                    <w:jc w:val="center"/>
                  </w:pPr>
                  <w:r>
                    <w:t xml:space="preserve">0.903</w:t>
                  </w:r>
                </w:p>
              </w:tc>
              <w:tc>
                <w:tcPr/>
                <w:p>
                  <w:pPr>
                    <w:pStyle w:val="Compact"/>
                    <w:jc w:val="left"/>
                    <w:jc w:val="center"/>
                  </w:pPr>
                  <w:r>
                    <w:t xml:space="preserve">0.862-0.932</w:t>
                  </w:r>
                </w:p>
              </w:tc>
              <w:tc>
                <w:tcPr/>
                <w:p>
                  <w:pPr>
                    <w:pStyle w:val="Compact"/>
                    <w:jc w:val="left"/>
                    <w:jc w:val="center"/>
                  </w:pPr>
                  <w:r>
                    <w:t xml:space="preserve">0.897</w:t>
                  </w:r>
                </w:p>
              </w:tc>
              <w:tc>
                <w:tcPr/>
                <w:p>
                  <w:pPr>
                    <w:pStyle w:val="Compact"/>
                    <w:jc w:val="left"/>
                    <w:jc w:val="center"/>
                  </w:pPr>
                  <w:r>
                    <w:t xml:space="preserve">0.86-0.925</w:t>
                  </w:r>
                </w:p>
              </w:tc>
              <w:tc>
                <w:tcPr/>
                <w:p>
                  <w:pPr>
                    <w:pStyle w:val="Compact"/>
                    <w:jc w:val="left"/>
                    <w:jc w:val="center"/>
                  </w:pPr>
                  <w:r>
                    <w:t xml:space="preserve">0.886</w:t>
                  </w:r>
                </w:p>
              </w:tc>
              <w:tc>
                <w:tcPr/>
                <w:p>
                  <w:pPr>
                    <w:pStyle w:val="Compact"/>
                    <w:jc w:val="left"/>
                    <w:jc w:val="center"/>
                  </w:pPr>
                  <w:r>
                    <w:t xml:space="preserve">0.809-0.933</w:t>
                  </w:r>
                </w:p>
              </w:tc>
              <w:tc>
                <w:tcPr/>
                <w:p>
                  <w:pPr>
                    <w:pStyle w:val="Compact"/>
                    <w:jc w:val="left"/>
                    <w:jc w:val="center"/>
                  </w:pPr>
                  <w:r>
                    <w:t xml:space="preserve">0.881</w:t>
                  </w:r>
                </w:p>
              </w:tc>
              <w:tc>
                <w:tcPr/>
                <w:p>
                  <w:pPr>
                    <w:pStyle w:val="Compact"/>
                    <w:jc w:val="left"/>
                    <w:jc w:val="center"/>
                  </w:pPr>
                  <w:r>
                    <w:t xml:space="preserve">0.801-0.931</w:t>
                  </w:r>
                </w:p>
              </w:tc>
              <w:tc>
                <w:tcPr/>
                <w:p>
                  <w:pPr>
                    <w:pStyle w:val="Compact"/>
                    <w:jc w:val="left"/>
                    <w:jc w:val="center"/>
                  </w:pPr>
                  <w:r>
                    <w:t xml:space="preserve">0.859</w:t>
                  </w:r>
                </w:p>
              </w:tc>
              <w:tc>
                <w:tcPr/>
                <w:p>
                  <w:pPr>
                    <w:pStyle w:val="Compact"/>
                    <w:jc w:val="left"/>
                    <w:jc w:val="center"/>
                  </w:pPr>
                  <w:r>
                    <w:t xml:space="preserve">0.735-0.932</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All Tables for Main Manuscript</w:t>
        </w:r>
      </w:hyperlink>
    </w:p>
    <w:bookmarkEnd w:id="55"/>
    <w:bookmarkStart w:id="56" w:name="feature-importance-1"/>
    <w:p>
      <w:pPr>
        <w:pStyle w:val="Heading3"/>
      </w:pPr>
      <w:r>
        <w:t xml:space="preserve">Feature Importance</w:t>
      </w:r>
    </w:p>
    <w:bookmarkEnd w:id="56"/>
    <w:bookmarkEnd w:id="57"/>
    <w:bookmarkStart w:id="58" w:name="discussion"/>
    <w:p>
      <w:pPr>
        <w:pStyle w:val="Heading2"/>
      </w:pPr>
      <w:r>
        <w:t xml:space="preserve">Discussion</w:t>
      </w:r>
    </w:p>
    <w:p>
      <w:pPr>
        <w:numPr>
          <w:ilvl w:val="0"/>
          <w:numId w:val="1003"/>
        </w:numPr>
        <w:pStyle w:val="Compact"/>
      </w:pPr>
      <w:r>
        <w:t xml:space="preserve">Improving model performance for unprivileged classes. Considering other important classes for SUD, such as geographic location, Improving diversity of training data</w:t>
      </w:r>
    </w:p>
    <w:bookmarkEnd w:id="58"/>
    <w:bookmarkStart w:id="102" w:name="references"/>
    <w:p>
      <w:pPr>
        <w:pStyle w:val="Heading2"/>
      </w:pPr>
      <w:r>
        <w:t xml:space="preserve">References</w:t>
      </w:r>
    </w:p>
    <w:bookmarkStart w:id="101" w:name="refs"/>
    <w:bookmarkStart w:id="60"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Cs/>
          <w:i/>
        </w:rPr>
        <w:t xml:space="preserve">Addictive Behaviors</w:t>
      </w:r>
      <w:r>
        <w:t xml:space="preserve"> </w:t>
      </w:r>
      <w:r>
        <w:t xml:space="preserve">83 (August): 42–47.</w:t>
      </w:r>
      <w:r>
        <w:t xml:space="preserve"> </w:t>
      </w:r>
      <w:hyperlink r:id="rId59">
        <w:r>
          <w:rPr>
            <w:rStyle w:val="Hyperlink"/>
          </w:rPr>
          <w:t xml:space="preserve">https://doi.org/10.1016/j.addbeh.2017.11.039</w:t>
        </w:r>
      </w:hyperlink>
      <w:r>
        <w:t xml:space="preserve">.</w:t>
      </w:r>
    </w:p>
    <w:bookmarkEnd w:id="60"/>
    <w:bookmarkStart w:id="62" w:name="ref-bickmanAchievingPrecisionMental2016a"/>
    <w:p>
      <w:pPr>
        <w:pStyle w:val="Bibliography"/>
      </w:pPr>
      <w:r>
        <w:t xml:space="preserve">Bickman, Leonard, Aaron R. Lyon, and Miranda Wolpert. 2016.</w:t>
      </w:r>
      <w:r>
        <w:t xml:space="preserve"> </w:t>
      </w:r>
      <w:r>
        <w:t xml:space="preserve">“Achieving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Cs/>
          <w:i/>
        </w:rPr>
        <w:t xml:space="preserve">Administration and Policy in Mental Health and Mental Health Services Research</w:t>
      </w:r>
      <w:r>
        <w:t xml:space="preserve"> </w:t>
      </w:r>
      <w:r>
        <w:t xml:space="preserve">43 (3): 271–76.</w:t>
      </w:r>
      <w:r>
        <w:t xml:space="preserve"> </w:t>
      </w:r>
      <w:hyperlink r:id="rId61">
        <w:r>
          <w:rPr>
            <w:rStyle w:val="Hyperlink"/>
          </w:rPr>
          <w:t xml:space="preserve">https://doi.org/10.1007/s10488-016-0718-5</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Cs/>
          <w:i/>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Cs/>
          <w:i/>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ref-fronkStressAllostasisSubstance2020"/>
    <w:p>
      <w:pPr>
        <w:pStyle w:val="Bibliography"/>
      </w:pPr>
      <w:r>
        <w:t xml:space="preserve">Fronk, Gaylen E., Sarah J. Sant’Ana, Jesse T. Kaye, and John J. Curtin. 2020.</w:t>
      </w:r>
      <w:r>
        <w:t xml:space="preserve"> </w:t>
      </w:r>
      <w:r>
        <w:t xml:space="preserve">“Stress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Cs/>
          <w:i/>
        </w:rPr>
        <w:t xml:space="preserve">Annual Review of Clinical Psychology</w:t>
      </w:r>
      <w:r>
        <w:t xml:space="preserve"> </w:t>
      </w:r>
      <w:r>
        <w:t xml:space="preserve">16 (1): 401–30.</w:t>
      </w:r>
      <w:r>
        <w:t xml:space="preserve"> </w:t>
      </w:r>
      <w:hyperlink r:id="rId69">
        <w:r>
          <w:rPr>
            <w:rStyle w:val="Hyperlink"/>
          </w:rPr>
          <w:t xml:space="preserve">https://doi.org/10.1146/annurev-clinpsy-102419-125016</w:t>
        </w:r>
      </w:hyperlink>
      <w:r>
        <w:t xml:space="preserve">.</w:t>
      </w:r>
    </w:p>
    <w:bookmarkEnd w:id="70"/>
    <w:bookmarkStart w:id="72"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Cs/>
          <w:i/>
        </w:rPr>
        <w:t xml:space="preserve">Drug and Alcohol Dependence</w:t>
      </w:r>
      <w:r>
        <w:t xml:space="preserve"> </w:t>
      </w:r>
      <w:r>
        <w:t xml:space="preserve">86 (1): 1–21.</w:t>
      </w:r>
      <w:r>
        <w:t xml:space="preserve"> </w:t>
      </w:r>
      <w:hyperlink r:id="rId71">
        <w:r>
          <w:rPr>
            <w:rStyle w:val="Hyperlink"/>
          </w:rPr>
          <w:t xml:space="preserve">https://doi.org/10.1016/j.drugalcdep.2006.05.012</w:t>
        </w:r>
      </w:hyperlink>
      <w:r>
        <w:t xml:space="preserve">.</w:t>
      </w:r>
    </w:p>
    <w:bookmarkEnd w:id="72"/>
    <w:bookmarkStart w:id="73" w:name="ref-hsiehSampleSizeTables1989"/>
    <w:p>
      <w:pPr>
        <w:pStyle w:val="Bibliography"/>
      </w:pPr>
      <w:r>
        <w:t xml:space="preserve">Hsieh, F. 1989.</w:t>
      </w:r>
      <w:r>
        <w:t xml:space="preserve"> </w:t>
      </w:r>
      <w:r>
        <w:t xml:space="preserve">“Sample Size Tables for Logistic Regression.”</w:t>
      </w:r>
      <w:r>
        <w:t xml:space="preserve"> </w:t>
      </w:r>
      <w:r>
        <w:rPr>
          <w:iCs/>
          <w:i/>
        </w:rPr>
        <w:t xml:space="preserve">Statistics in Medicine</w:t>
      </w:r>
      <w:r>
        <w:t xml:space="preserve"> </w:t>
      </w:r>
      <w:r>
        <w:t xml:space="preserve">8: 795–802.</w:t>
      </w:r>
    </w:p>
    <w:bookmarkEnd w:id="73"/>
    <w:bookmarkStart w:id="75"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Cs/>
          <w:i/>
        </w:rPr>
        <w:t xml:space="preserve">JAMA Network Open</w:t>
      </w:r>
      <w:r>
        <w:t xml:space="preserve"> </w:t>
      </w:r>
      <w:r>
        <w:t xml:space="preserve">3 (5): e205852.</w:t>
      </w:r>
      <w:r>
        <w:t xml:space="preserve"> </w:t>
      </w:r>
      <w:hyperlink r:id="rId74">
        <w:r>
          <w:rPr>
            <w:rStyle w:val="Hyperlink"/>
          </w:rPr>
          <w:t xml:space="preserve">https://doi.org/10.1001/jamanetworkopen.2020.5852</w:t>
        </w:r>
      </w:hyperlink>
      <w:r>
        <w:t xml:space="preserve">.</w:t>
      </w:r>
    </w:p>
    <w:bookmarkEnd w:id="75"/>
    <w:bookmarkStart w:id="77" w:name="ref-kuhnAppliedPredictiveModeling2018"/>
    <w:p>
      <w:pPr>
        <w:pStyle w:val="Bibliography"/>
      </w:pPr>
      <w:r>
        <w:t xml:space="preserve">Kuhn, Max, and Kjell Johnson. 2018.</w:t>
      </w:r>
      <w:r>
        <w:t xml:space="preserve"> </w:t>
      </w:r>
      <w:r>
        <w:rPr>
          <w:iCs/>
          <w:i/>
        </w:rPr>
        <w:t xml:space="preserve">Applied</w:t>
      </w:r>
      <w:r>
        <w:rPr>
          <w:iCs/>
          <w:i/>
        </w:rPr>
        <w:t xml:space="preserve"> </w:t>
      </w:r>
      <w:r>
        <w:rPr>
          <w:iCs/>
          <w:i/>
        </w:rPr>
        <w:t xml:space="preserve">Predictive Modeling</w:t>
      </w:r>
      <w:r>
        <w:t xml:space="preserve">. 1st ed. 2013, Corr. 2nd printing 2018 edition. New York: Springer.</w:t>
      </w:r>
      <w:r>
        <w:t xml:space="preserve"> </w:t>
      </w:r>
      <w:hyperlink r:id="rId76">
        <w:r>
          <w:rPr>
            <w:rStyle w:val="Hyperlink"/>
          </w:rPr>
          <w:t xml:space="preserve">https://doi.org/10.1007/978-1-4614-6849-3</w:t>
        </w:r>
      </w:hyperlink>
      <w:r>
        <w:t xml:space="preserve">.</w:t>
      </w:r>
    </w:p>
    <w:bookmarkEnd w:id="77"/>
    <w:bookmarkStart w:id="7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8"/>
    <w:bookmarkStart w:id="80"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Cs/>
          <w:i/>
        </w:rPr>
        <w:t xml:space="preserve">Electronic Journal of Statistics</w:t>
      </w:r>
      <w:r>
        <w:t xml:space="preserve"> </w:t>
      </w:r>
      <w:r>
        <w:t xml:space="preserve">11 (2): 5052–80.</w:t>
      </w:r>
      <w:r>
        <w:t xml:space="preserve"> </w:t>
      </w:r>
      <w:hyperlink r:id="rId79">
        <w:r>
          <w:rPr>
            <w:rStyle w:val="Hyperlink"/>
          </w:rPr>
          <w:t xml:space="preserve">https://doi.org/10.1214/17-EJS1338SI</w:t>
        </w:r>
      </w:hyperlink>
      <w:r>
        <w:t xml:space="preserve">.</w:t>
      </w:r>
    </w:p>
    <w:bookmarkEnd w:id="80"/>
    <w:bookmarkStart w:id="81"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Cs/>
          <w:i/>
        </w:rPr>
        <w:t xml:space="preserve">Proceedings of the 31st</w:t>
      </w:r>
      <w:r>
        <w:rPr>
          <w:iCs/>
          <w:i/>
        </w:rPr>
        <w:t xml:space="preserve"> </w:t>
      </w:r>
      <w:r>
        <w:rPr>
          <w:iCs/>
          <w:i/>
        </w:rPr>
        <w:t xml:space="preserve">International Conference</w:t>
      </w:r>
      <w:r>
        <w:rPr>
          <w:iCs/>
          <w:i/>
        </w:rPr>
        <w:t xml:space="preserve"> </w:t>
      </w:r>
      <w:r>
        <w:rPr>
          <w:iCs/>
          <w:i/>
        </w:rPr>
        <w:t xml:space="preserve">on</w:t>
      </w:r>
      <w:r>
        <w:rPr>
          <w:iCs/>
          <w:i/>
        </w:rPr>
        <w:t xml:space="preserve"> </w:t>
      </w:r>
      <w:r>
        <w:rPr>
          <w:iCs/>
          <w:i/>
        </w:rPr>
        <w:t xml:space="preserve">Neural Information Processing Systems</w:t>
      </w:r>
      <w:r>
        <w:t xml:space="preserve">, 4768–77.</w:t>
      </w:r>
      <w:r>
        <w:t xml:space="preserve"> </w:t>
      </w:r>
      <w:r>
        <w:t xml:space="preserve">NIPS</w:t>
      </w:r>
      <w:r>
        <w:t xml:space="preserve">’17. Red Hook, NY, USA: Curran Associates Inc.</w:t>
      </w:r>
    </w:p>
    <w:bookmarkEnd w:id="81"/>
    <w:bookmarkStart w:id="82" w:name="X0900e084d2d8751b94683f82b04534ea811d54e"/>
    <w:p>
      <w:pPr>
        <w:pStyle w:val="Bibliography"/>
      </w:pPr>
      <w:r>
        <w:t xml:space="preserve">Marlatt, G. Alan, and Judith R. Gordon, eds. 1985.</w:t>
      </w:r>
      <w:r>
        <w:t xml:space="preserve"> </w:t>
      </w:r>
      <w:r>
        <w:rPr>
          <w:iCs/>
          <w:i/>
        </w:rPr>
        <w:t xml:space="preserve">Relapse</w:t>
      </w:r>
      <w:r>
        <w:rPr>
          <w:iCs/>
          <w:i/>
        </w:rPr>
        <w:t xml:space="preserve"> </w:t>
      </w:r>
      <w:r>
        <w:rPr>
          <w:iCs/>
          <w:i/>
        </w:rPr>
        <w:t xml:space="preserve">Prevention</w:t>
      </w:r>
      <w:r>
        <w:rPr>
          <w:iCs/>
          <w:i/>
        </w:rPr>
        <w:t xml:space="preserve">:</w:t>
      </w:r>
      <w:r>
        <w:rPr>
          <w:iCs/>
          <w:i/>
        </w:rPr>
        <w:t xml:space="preserve"> </w:t>
      </w:r>
      <w:r>
        <w:rPr>
          <w:iCs/>
          <w:i/>
        </w:rPr>
        <w:t xml:space="preserve">Maintenance Strategies</w:t>
      </w:r>
      <w:r>
        <w:rPr>
          <w:iCs/>
          <w:i/>
        </w:rPr>
        <w:t xml:space="preserve"> </w:t>
      </w:r>
      <w:r>
        <w:rPr>
          <w:iCs/>
          <w:i/>
        </w:rPr>
        <w:t xml:space="preserve">in the</w:t>
      </w:r>
      <w:r>
        <w:rPr>
          <w:iCs/>
          <w:i/>
        </w:rPr>
        <w:t xml:space="preserve"> </w:t>
      </w:r>
      <w:r>
        <w:rPr>
          <w:iCs/>
          <w:i/>
        </w:rPr>
        <w:t xml:space="preserve">Treatment</w:t>
      </w:r>
      <w:r>
        <w:rPr>
          <w:iCs/>
          <w:i/>
        </w:rPr>
        <w:t xml:space="preserve"> </w:t>
      </w:r>
      <w:r>
        <w:rPr>
          <w:iCs/>
          <w:i/>
        </w:rPr>
        <w:t xml:space="preserve">of</w:t>
      </w:r>
      <w:r>
        <w:rPr>
          <w:iCs/>
          <w:i/>
        </w:rPr>
        <w:t xml:space="preserve"> </w:t>
      </w:r>
      <w:r>
        <w:rPr>
          <w:iCs/>
          <w:i/>
        </w:rPr>
        <w:t xml:space="preserve">Addictive Behaviors</w:t>
      </w:r>
      <w:r>
        <w:t xml:space="preserve">. First edition. New York: The Guilford Press.</w:t>
      </w:r>
    </w:p>
    <w:bookmarkEnd w:id="82"/>
    <w:bookmarkStart w:id="84" w:name="ref-mohrPersonalSensingUnderstanding2017"/>
    <w:p>
      <w:pPr>
        <w:pStyle w:val="Bibliography"/>
      </w:pPr>
      <w:r>
        <w:t xml:space="preserve">Mohr, David C., Mi Zhang, and Stephen M. Schueller. 2017.</w:t>
      </w:r>
      <w:r>
        <w:t xml:space="preserve"> </w:t>
      </w:r>
      <w:r>
        <w:t xml:space="preserve">“Personal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Cs/>
          <w:i/>
        </w:rPr>
        <w:t xml:space="preserve">Annual Review of Clinical Psychology</w:t>
      </w:r>
      <w:r>
        <w:t xml:space="preserve"> </w:t>
      </w:r>
      <w:r>
        <w:t xml:space="preserve">13 (1): 23–47.</w:t>
      </w:r>
      <w:r>
        <w:t xml:space="preserve"> </w:t>
      </w:r>
      <w:hyperlink r:id="rId83">
        <w:r>
          <w:rPr>
            <w:rStyle w:val="Hyperlink"/>
          </w:rPr>
          <w:t xml:space="preserve">https://doi.org/10.1146/annurev-clinpsy-032816-044949</w:t>
        </w:r>
      </w:hyperlink>
      <w:r>
        <w:t xml:space="preserve">.</w:t>
      </w:r>
    </w:p>
    <w:bookmarkEnd w:id="84"/>
    <w:bookmarkStart w:id="86"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Cs/>
          <w:i/>
        </w:rPr>
        <w:t xml:space="preserve">Journal of Substance Abuse Treatment</w:t>
      </w:r>
      <w:r>
        <w:t xml:space="preserve"> </w:t>
      </w:r>
      <w:r>
        <w:t xml:space="preserve">137 (June): 108710.</w:t>
      </w:r>
      <w:r>
        <w:t xml:space="preserve"> </w:t>
      </w:r>
      <w:hyperlink r:id="rId85">
        <w:r>
          <w:rPr>
            <w:rStyle w:val="Hyperlink"/>
          </w:rPr>
          <w:t xml:space="preserve">https://doi.org/10.1016/j.jsat.2021.108710</w:t>
        </w:r>
      </w:hyperlink>
      <w:r>
        <w:t xml:space="preserve">.</w:t>
      </w:r>
    </w:p>
    <w:bookmarkEnd w:id="86"/>
    <w:bookmarkStart w:id="88"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Cs/>
          <w:i/>
        </w:rPr>
        <w:t xml:space="preserve">Drug and Alcohol Dependence</w:t>
      </w:r>
      <w:r>
        <w:t xml:space="preserve"> </w:t>
      </w:r>
      <w:r>
        <w:t xml:space="preserve">202 (September): 162–67.</w:t>
      </w:r>
      <w:r>
        <w:t xml:space="preserve"> </w:t>
      </w:r>
      <w:hyperlink r:id="rId87">
        <w:r>
          <w:rPr>
            <w:rStyle w:val="Hyperlink"/>
          </w:rPr>
          <w:t xml:space="preserve">https://doi.org/10.1016/j.drugalcdep.2019.05.017</w:t>
        </w:r>
      </w:hyperlink>
      <w:r>
        <w:t xml:space="preserve">.</w:t>
      </w:r>
    </w:p>
    <w:bookmarkEnd w:id="88"/>
    <w:bookmarkStart w:id="9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Cs/>
          <w:i/>
        </w:rPr>
        <w:t xml:space="preserve">Psychology of Addictive Behaviors: Journal of the Society of Psychologists in Addictive Behaviors</w:t>
      </w:r>
      <w:r>
        <w:t xml:space="preserve"> </w:t>
      </w:r>
      <w:r>
        <w:t xml:space="preserve">36 (3): 296–306.</w:t>
      </w:r>
      <w:r>
        <w:t xml:space="preserve"> </w:t>
      </w:r>
      <w:hyperlink r:id="rId89">
        <w:r>
          <w:rPr>
            <w:rStyle w:val="Hyperlink"/>
          </w:rPr>
          <w:t xml:space="preserve">https://doi.org/10.1037/adb0000666</w:t>
        </w:r>
      </w:hyperlink>
      <w:r>
        <w:t xml:space="preserve">.</w:t>
      </w:r>
    </w:p>
    <w:bookmarkEnd w:id="90"/>
    <w:bookmarkStart w:id="9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Cs/>
          <w:i/>
        </w:rPr>
        <w:t xml:space="preserve">Journal of Substance Abuse Treatment</w:t>
      </w:r>
      <w:r>
        <w:t xml:space="preserve"> </w:t>
      </w:r>
      <w:r>
        <w:t xml:space="preserve">127 (August): 108417.</w:t>
      </w:r>
      <w:r>
        <w:t xml:space="preserve"> </w:t>
      </w:r>
      <w:hyperlink r:id="rId91">
        <w:r>
          <w:rPr>
            <w:rStyle w:val="Hyperlink"/>
          </w:rPr>
          <w:t xml:space="preserve">https://doi.org/10.1016/j.jsat.2021.108417</w:t>
        </w:r>
      </w:hyperlink>
      <w:r>
        <w:t xml:space="preserve">.</w:t>
      </w:r>
    </w:p>
    <w:bookmarkEnd w:id="92"/>
    <w:bookmarkStart w:id="9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Cs/>
          <w:i/>
        </w:rPr>
        <w:t xml:space="preserve">American Psychologist</w:t>
      </w:r>
      <w:r>
        <w:t xml:space="preserve"> </w:t>
      </w:r>
      <w:r>
        <w:t xml:space="preserve">59 (4): 224–35.</w:t>
      </w:r>
      <w:r>
        <w:t xml:space="preserve"> </w:t>
      </w:r>
      <w:hyperlink r:id="rId93">
        <w:r>
          <w:rPr>
            <w:rStyle w:val="Hyperlink"/>
          </w:rPr>
          <w:t xml:space="preserve">https://doi.org/10.1037/0003-066X.59.4.224</w:t>
        </w:r>
      </w:hyperlink>
      <w:r>
        <w:t xml:space="preserve">.</w:t>
      </w:r>
    </w:p>
    <w:bookmarkEnd w:id="94"/>
    <w:bookmarkStart w:id="9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Cs/>
          <w:i/>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5">
        <w:r>
          <w:rPr>
            <w:rStyle w:val="Hyperlink"/>
          </w:rPr>
          <w:t xml:space="preserve">https://doi.org/10.1016/j.cpr.2007.01.002</w:t>
        </w:r>
      </w:hyperlink>
      <w:r>
        <w:t xml:space="preserve">.</w:t>
      </w:r>
    </w:p>
    <w:bookmarkEnd w:id="96"/>
    <w:bookmarkStart w:id="9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Cs/>
          <w:i/>
        </w:rPr>
        <w:t xml:space="preserve">JMIR mHealth and uHealth</w:t>
      </w:r>
      <w:r>
        <w:t xml:space="preserve"> </w:t>
      </w:r>
      <w:r>
        <w:t xml:space="preserve">11 (1): e41833.</w:t>
      </w:r>
      <w:r>
        <w:t xml:space="preserve"> </w:t>
      </w:r>
      <w:hyperlink r:id="rId97">
        <w:r>
          <w:rPr>
            <w:rStyle w:val="Hyperlink"/>
          </w:rPr>
          <w:t xml:space="preserve">https://doi.org/10.2196/41833</w:t>
        </w:r>
      </w:hyperlink>
      <w:r>
        <w:t xml:space="preserve">.</w:t>
      </w:r>
    </w:p>
    <w:bookmarkEnd w:id="98"/>
    <w:bookmarkStart w:id="100"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Cs/>
          <w:i/>
        </w:rPr>
        <w:t xml:space="preserve">Psychopathology and Clinical Science</w:t>
      </w:r>
      <w:r>
        <w:t xml:space="preserve">. Accessed September 27, 2023.</w:t>
      </w:r>
      <w:r>
        <w:t xml:space="preserve"> </w:t>
      </w:r>
      <w:hyperlink r:id="rId99">
        <w:r>
          <w:rPr>
            <w:rStyle w:val="Hyperlink"/>
          </w:rPr>
          <w:t xml:space="preserve">https://doi.org/10.31234/osf.io/cgsf7</w:t>
        </w:r>
      </w:hyperlink>
      <w:r>
        <w:t xml:space="preserve">.</w:t>
      </w:r>
    </w:p>
    <w:bookmarkEnd w:id="100"/>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hyperlink" Id="rId74" Target="https://doi.org/10.1001/jamanetworkopen.2020.5852" TargetMode="External" /><Relationship Type="http://schemas.openxmlformats.org/officeDocument/2006/relationships/hyperlink" Id="rId76" Target="https://doi.org/10.1007/978-1-4614-6849-3" TargetMode="External" /><Relationship Type="http://schemas.openxmlformats.org/officeDocument/2006/relationships/hyperlink" Id="rId61" Target="https://doi.org/10.1007/s10488-016-0718-5" TargetMode="External" /><Relationship Type="http://schemas.openxmlformats.org/officeDocument/2006/relationships/hyperlink" Id="rId59"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1" Target="https://doi.org/10.1016/j.drugalcdep.2006.05.012" TargetMode="External" /><Relationship Type="http://schemas.openxmlformats.org/officeDocument/2006/relationships/hyperlink" Id="rId87"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5"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3" Target="https://doi.org/10.1146/annurev-clinpsy-032816-044949" TargetMode="External" /><Relationship Type="http://schemas.openxmlformats.org/officeDocument/2006/relationships/hyperlink" Id="rId69" Target="https://doi.org/10.1146/annurev-clinpsy-102419-125016" TargetMode="External" /><Relationship Type="http://schemas.openxmlformats.org/officeDocument/2006/relationships/hyperlink" Id="rId79"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2" Target="https://jjcurtin.github.io/study_lag/notebooks\mak_tables.qmd.html#cell-demopdf" TargetMode="External" /><Relationship Type="http://schemas.openxmlformats.org/officeDocument/2006/relationships/hyperlink" Id="rId40" Target="https://jjcurtin.github.io/study_lag/notebooks\mak_tables.qmd.html#cell-tbl-demopdf" TargetMode="External" /><Relationship Type="http://schemas.openxmlformats.org/officeDocument/2006/relationships/hyperlink" Id="rId54" Target="https://jjcurtin.github.io/study_lag/notebooks\mak_tables.qmd.html#cell-tbl-fairnes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1/jamanetworkopen.2020.5852" TargetMode="External" /><Relationship Type="http://schemas.openxmlformats.org/officeDocument/2006/relationships/hyperlink" Id="rId76" Target="https://doi.org/10.1007/978-1-4614-6849-3" TargetMode="External" /><Relationship Type="http://schemas.openxmlformats.org/officeDocument/2006/relationships/hyperlink" Id="rId61" Target="https://doi.org/10.1007/s10488-016-0718-5" TargetMode="External" /><Relationship Type="http://schemas.openxmlformats.org/officeDocument/2006/relationships/hyperlink" Id="rId59"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1" Target="https://doi.org/10.1016/j.drugalcdep.2006.05.012" TargetMode="External" /><Relationship Type="http://schemas.openxmlformats.org/officeDocument/2006/relationships/hyperlink" Id="rId87"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5"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3" Target="https://doi.org/10.1146/annurev-clinpsy-032816-044949" TargetMode="External" /><Relationship Type="http://schemas.openxmlformats.org/officeDocument/2006/relationships/hyperlink" Id="rId69" Target="https://doi.org/10.1146/annurev-clinpsy-102419-125016" TargetMode="External" /><Relationship Type="http://schemas.openxmlformats.org/officeDocument/2006/relationships/hyperlink" Id="rId79"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2" Target="https://jjcurtin.github.io/study_lag/notebooks\mak_tables.qmd.html#cell-demopdf" TargetMode="External" /><Relationship Type="http://schemas.openxmlformats.org/officeDocument/2006/relationships/hyperlink" Id="rId40" Target="https://jjcurtin.github.io/study_lag/notebooks\mak_tables.qmd.html#cell-tbl-demopdf" TargetMode="External" /><Relationship Type="http://schemas.openxmlformats.org/officeDocument/2006/relationships/hyperlink" Id="rId54" Target="https://jjcurtin.github.io/study_lag/notebooks\mak_tables.qmd.html#cell-tbl-fairnes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2024-06-07T16:05:09Z</dcterms:created>
  <dcterms:modified xsi:type="dcterms:W3CDTF">2024-06-07T16:05:09Z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2024-06-07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