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2024-07-29</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The study did not find any differences in treatment success. This can likely be attributed to 1) low-dimensional analyses that failed to capture the complex and heterogeneous nature of substance use disorders; and 2) their use of static distal features to predict a non-linear, time-varying course of recovery, lapse, and relapse</w:t>
      </w:r>
      <w:r>
        <w:t xml:space="preserve"> </w:t>
      </w:r>
      <w:r>
        <w:t xml:space="preserve">(Witkiewitz and Marlatt 2007)</w:t>
      </w:r>
      <w:r>
        <w:t xml:space="preserve">. In other words, they used overly simplistic models to address the question of</w:t>
      </w:r>
      <w:r>
        <w:t xml:space="preserve"> </w:t>
      </w:r>
      <w:r>
        <w:rPr>
          <w:i/>
          <w:iCs/>
        </w:rPr>
        <w:t xml:space="preserve">how</w:t>
      </w:r>
      <w:r>
        <w:t xml:space="preserve"> </w:t>
      </w:r>
      <w:r>
        <w:t xml:space="preserve">and did not consider the question of</w:t>
      </w:r>
      <w:r>
        <w:t xml:space="preserve"> </w:t>
      </w:r>
      <w:r>
        <w:rPr>
          <w:i/>
          <w:iCs/>
        </w:rPr>
        <w:t xml:space="preserve">when</w:t>
      </w:r>
      <w:r>
        <w:t xml:space="preserve">.</w:t>
      </w:r>
    </w:p>
    <w:p>
      <w:pPr>
        <w:pStyle w:val="BodyText"/>
      </w:pPr>
      <w:r>
        <w:t xml:space="preserve">The</w:t>
      </w:r>
      <w:r>
        <w:t xml:space="preserve"> </w:t>
      </w:r>
      <w:r>
        <w:rPr>
          <w:i/>
          <w:iCs/>
        </w:rPr>
        <w:t xml:space="preserve">when</w:t>
      </w:r>
      <w:r>
        <w:t xml:space="preserve"> </w:t>
      </w:r>
      <w:r>
        <w:t xml:space="preserve">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Recent advances in both personal sensing and machine learning may address these barriers to successful precision mental health. Personal sensing allows for frequent, longitudinal measurement of changes in proximal risk (e.g., for a lapse) with high temporal precision. Machine learning uses high dimensional inputs that can capture the complexity of mental health conditions. Moreover, tools from machine learning can be applied to models to understand which factors are important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r>
        <w:t xml:space="preserve"> </w:t>
      </w:r>
      <w:r>
        <w:t xml:space="preserve"> </w:t>
      </w: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compared the performance of one of our models from a previous study</w:t>
      </w:r>
      <w:r>
        <w:t xml:space="preserve"> </w:t>
      </w:r>
      <w:r>
        <w:t xml:space="preserve">(Wyant et al. n.d.)</w:t>
      </w:r>
      <w:r>
        <w:t xml:space="preserve"> </w:t>
      </w:r>
      <w:r>
        <w:t xml:space="preserve">with models using increased lag time between predictions and outcomes. Specifically, we used the same EMA features as our immediate model and train new models to predict the probability of a lapse beginning one day (24 hours), three days (72 hours), one week (168 hours), or two weeks (336 hours) into the future. Our primary objective was to assess how well models perform with increasing lag time.</w:t>
      </w:r>
    </w:p>
    <w:bookmarkEnd w:id="21"/>
    <w:bookmarkStart w:id="40"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w:t>
      </w:r>
    </w:p>
    <w:bookmarkEnd w:id="27"/>
    <w:bookmarkEnd w:id="28"/>
    <w:bookmarkStart w:id="39"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9" w:name="lapse-labels"/>
    <w:p>
      <w:pPr>
        <w:pStyle w:val="Heading3"/>
      </w:pPr>
      <w:r>
        <w:t xml:space="preserve">Lapse Labels</w:t>
      </w:r>
    </w:p>
    <w:p>
      <w:pPr>
        <w:pStyle w:val="FirstParagraph"/>
      </w:pPr>
      <w:r>
        <w:t xml:space="preserve">We predicted lapses occurring in one week windows.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29"/>
    <w:bookmarkStart w:id="30"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0"/>
    <w:bookmarkStart w:id="38" w:name="model-training-and-evaluation"/>
    <w:p>
      <w:pPr>
        <w:pStyle w:val="Heading3"/>
      </w:pPr>
      <w:r>
        <w:t xml:space="preserve">Model Training and Evaluation</w:t>
      </w:r>
    </w:p>
    <w:bookmarkStart w:id="31"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1"/>
    <w:bookmarkStart w:id="32"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2"/>
    <w:bookmarkStart w:id="33"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3"/>
    <w:bookmarkStart w:id="34"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w:t>
      </w:r>
      <w:r>
        <w:t xml:space="preserve"> </w:t>
      </w:r>
      <w:r>
        <w:t xml:space="preserve">(Wyant et al. n.d.)</w:t>
      </w:r>
      <w:r>
        <w:t xml:space="preserve">.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differed as predictions were made further into the future.</w:t>
      </w:r>
    </w:p>
    <w:p>
      <w:pPr>
        <w:pStyle w:val="BodyText"/>
      </w:pPr>
      <w:r>
        <w:t xml:space="preserve">For both sets of model comparisons, we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4"/>
    <w:bookmarkStart w:id="36"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range.</w:t>
      </w:r>
      <w:r>
        <w:rPr>
          <w:rStyle w:val="FootnoteReference"/>
        </w:rPr>
        <w:footnoteReference w:id="35"/>
      </w:r>
    </w:p>
    <w:bookmarkEnd w:id="36"/>
    <w:bookmarkStart w:id="37"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37"/>
    <w:bookmarkEnd w:id="38"/>
    <w:bookmarkEnd w:id="39"/>
    <w:bookmarkEnd w:id="40"/>
    <w:bookmarkStart w:id="100" w:name="results"/>
    <w:p>
      <w:pPr>
        <w:pStyle w:val="Heading1"/>
      </w:pPr>
      <w:r>
        <w:t xml:space="preserve">Results</w:t>
      </w:r>
    </w:p>
    <w:bookmarkStart w:id="43"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1"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1"/>
          <w:p/>
        </w:tc>
      </w:tr>
    </w:tbl>
    <w:p>
      <w:pPr>
        <w:pStyle w:val="BodyText"/>
      </w:pPr>
      <w:r>
        <w:rPr>
          <w:vertAlign w:val="subscript"/>
        </w:rPr>
        <w:t xml:space="preserve">Source:</w:t>
      </w:r>
      <w:r>
        <w:rPr>
          <w:vertAlign w:val="subscript"/>
        </w:rPr>
        <w:t xml:space="preserve"> </w:t>
      </w:r>
      <w:hyperlink r:id="rId42">
        <w:r>
          <w:rPr>
            <w:rStyle w:val="Hyperlink"/>
            <w:vertAlign w:val="subscript"/>
          </w:rPr>
          <w:t xml:space="preserve">Make All Tables for Main Manuscript</w:t>
        </w:r>
      </w:hyperlink>
    </w:p>
    <w:bookmarkEnd w:id="43"/>
    <w:bookmarkStart w:id="49" w:name="model-evaluation-1"/>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[0.830-0.872].Panel A in</w:t>
      </w:r>
      <w:r>
        <w:t xml:space="preserve"> </w:t>
      </w:r>
      <w:hyperlink w:anchor="fig-1">
        <w:r>
          <w:rPr>
            <w:rStyle w:val="Hyperlink"/>
          </w:rPr>
          <w:t xml:space="preserve">Figure 1</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47" w:name="fig-1"/>
          <w:p>
            <w:pPr>
              <w:pStyle w:val="Compact"/>
              <w:jc w:val="center"/>
            </w:pPr>
            <w:r>
              <w:drawing>
                <wp:inline>
                  <wp:extent cx="5334000" cy="3810000"/>
                  <wp:effectExtent b="0" l="0" r="0" t="0"/>
                  <wp:docPr descr="" title="" id="45" name="Picture"/>
                  <a:graphic>
                    <a:graphicData uri="http://schemas.openxmlformats.org/drawingml/2006/picture">
                      <pic:pic>
                        <pic:nvPicPr>
                          <pic:cNvPr descr="index_files/figure-docx/notebooks-mak_figures-fig-1-output-1.png" id="46" name="Picture"/>
                          <pic:cNvPicPr>
                            <a:picLocks noChangeArrowheads="1" noChangeAspect="1"/>
                          </pic:cNvPicPr>
                        </pic:nvPicPr>
                        <pic:blipFill>
                          <a:blip r:embed="rId4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Panel A depicts posterior probability for area under ROC curve (auROC) and Bayesian credible intervals by model. Dashed line indicates a model performing at chance. Panel B depicts difference in auROCs by demographic group</w:t>
            </w:r>
          </w:p>
          <w:bookmarkEnd w:id="47"/>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Make All Figures for Main Manuscript</w:t>
        </w:r>
      </w:hyperlink>
    </w:p>
    <w:bookmarkEnd w:id="49"/>
    <w:bookmarkStart w:id="52" w:name="model-comparisons-1"/>
    <w:p>
      <w:pPr>
        <w:pStyle w:val="Heading2"/>
      </w:pPr>
      <w:r>
        <w:t xml:space="preserve">Model Comparisons</w:t>
      </w:r>
    </w:p>
    <w:bookmarkStart w:id="50"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increase in auROC for the baseline vs. 168 hour lag model was 0.023 (95% CI=[0.016-0.029]), yielding a significant probability of 1.000 that the lagged model had worse performance. The median increase in auROC for the baseline vs. 336 hour lag model was 0.041 (95% CI=[0.033-0.049]), yielding a significant probability of 1.000 that the lagged model had worse performance.</w:t>
      </w:r>
    </w:p>
    <w:bookmarkEnd w:id="50"/>
    <w:bookmarkStart w:id="51"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1"/>
    <w:bookmarkEnd w:id="52"/>
    <w:bookmarkStart w:id="53" w:name="fairness-benchmarks-1"/>
    <w:p>
      <w:pPr>
        <w:pStyle w:val="Heading2"/>
      </w:pPr>
      <w:r>
        <w:t xml:space="preserve">Fairness Benchmarks</w:t>
      </w:r>
    </w:p>
    <w:p>
      <w:pPr>
        <w:pStyle w:val="FirstParagraph"/>
      </w:pPr>
      <w:r>
        <w:t xml:space="preserve">Panel B in</w:t>
      </w:r>
      <w:r>
        <w:t xml:space="preserve"> </w:t>
      </w:r>
      <w:hyperlink w:anchor="fig-1">
        <w:r>
          <w:rPr>
            <w:rStyle w:val="Hyperlink"/>
          </w:rPr>
          <w:t xml:space="preserve">Figure 1</w:t>
        </w:r>
      </w:hyperlink>
      <w:r>
        <w:t xml:space="preserve"> </w:t>
      </w:r>
      <w:r>
        <w:t xml:space="preserve">shows the difference in performance of each model by demographic group. All group comparisons for race, sex at birth, and income were significant (probability &gt; .95) across models. On average there was a median increase in auROC of -0.159 (range NA–0.179) for non-Hispanic White participants compared to participants who were not White. On average there was a median increase in auROC of -0.080 (range -0.059–0.116) for male participants compared to female participants. On average there was a median increase in auROC of -0.092 (range -0.086–0.133) for participants above the federal poverty line compared to participants below the federal poverty line. A table of model performance for each demographic group separately by model can be found in the supplement.</w:t>
      </w:r>
    </w:p>
    <w:bookmarkEnd w:id="53"/>
    <w:bookmarkStart w:id="59"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2</w:t>
        </w:r>
      </w:hyperlink>
      <w:r>
        <w:t xml:space="preserve">. Consistent with previous models using similar features, past use was the most important feature category for lapse prediction across lagged models. Future abstinence efficacy was also globally important across models. Overall, the contribution of a feature category to model performance did not appear to differ across models.</w:t>
      </w:r>
    </w:p>
    <w:p>
      <w:pPr>
        <w:pStyle w:val="BodyText"/>
      </w:pPr>
      <w:r>
        <w:t xml:space="preserve">Panel B shows the local feature importance scores colored by high or low feature value for the 336 hour lag model.</w:t>
      </w:r>
      <w:r>
        <w:t xml:space="preserve"> </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fig-shap"/>
          <w:p>
            <w:pPr>
              <w:pStyle w:val="Compact"/>
              <w:jc w:val="center"/>
            </w:pPr>
            <w:r>
              <w:drawing>
                <wp:inline>
                  <wp:extent cx="5334000" cy="3810000"/>
                  <wp:effectExtent b="0" l="0" r="0" t="0"/>
                  <wp:docPr descr="" title="" id="55" name="Picture"/>
                  <a:graphic>
                    <a:graphicData uri="http://schemas.openxmlformats.org/drawingml/2006/picture">
                      <pic:pic>
                        <pic:nvPicPr>
                          <pic:cNvPr descr="index_files/figure-docx/notebooks-mak_figures-fig-shap-output-1.png" id="56" name="Picture"/>
                          <pic:cNvPicPr>
                            <a:picLocks noChangeArrowheads="1" noChangeAspect="1"/>
                          </pic:cNvPicPr>
                        </pic:nvPicPr>
                        <pic:blipFill>
                          <a:blip r:embed="rId5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336 hour lagged model.</w:t>
            </w:r>
          </w:p>
          <w:bookmarkEnd w:id="57"/>
        </w:tc>
      </w:tr>
    </w:tbl>
    <w:p>
      <w:pPr>
        <w:pStyle w:val="BodyText"/>
      </w:pPr>
      <w:r>
        <w:rPr>
          <w:vertAlign w:val="subscript"/>
        </w:rPr>
        <w:t xml:space="preserve">Source:</w:t>
      </w:r>
      <w:r>
        <w:rPr>
          <w:vertAlign w:val="subscript"/>
        </w:rPr>
        <w:t xml:space="preserve"> </w:t>
      </w:r>
      <w:hyperlink r:id="rId58">
        <w:r>
          <w:rPr>
            <w:rStyle w:val="Hyperlink"/>
            <w:vertAlign w:val="subscript"/>
          </w:rPr>
          <w:t xml:space="preserve">Make All Figures for Main Manuscript</w:t>
        </w:r>
      </w:hyperlink>
    </w:p>
    <w:bookmarkEnd w:id="59"/>
    <w:bookmarkStart w:id="60"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Performance discrepancies sets up fairness methods paper. How can we improve these discrepancies? Mention in discussion as current future direction</w:t>
      </w:r>
    </w:p>
    <w:p>
      <w:pPr>
        <w:numPr>
          <w:ilvl w:val="0"/>
          <w:numId w:val="1003"/>
        </w:numPr>
      </w:pPr>
      <w:r>
        <w:t xml:space="preserve">Note from Gaylen: if the model performance doesn’t degrade much, and the feature importance doesn’t seem to change much across lags… what does this say about the need for proximal predictors? obviously 2-3 weeks out is different than 6 months out, but even in-the-moment features are still important for predicting a lapse up to 3 weeks later (2 week lag plus 1 week window as lapse could be any time within the window). it is obviously exciting that we can do this advanced prediction, but i think you’ll have to navigate the line between celebrating that success and still calling for dense monitoring of proximal predictors</w:t>
      </w:r>
    </w:p>
    <w:bookmarkEnd w:id="60"/>
    <w:bookmarkStart w:id="99" w:name="references"/>
    <w:p>
      <w:pPr>
        <w:pStyle w:val="Heading2"/>
      </w:pPr>
      <w:r>
        <w:t xml:space="preserve">References</w:t>
      </w:r>
    </w:p>
    <w:bookmarkStart w:id="98" w:name="refs"/>
    <w:bookmarkStart w:id="62"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1">
        <w:r>
          <w:rPr>
            <w:rStyle w:val="Hyperlink"/>
          </w:rPr>
          <w:t xml:space="preserve">https://doi.org/10.1016/j.addbeh.2017.11.039</w:t>
        </w:r>
      </w:hyperlink>
      <w:r>
        <w:t xml:space="preserve">.</w:t>
      </w:r>
    </w:p>
    <w:bookmarkEnd w:id="62"/>
    <w:bookmarkStart w:id="64"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3">
        <w:r>
          <w:rPr>
            <w:rStyle w:val="Hyperlink"/>
          </w:rPr>
          <w:t xml:space="preserve">https://doi.org/10.21231/GNT1-HW21</w:t>
        </w:r>
      </w:hyperlink>
      <w:r>
        <w:t xml:space="preserve">.</w:t>
      </w:r>
    </w:p>
    <w:bookmarkEnd w:id="64"/>
    <w:bookmarkStart w:id="66"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65">
        <w:r>
          <w:rPr>
            <w:rStyle w:val="Hyperlink"/>
          </w:rPr>
          <w:t xml:space="preserve">https://doi.org/10.1016/j.jsat.2013.08.004</w:t>
        </w:r>
      </w:hyperlink>
      <w:r>
        <w:t xml:space="preserve">.</w:t>
      </w:r>
    </w:p>
    <w:bookmarkEnd w:id="66"/>
    <w:bookmarkStart w:id="68"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67">
        <w:r>
          <w:rPr>
            <w:rStyle w:val="Hyperlink"/>
          </w:rPr>
          <w:t xml:space="preserve">https://doi.org/10.1016/j.brat.2019.103506</w:t>
        </w:r>
      </w:hyperlink>
      <w:r>
        <w:t xml:space="preserve">.</w:t>
      </w:r>
    </w:p>
    <w:bookmarkEnd w:id="68"/>
    <w:bookmarkStart w:id="70"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69">
        <w:r>
          <w:rPr>
            <w:rStyle w:val="Hyperlink"/>
          </w:rPr>
          <w:t xml:space="preserve">https://doi.org/10.1016/j.drugalcdep.2006.05.012</w:t>
        </w:r>
      </w:hyperlink>
      <w:r>
        <w:t xml:space="preserve">.</w:t>
      </w:r>
    </w:p>
    <w:bookmarkEnd w:id="70"/>
    <w:bookmarkStart w:id="71"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1"/>
    <w:bookmarkStart w:id="73"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2">
        <w:r>
          <w:rPr>
            <w:rStyle w:val="Hyperlink"/>
          </w:rPr>
          <w:t xml:space="preserve">https://doi.org/10.1001/jamanetworkopen.2020.5852</w:t>
        </w:r>
      </w:hyperlink>
      <w:r>
        <w:t xml:space="preserve">.</w:t>
      </w:r>
    </w:p>
    <w:bookmarkEnd w:id="73"/>
    <w:bookmarkStart w:id="75"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4">
        <w:r>
          <w:rPr>
            <w:rStyle w:val="Hyperlink"/>
          </w:rPr>
          <w:t xml:space="preserve">https://doi.org/10.1007/978-1-4614-6849-3</w:t>
        </w:r>
      </w:hyperlink>
      <w:r>
        <w:t xml:space="preserve">.</w:t>
      </w:r>
    </w:p>
    <w:bookmarkEnd w:id="75"/>
    <w:bookmarkStart w:id="76"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76"/>
    <w:bookmarkStart w:id="78"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77">
        <w:r>
          <w:rPr>
            <w:rStyle w:val="Hyperlink"/>
          </w:rPr>
          <w:t xml:space="preserve">https://doi.org/10.1214/17-EJS1338SI</w:t>
        </w:r>
      </w:hyperlink>
      <w:r>
        <w:t xml:space="preserve">.</w:t>
      </w:r>
    </w:p>
    <w:bookmarkEnd w:id="78"/>
    <w:bookmarkStart w:id="79"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79"/>
    <w:bookmarkStart w:id="80"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0"/>
    <w:bookmarkStart w:id="82"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1">
        <w:r>
          <w:rPr>
            <w:rStyle w:val="Hyperlink"/>
          </w:rPr>
          <w:t xml:space="preserve">https://doi.org/10.1016/j.jsat.2021.108710</w:t>
        </w:r>
      </w:hyperlink>
      <w:r>
        <w:t xml:space="preserve">.</w:t>
      </w:r>
    </w:p>
    <w:bookmarkEnd w:id="82"/>
    <w:bookmarkStart w:id="84"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3">
        <w:r>
          <w:rPr>
            <w:rStyle w:val="Hyperlink"/>
          </w:rPr>
          <w:t xml:space="preserve">https://doi.org/10.1016/j.drugalcdep.2019.05.017</w:t>
        </w:r>
      </w:hyperlink>
      <w:r>
        <w:t xml:space="preserve">.</w:t>
      </w:r>
    </w:p>
    <w:bookmarkEnd w:id="84"/>
    <w:bookmarkStart w:id="85"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85"/>
    <w:bookmarkStart w:id="87"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86">
        <w:r>
          <w:rPr>
            <w:rStyle w:val="Hyperlink"/>
          </w:rPr>
          <w:t xml:space="preserve">https://doi.org/10.1037/adb0000666</w:t>
        </w:r>
      </w:hyperlink>
      <w:r>
        <w:t xml:space="preserve">.</w:t>
      </w:r>
    </w:p>
    <w:bookmarkEnd w:id="87"/>
    <w:bookmarkStart w:id="89"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88">
        <w:r>
          <w:rPr>
            <w:rStyle w:val="Hyperlink"/>
          </w:rPr>
          <w:t xml:space="preserve">https://doi.org/10.1016/j.jsat.2021.108417</w:t>
        </w:r>
      </w:hyperlink>
      <w:r>
        <w:t xml:space="preserve">.</w:t>
      </w:r>
    </w:p>
    <w:bookmarkEnd w:id="89"/>
    <w:bookmarkStart w:id="91"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0">
        <w:r>
          <w:rPr>
            <w:rStyle w:val="Hyperlink"/>
          </w:rPr>
          <w:t xml:space="preserve">https://doi.org/10.1037/0003-066X.59.4.224</w:t>
        </w:r>
      </w:hyperlink>
      <w:r>
        <w:t xml:space="preserve">.</w:t>
      </w:r>
    </w:p>
    <w:bookmarkEnd w:id="91"/>
    <w:bookmarkStart w:id="93"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2">
        <w:r>
          <w:rPr>
            <w:rStyle w:val="Hyperlink"/>
          </w:rPr>
          <w:t xml:space="preserve">https://doi.org/10.1016/j.cpr.2007.01.002</w:t>
        </w:r>
      </w:hyperlink>
      <w:r>
        <w:t xml:space="preserve">.</w:t>
      </w:r>
    </w:p>
    <w:bookmarkEnd w:id="93"/>
    <w:bookmarkStart w:id="95"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4">
        <w:r>
          <w:rPr>
            <w:rStyle w:val="Hyperlink"/>
          </w:rPr>
          <w:t xml:space="preserve">https://doi.org/10.2196/41833</w:t>
        </w:r>
      </w:hyperlink>
      <w:r>
        <w:t xml:space="preserve">.</w:t>
      </w:r>
    </w:p>
    <w:bookmarkEnd w:id="95"/>
    <w:bookmarkStart w:id="97"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96">
        <w:r>
          <w:rPr>
            <w:rStyle w:val="Hyperlink"/>
          </w:rPr>
          <w:t xml:space="preserve">https://doi.org/10.31234/osf.io/cgsf7</w:t>
        </w:r>
      </w:hyperlink>
      <w:r>
        <w:t xml:space="preserve">.</w:t>
      </w:r>
    </w:p>
    <w:bookmarkEnd w:id="97"/>
    <w:bookmarkEnd w:id="98"/>
    <w:bookmarkEnd w:id="99"/>
    <w:bookmarkEnd w:id="10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For our fairness evaluations,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4" Target="media/rId54.png" /><Relationship Type="http://schemas.openxmlformats.org/officeDocument/2006/relationships/hyperlink" Id="rId72" Target="https://doi.org/10.1001/jamanetworkopen.2020.5852" TargetMode="External" /><Relationship Type="http://schemas.openxmlformats.org/officeDocument/2006/relationships/hyperlink" Id="rId74" Target="https://doi.org/10.1007/978-1-4614-6849-3" TargetMode="External" /><Relationship Type="http://schemas.openxmlformats.org/officeDocument/2006/relationships/hyperlink" Id="rId61" Target="https://doi.org/10.1016/j.addbeh.2017.11.039" TargetMode="External" /><Relationship Type="http://schemas.openxmlformats.org/officeDocument/2006/relationships/hyperlink" Id="rId67" Target="https://doi.org/10.1016/j.brat.2019.103506" TargetMode="External" /><Relationship Type="http://schemas.openxmlformats.org/officeDocument/2006/relationships/hyperlink" Id="rId92" Target="https://doi.org/10.1016/j.cpr.2007.01.002" TargetMode="External" /><Relationship Type="http://schemas.openxmlformats.org/officeDocument/2006/relationships/hyperlink" Id="rId69" Target="https://doi.org/10.1016/j.drugalcdep.2006.05.012" TargetMode="External" /><Relationship Type="http://schemas.openxmlformats.org/officeDocument/2006/relationships/hyperlink" Id="rId83" Target="https://doi.org/10.1016/j.drugalcdep.2019.05.017" TargetMode="External" /><Relationship Type="http://schemas.openxmlformats.org/officeDocument/2006/relationships/hyperlink" Id="rId65" Target="https://doi.org/10.1016/j.jsat.2013.08.004" TargetMode="External" /><Relationship Type="http://schemas.openxmlformats.org/officeDocument/2006/relationships/hyperlink" Id="rId88" Target="https://doi.org/10.1016/j.jsat.2021.108417" TargetMode="External" /><Relationship Type="http://schemas.openxmlformats.org/officeDocument/2006/relationships/hyperlink" Id="rId81" Target="https://doi.org/10.1016/j.jsat.2021.108710" TargetMode="External" /><Relationship Type="http://schemas.openxmlformats.org/officeDocument/2006/relationships/hyperlink" Id="rId90" Target="https://doi.org/10.1037/0003-066X.59.4.224" TargetMode="External" /><Relationship Type="http://schemas.openxmlformats.org/officeDocument/2006/relationships/hyperlink" Id="rId86" Target="https://doi.org/10.1037/adb0000666" TargetMode="External" /><Relationship Type="http://schemas.openxmlformats.org/officeDocument/2006/relationships/hyperlink" Id="rId77" Target="https://doi.org/10.1214/17-EJS1338SI" TargetMode="External" /><Relationship Type="http://schemas.openxmlformats.org/officeDocument/2006/relationships/hyperlink" Id="rId63" Target="https://doi.org/10.21231/GNT1-HW21" TargetMode="External" /><Relationship Type="http://schemas.openxmlformats.org/officeDocument/2006/relationships/hyperlink" Id="rId94" Target="https://doi.org/10.2196/41833" TargetMode="External" /><Relationship Type="http://schemas.openxmlformats.org/officeDocument/2006/relationships/hyperlink" Id="rId96"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8" Target="https://jjcurtin.github.io/study_lag/notebooks\mak_figures-preview.html#cell-fig-1" TargetMode="External" /><Relationship Type="http://schemas.openxmlformats.org/officeDocument/2006/relationships/hyperlink" Id="rId58" Target="https://jjcurtin.github.io/study_lag/notebooks\mak_figures-preview.html#cell-fig-shap" TargetMode="External" /><Relationship Type="http://schemas.openxmlformats.org/officeDocument/2006/relationships/hyperlink" Id="rId42"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1/jamanetworkopen.2020.5852" TargetMode="External" /><Relationship Type="http://schemas.openxmlformats.org/officeDocument/2006/relationships/hyperlink" Id="rId74" Target="https://doi.org/10.1007/978-1-4614-6849-3" TargetMode="External" /><Relationship Type="http://schemas.openxmlformats.org/officeDocument/2006/relationships/hyperlink" Id="rId61" Target="https://doi.org/10.1016/j.addbeh.2017.11.039" TargetMode="External" /><Relationship Type="http://schemas.openxmlformats.org/officeDocument/2006/relationships/hyperlink" Id="rId67" Target="https://doi.org/10.1016/j.brat.2019.103506" TargetMode="External" /><Relationship Type="http://schemas.openxmlformats.org/officeDocument/2006/relationships/hyperlink" Id="rId92" Target="https://doi.org/10.1016/j.cpr.2007.01.002" TargetMode="External" /><Relationship Type="http://schemas.openxmlformats.org/officeDocument/2006/relationships/hyperlink" Id="rId69" Target="https://doi.org/10.1016/j.drugalcdep.2006.05.012" TargetMode="External" /><Relationship Type="http://schemas.openxmlformats.org/officeDocument/2006/relationships/hyperlink" Id="rId83" Target="https://doi.org/10.1016/j.drugalcdep.2019.05.017" TargetMode="External" /><Relationship Type="http://schemas.openxmlformats.org/officeDocument/2006/relationships/hyperlink" Id="rId65" Target="https://doi.org/10.1016/j.jsat.2013.08.004" TargetMode="External" /><Relationship Type="http://schemas.openxmlformats.org/officeDocument/2006/relationships/hyperlink" Id="rId88" Target="https://doi.org/10.1016/j.jsat.2021.108417" TargetMode="External" /><Relationship Type="http://schemas.openxmlformats.org/officeDocument/2006/relationships/hyperlink" Id="rId81" Target="https://doi.org/10.1016/j.jsat.2021.108710" TargetMode="External" /><Relationship Type="http://schemas.openxmlformats.org/officeDocument/2006/relationships/hyperlink" Id="rId90" Target="https://doi.org/10.1037/0003-066X.59.4.224" TargetMode="External" /><Relationship Type="http://schemas.openxmlformats.org/officeDocument/2006/relationships/hyperlink" Id="rId86" Target="https://doi.org/10.1037/adb0000666" TargetMode="External" /><Relationship Type="http://schemas.openxmlformats.org/officeDocument/2006/relationships/hyperlink" Id="rId77" Target="https://doi.org/10.1214/17-EJS1338SI" TargetMode="External" /><Relationship Type="http://schemas.openxmlformats.org/officeDocument/2006/relationships/hyperlink" Id="rId63" Target="https://doi.org/10.21231/GNT1-HW21" TargetMode="External" /><Relationship Type="http://schemas.openxmlformats.org/officeDocument/2006/relationships/hyperlink" Id="rId94" Target="https://doi.org/10.2196/41833" TargetMode="External" /><Relationship Type="http://schemas.openxmlformats.org/officeDocument/2006/relationships/hyperlink" Id="rId96"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8" Target="https://jjcurtin.github.io/study_lag/notebooks\mak_figures-preview.html#cell-fig-1" TargetMode="External" /><Relationship Type="http://schemas.openxmlformats.org/officeDocument/2006/relationships/hyperlink" Id="rId58" Target="https://jjcurtin.github.io/study_lag/notebooks\mak_figures-preview.html#cell-fig-shap" TargetMode="External" /><Relationship Type="http://schemas.openxmlformats.org/officeDocument/2006/relationships/hyperlink" Id="rId42"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2024-07-30T02:26:41Z</dcterms:created>
  <dcterms:modified xsi:type="dcterms:W3CDTF">2024-07-30T02:26:41Z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2024-07-29</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