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2024-08-14</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360157"/>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3601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11"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craving, and future risky situations were also globally important across models. Income was the only demographic feature that emerged as having high global importance for lapse prediction. Overall, the contribution of a feature category to model performance did not appear to differ across models.</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p>
      <w:pPr>
        <w:numPr>
          <w:ilvl w:val="0"/>
          <w:numId w:val="1003"/>
        </w:numPr>
      </w:pPr>
      <w:r>
        <w:t xml:space="preserve">Model degrades as lag time increases.</w:t>
      </w:r>
    </w:p>
    <w:p>
      <w:pPr>
        <w:pStyle w:val="Compact"/>
        <w:numPr>
          <w:ilvl w:val="1"/>
          <w:numId w:val="1004"/>
        </w:numPr>
      </w:pPr>
      <w:r>
        <w:t xml:space="preserve">Features become less proximal to our outcome</w:t>
      </w:r>
    </w:p>
    <w:p>
      <w:pPr>
        <w:numPr>
          <w:ilvl w:val="0"/>
          <w:numId w:val="1003"/>
        </w:numPr>
      </w:pPr>
      <w:r>
        <w:t xml:space="preserve">However, performance is still clinically meaningful even with a two week lag.</w:t>
      </w:r>
    </w:p>
    <w:p>
      <w:pPr>
        <w:pStyle w:val="Compact"/>
        <w:numPr>
          <w:ilvl w:val="1"/>
          <w:numId w:val="1005"/>
        </w:numPr>
      </w:pPr>
      <w:r>
        <w:t xml:space="preserve">.85 auROC is still excellent and the benefit of advanced notice may outweigh the drop in performance.</w:t>
      </w:r>
    </w:p>
    <w:p>
      <w:pPr>
        <w:numPr>
          <w:ilvl w:val="0"/>
          <w:numId w:val="1003"/>
        </w:numPr>
      </w:pPr>
      <w:r>
        <w:t xml:space="preserve">All models were worse for women and people were not white and below poverty line.</w:t>
      </w:r>
    </w:p>
    <w:p>
      <w:pPr>
        <w:pStyle w:val="Compact"/>
        <w:numPr>
          <w:ilvl w:val="1"/>
          <w:numId w:val="1006"/>
        </w:numPr>
      </w:pPr>
      <w:r>
        <w:t xml:space="preserve">Acknowledge low N in minority groups for income and race/ethnicity (causing wide CIs?)</w:t>
      </w:r>
    </w:p>
    <w:p>
      <w:pPr>
        <w:numPr>
          <w:ilvl w:val="0"/>
          <w:numId w:val="1003"/>
        </w:numPr>
      </w:pPr>
      <w:r>
        <w:t xml:space="preserve">Discussion of Shapley values.</w:t>
      </w:r>
    </w:p>
    <w:p>
      <w:pPr>
        <w:pStyle w:val="Compact"/>
        <w:numPr>
          <w:ilvl w:val="1"/>
          <w:numId w:val="1007"/>
        </w:numPr>
      </w:pPr>
      <w:r>
        <w:t xml:space="preserve">local shapley plots suggest what someone needs is different and different moments (within and between differences).</w:t>
      </w:r>
    </w:p>
    <w:p>
      <w:pPr>
        <w:pStyle w:val="Compact"/>
        <w:numPr>
          <w:ilvl w:val="1"/>
          <w:numId w:val="1007"/>
        </w:numPr>
      </w:pPr>
      <w:r>
        <w:t xml:space="preserve">Difference between slow changing states (e.g., income) and more dynamic states (e.g., craving).</w:t>
      </w:r>
    </w:p>
    <w:p>
      <w:pPr>
        <w:numPr>
          <w:ilvl w:val="0"/>
          <w:numId w:val="1003"/>
        </w:numPr>
      </w:pPr>
      <w:r>
        <w:t xml:space="preserve">Future directions</w:t>
      </w:r>
    </w:p>
    <w:p>
      <w:pPr>
        <w:pStyle w:val="Compact"/>
        <w:numPr>
          <w:ilvl w:val="1"/>
          <w:numId w:val="1008"/>
        </w:numPr>
      </w:pPr>
      <w:r>
        <w:t xml:space="preserve">Explore methods for improving model performance for groups underrepresented in the data, such as upsampling and adjusting penalties for minority groups (fairness paper).</w:t>
      </w:r>
    </w:p>
    <w:p>
      <w:pPr>
        <w:pStyle w:val="Compact"/>
        <w:numPr>
          <w:ilvl w:val="1"/>
          <w:numId w:val="1008"/>
        </w:numPr>
      </w:pPr>
      <w:r>
        <w:t xml:space="preserve">Recruit a more representative sample to improve diversity of training data (RISK2 grant).</w:t>
      </w:r>
    </w:p>
    <w:p>
      <w:pPr>
        <w:pStyle w:val="Compact"/>
        <w:numPr>
          <w:ilvl w:val="1"/>
          <w:numId w:val="1008"/>
        </w:numPr>
      </w:pPr>
      <w:r>
        <w:t xml:space="preserve">Build personalized models that inherently capture time series data and how one’s risk evolves over time (state-space models).</w:t>
      </w:r>
    </w:p>
    <w:bookmarkEnd w:id="67"/>
    <w:bookmarkStart w:id="110" w:name="references"/>
    <w:p>
      <w:pPr>
        <w:pStyle w:val="Heading2"/>
      </w:pPr>
      <w:r>
        <w:t xml:space="preserve">References</w:t>
      </w:r>
    </w:p>
    <w:bookmarkStart w:id="109" w:name="refs"/>
    <w:bookmarkStart w:id="69"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8">
        <w:r>
          <w:rPr>
            <w:rStyle w:val="Hyperlink"/>
          </w:rPr>
          <w:t xml:space="preserve">https://doi.org/10.1016/j.addbeh.2017.11.039</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2">
        <w:r>
          <w:rPr>
            <w:rStyle w:val="Hyperlink"/>
          </w:rPr>
          <w:t xml:space="preserve">https://doi.org/10.1016/j.jsat.2013.08.004</w:t>
        </w:r>
      </w:hyperlink>
      <w:r>
        <w:t xml:space="preserve">.</w:t>
      </w:r>
    </w:p>
    <w:bookmarkEnd w:id="73"/>
    <w:bookmarkStart w:id="75"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4">
        <w:r>
          <w:rPr>
            <w:rStyle w:val="Hyperlink"/>
          </w:rPr>
          <w:t xml:space="preserve">https://doi.org/10.1016/j.brat.2019.103506</w:t>
        </w:r>
      </w:hyperlink>
      <w:r>
        <w:t xml:space="preserve">.</w:t>
      </w:r>
    </w:p>
    <w:bookmarkEnd w:id="75"/>
    <w:bookmarkStart w:id="76"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76"/>
    <w:bookmarkStart w:id="77"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77"/>
    <w:bookmarkStart w:id="79"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8">
        <w:r>
          <w:rPr>
            <w:rStyle w:val="Hyperlink"/>
          </w:rPr>
          <w:t xml:space="preserve">https://doi.org/10.1016/j.drugalcdep.2006.05.012</w:t>
        </w:r>
      </w:hyperlink>
      <w:r>
        <w:t xml:space="preserve">.</w:t>
      </w:r>
    </w:p>
    <w:bookmarkEnd w:id="79"/>
    <w:bookmarkStart w:id="80"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0"/>
    <w:bookmarkStart w:id="82"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1">
        <w:r>
          <w:rPr>
            <w:rStyle w:val="Hyperlink"/>
          </w:rPr>
          <w:t xml:space="preserve">https://doi.org/10.1001/jamanetworkopen.2020.5852</w:t>
        </w:r>
      </w:hyperlink>
      <w:r>
        <w:t xml:space="preserve">.</w:t>
      </w:r>
    </w:p>
    <w:bookmarkEnd w:id="82"/>
    <w:bookmarkStart w:id="83"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83"/>
    <w:bookmarkStart w:id="8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84">
        <w:r>
          <w:rPr>
            <w:rStyle w:val="Hyperlink"/>
          </w:rPr>
          <w:t xml:space="preserve">https://doi.org/10.1007/978-1-4614-6849-3</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7">
        <w:r>
          <w:rPr>
            <w:rStyle w:val="Hyperlink"/>
          </w:rPr>
          <w:t xml:space="preserve">https://doi.org/10.1214/17-EJS1338SI</w:t>
        </w:r>
      </w:hyperlink>
      <w:r>
        <w:t xml:space="preserve">.</w:t>
      </w:r>
    </w:p>
    <w:bookmarkEnd w:id="88"/>
    <w:bookmarkStart w:id="8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9"/>
    <w:bookmarkStart w:id="9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0"/>
    <w:bookmarkStart w:id="9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91">
        <w:r>
          <w:rPr>
            <w:rStyle w:val="Hyperlink"/>
          </w:rPr>
          <w:t xml:space="preserve">https://doi.org/10.1016/j.jsat.2021.108710</w:t>
        </w:r>
      </w:hyperlink>
      <w:r>
        <w:t xml:space="preserve">.</w:t>
      </w:r>
    </w:p>
    <w:bookmarkEnd w:id="92"/>
    <w:bookmarkStart w:id="9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93">
        <w:r>
          <w:rPr>
            <w:rStyle w:val="Hyperlink"/>
          </w:rPr>
          <w:t xml:space="preserve">https://doi.org/10.1016/j.drugalcdep.2019.05.017</w:t>
        </w:r>
      </w:hyperlink>
      <w:r>
        <w:t xml:space="preserve">.</w:t>
      </w:r>
    </w:p>
    <w:bookmarkEnd w:id="94"/>
    <w:bookmarkStart w:id="9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7">
        <w:r>
          <w:rPr>
            <w:rStyle w:val="Hyperlink"/>
          </w:rPr>
          <w:t xml:space="preserve">https://doi.org/10.1037/adb0000666</w:t>
        </w:r>
      </w:hyperlink>
      <w:r>
        <w:t xml:space="preserve">.</w:t>
      </w:r>
    </w:p>
    <w:bookmarkEnd w:id="98"/>
    <w:bookmarkStart w:id="10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9">
        <w:r>
          <w:rPr>
            <w:rStyle w:val="Hyperlink"/>
          </w:rPr>
          <w:t xml:space="preserve">https://doi.org/10.1016/j.jsat.2021.108417</w:t>
        </w:r>
      </w:hyperlink>
      <w:r>
        <w:t xml:space="preserve">.</w:t>
      </w:r>
    </w:p>
    <w:bookmarkEnd w:id="100"/>
    <w:bookmarkStart w:id="10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01">
        <w:r>
          <w:rPr>
            <w:rStyle w:val="Hyperlink"/>
          </w:rPr>
          <w:t xml:space="preserve">https://doi.org/10.1037/0003-066X.59.4.224</w:t>
        </w:r>
      </w:hyperlink>
      <w:r>
        <w:t xml:space="preserve">.</w:t>
      </w:r>
    </w:p>
    <w:bookmarkEnd w:id="102"/>
    <w:bookmarkStart w:id="10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03">
        <w:r>
          <w:rPr>
            <w:rStyle w:val="Hyperlink"/>
          </w:rPr>
          <w:t xml:space="preserve">https://doi.org/10.1016/j.cpr.2007.01.002</w:t>
        </w:r>
      </w:hyperlink>
      <w:r>
        <w:t xml:space="preserve">.</w:t>
      </w:r>
    </w:p>
    <w:bookmarkEnd w:id="104"/>
    <w:bookmarkStart w:id="106"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05">
        <w:r>
          <w:rPr>
            <w:rStyle w:val="Hyperlink"/>
          </w:rPr>
          <w:t xml:space="preserve">https://doi.org/10.2196/41833</w:t>
        </w:r>
      </w:hyperlink>
      <w:r>
        <w:t xml:space="preserve">.</w:t>
      </w:r>
    </w:p>
    <w:bookmarkEnd w:id="106"/>
    <w:bookmarkStart w:id="108"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07">
        <w:r>
          <w:rPr>
            <w:rStyle w:val="Hyperlink"/>
          </w:rPr>
          <w:t xml:space="preserve">https://doi.org/10.31234/osf.io/cgsf7</w:t>
        </w:r>
      </w:hyperlink>
      <w:r>
        <w:t xml:space="preserve">.</w:t>
      </w:r>
    </w:p>
    <w:bookmarkEnd w:id="108"/>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2024-08-18T21:10:36Z</dcterms:created>
  <dcterms:modified xsi:type="dcterms:W3CDTF">2024-08-18T21:10:36Z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2024-08-14</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