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Jiachen</w:t>
      </w:r>
      <w:r>
        <w:t xml:space="preserve"> </w:t>
      </w:r>
      <w:r>
        <w:t xml:space="preserve">(Coco)</w:t>
      </w:r>
      <w:r>
        <w:t xml:space="preserve"> </w:t>
      </w:r>
      <w:r>
        <w:t xml:space="preserve">Yu</w:t>
      </w:r>
    </w:p>
    <w:p>
      <w:pPr>
        <w:pStyle w:val="Author"/>
      </w:pPr>
      <w:r>
        <w:t xml:space="preserve">Gaylen</w:t>
      </w:r>
      <w:r>
        <w:t xml:space="preserve"> </w:t>
      </w:r>
      <w:r>
        <w:t xml:space="preserve">E.</w:t>
      </w:r>
      <w:r>
        <w:t xml:space="preserve"> </w:t>
      </w:r>
      <w:r>
        <w:t xml:space="preserve">Fronk</w:t>
      </w:r>
    </w:p>
    <w:p>
      <w:pPr>
        <w:pStyle w:val="Author"/>
      </w:pPr>
      <w:r>
        <w:t xml:space="preserve">John</w:t>
      </w:r>
      <w:r>
        <w:t xml:space="preserve"> </w:t>
      </w:r>
      <w:r>
        <w:t xml:space="preserve">J.</w:t>
      </w:r>
      <w:r>
        <w:t xml:space="preserve"> </w:t>
      </w:r>
      <w:r>
        <w:t xml:space="preserve">Curtin</w:t>
      </w:r>
    </w:p>
    <w:p>
      <w:pPr>
        <w:pStyle w:val="Date"/>
      </w:pPr>
      <w:r>
        <w:t xml:space="preserve">2024-06-20</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w:t>
      </w:r>
      <w:r>
        <w:t xml:space="preserve"> </w:t>
      </w:r>
      <w:r>
        <w:rPr>
          <w:i/>
          <w:iCs/>
        </w:rPr>
        <w:t xml:space="preserve">how</w:t>
      </w:r>
      <w:r>
        <w:t xml:space="preserve"> </w:t>
      </w:r>
      <w:r>
        <w:t xml:space="preserve">do we best treat a specific individual (e.g., which medication will work best for an individual given their unique background, preferences, and medical history).</w:t>
      </w:r>
    </w:p>
    <w:p>
      <w:pPr>
        <w:pStyle w:val="BodyText"/>
      </w:pPr>
      <w:r>
        <w:t xml:space="preserve">Today, this approach is also applied to chronic mental health conditions (i.e., precision mental health), like depression, substance use disorders, and suicide [</w:t>
      </w:r>
      <w:r>
        <w:t xml:space="preserve">]. However, mental health conditions are complex fluctuating processes. Unlike medical conditions that have clear biological precursors, mental health conditions are products of lots of psychosocial factors. These factors differ between individuals and within an individual over time. Additionally, there are a wide array of psychosocial supports available for clinicians to select from. Thus, precision mental health must consider both the</w:t>
      </w:r>
      <w:r>
        <w:t xml:space="preserve"> </w:t>
      </w:r>
      <w:r>
        <w:rPr>
          <w:i/>
          <w:iCs/>
        </w:rPr>
        <w:t xml:space="preserve">when</w:t>
      </w:r>
      <w:r>
        <w:t xml:space="preserve"> </w:t>
      </w:r>
      <w:r>
        <w:t xml:space="preserve">and the</w:t>
      </w:r>
      <w:r>
        <w:t xml:space="preserve"> </w:t>
      </w:r>
      <w:r>
        <w:rPr>
          <w:i/>
          <w:iCs/>
        </w:rPr>
        <w:t xml:space="preserve">how</w:t>
      </w:r>
      <w:r>
        <w:t xml:space="preserve">.</w:t>
      </w:r>
    </w:p>
    <w:p>
      <w:pPr>
        <w:pStyle w:val="BodyText"/>
      </w:pPr>
      <w:r>
        <w:t xml:space="preserve">There has been long-standing interest in precision mental health and substance use disorders. In an early example, The Project MATCH research group attempted to match individuals with alcohol use disorder to their optimal treatment based on baseline measures of individual differences</w:t>
      </w:r>
      <w:r>
        <w:t xml:space="preserve"> </w:t>
      </w:r>
      <w:r>
        <w:t xml:space="preserve">(</w:t>
      </w:r>
      <w:r>
        <w:rPr>
          <w:b/>
          <w:bCs/>
        </w:rPr>
        <w:t xml:space="preserve">projectmatchresearchgroupMatchingAlcoholismTreatments1997?</w:t>
      </w:r>
      <w:r>
        <w:t xml:space="preserve">)</w:t>
      </w:r>
      <w:r>
        <w:t xml:space="preserve">. The study failed to find any differences in treatment success. This can likely be attributed to low dimensional analyses that failed to capture to the complex and heterogeneous nature of substance use disorders and their use of static distal features to predict a non-linear time-varying course of recovery, lapse, and relapse</w:t>
      </w:r>
      <w:r>
        <w:t xml:space="preserve"> </w:t>
      </w:r>
      <w:r>
        <w:t xml:space="preserve">(Witkiewitz and Marlatt 2007)</w:t>
      </w:r>
      <w:r>
        <w:t xml:space="preserve">.</w:t>
      </w:r>
    </w:p>
    <w:p>
      <w:pPr>
        <w:pStyle w:val="BodyText"/>
      </w:pPr>
      <w:r>
        <w:t xml:space="preserve">Take the example of lapses, discrete instances of goal inconsistent substance use. Lapses are a clinically important target for substance use treatment. They are often an early warning sign of relapse, maladaptive responses to lapses can undermine recovery, and for some substances a single lapse can result in an overdose and/or death. It would be unreasonable to expect that we could predict a lapse with any temporal precision using only features that become more distal as time progresses. Lapse prediction requires dense, long-term monitoring of symptoms and related states proximal to the outcome.</w:t>
      </w:r>
    </w:p>
    <w:p>
      <w:pPr>
        <w:pStyle w:val="BodyText"/>
      </w:pPr>
      <w:r>
        <w:t xml:space="preserve">Recent advances in both personal sensing and machine learning may address both of these barriers to successful precision mental health. Personal sensing allows for frequent, longitudinal measurement of changes in proximal risk (e.g., lapse) with high temporal precision. Machine learning allows for high dimensional inputs. Moreover, tools from machine learning can be applied to models to understand which factors are specific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For example, recommending a coping with craving activity when someone has increased craving or recommending a guided relaxation video when someone is reporting recent stressful events. Importantly these supports can be available 24/7 (e.g., in a digital therapeutic) for an individual.</w:t>
      </w:r>
    </w:p>
    <w:p>
      <w:pPr>
        <w:pStyle w:val="BodyText"/>
      </w:pPr>
      <w:r>
        <w:t xml:space="preserve">However, many interventions cannot be self-contained in a digital therapeutic and they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 the performance of one of our models from a previous study with models using increased lag time between predictions and outcomes. Specifically, we use the same EMA features as our immediate model and train new models to predict the probability of a lapse beginning one day (24 hours), three days (72 hours), one week (168 hours), or two weeks (336 hours) into the future. Our primary objective is to assess how well models perform with increasing lag time.</w:t>
      </w:r>
    </w:p>
    <w:bookmarkEnd w:id="21"/>
    <w:bookmarkStart w:id="100"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differences"/>
    <w:p>
      <w:pPr>
        <w:pStyle w:val="Heading3"/>
      </w:pPr>
      <w:r>
        <w:t xml:space="preserve">Individual Differences</w:t>
      </w:r>
    </w:p>
    <w:p>
      <w:pPr>
        <w:pStyle w:val="FirstParagraph"/>
      </w:pPr>
      <w:r>
        <w:t xml:space="preserve">We collected self-report information about demographics (age, sex, race, ethnicity, education, marital status, employment, and income) and AUD symptom count. This information was collected primarily to characterize the sample and to evaluate the diversity of the training data. We also used the demographic information in our models.</w:t>
      </w:r>
    </w:p>
    <w:bookmarkEnd w:id="27"/>
    <w:bookmarkEnd w:id="28"/>
    <w:bookmarkStart w:id="38"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one day, three days, one week, or two weeks prior to the start of the prediction window.</w:t>
      </w:r>
    </w:p>
    <w:p>
      <w:pPr>
        <w:pStyle w:val="BodyText"/>
      </w:pPr>
      <w:r>
        <w:t xml:space="preserve">A total of 286 features were derived from three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Day and time of prediction window onset</w:t>
      </w:r>
      <w:r>
        <w:t xml:space="preserve">: We created dummy-coded features to indicate time of day and day of week that the prediction window began.</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r>
        <w:t xml:space="preserve"> </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7"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degrade as predictions are made further into the future.</w:t>
      </w:r>
    </w:p>
    <w:p>
      <w:pPr>
        <w:pStyle w:val="BodyText"/>
      </w:pPr>
      <w:r>
        <w:t xml:space="preserve">For both sets of model comparisons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5"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at or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95% Bayesian CIs.</w:t>
      </w:r>
      <w:r>
        <w:t xml:space="preserve"> </w:t>
      </w:r>
    </w:p>
    <w:bookmarkEnd w:id="35"/>
    <w:bookmarkStart w:id="36"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w:t>
      </w:r>
    </w:p>
    <w:bookmarkEnd w:id="36"/>
    <w:bookmarkEnd w:id="37"/>
    <w:bookmarkEnd w:id="38"/>
    <w:bookmarkStart w:id="60" w:name="results"/>
    <w:p>
      <w:pPr>
        <w:pStyle w:val="Heading2"/>
      </w:pPr>
      <w:r>
        <w:t xml:space="preserve">Results</w:t>
      </w:r>
    </w:p>
    <w:bookmarkStart w:id="43" w:name="demographic-and-lapse-characteristics"/>
    <w:p>
      <w:pPr>
        <w:pStyle w:val="Heading3"/>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pdf">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39" w:name="tbl-demopdf"/>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p>
      <w:r>
        <w:br w:type="page"/>
      </w:r>
    </w:p>
    <w:p>
      <w:pPr>
        <w:pStyle w:val="BodyText"/>
      </w:pPr>
      <w:r>
        <w:t xml:space="preserve">Table 2: Demographic and Lapse Characteristics (Continued)</w:t>
      </w:r>
    </w:p>
    <w:bookmarkStart w:id="41" w:name="demopdf"/>
    <w:tbl>
      <w:tblPr>
        <w:tblStyle w:val="Table"/>
        <w:tblW w:type="pct" w:w="4878"/>
        <w:tblLayout w:type="fixed"/>
        <w:tblLook w:firstRow="1" w:lastRow="0" w:firstColumn="0" w:lastColumn="0" w:noHBand="0" w:noVBand="0" w:val="0020"/>
      </w:tblPr>
      <w:tblGrid>
        <w:gridCol w:w="4636"/>
        <w:gridCol w:w="482"/>
        <w:gridCol w:w="676"/>
        <w:gridCol w:w="579"/>
        <w:gridCol w:w="579"/>
        <w:gridCol w:w="772"/>
      </w:tblGrid>
      <w:tr>
        <w:trPr>
          <w:tblHeader w:val="on"/>
        </w:trPr>
        <w:tc>
          <w:tcPr/>
          <w:p>
            <w:pPr>
              <w:pStyle w:val="Compact"/>
              <w:jc w:val="left"/>
            </w:pPr>
            <w:r>
              <w:t xml:space="preserve">var</w:t>
            </w:r>
          </w:p>
        </w:tc>
        <w:tc>
          <w:tcPr/>
          <w:p>
            <w:pPr>
              <w:pStyle w:val="Compact"/>
              <w:jc w:val="right"/>
            </w:pPr>
            <w:r>
              <w:t xml:space="preserve">N</w:t>
            </w:r>
          </w:p>
        </w:tc>
        <w:tc>
          <w:tcPr/>
          <w:p>
            <w:pPr>
              <w:pStyle w:val="Compact"/>
              <w:jc w:val="right"/>
            </w:pPr>
            <w:r>
              <w:t xml:space="preserve">%</w:t>
            </w:r>
          </w:p>
        </w:tc>
        <w:tc>
          <w:tcPr/>
          <w:p>
            <w:pPr>
              <w:pStyle w:val="Compact"/>
              <w:jc w:val="left"/>
            </w:pPr>
            <w:r>
              <w:t xml:space="preserve">M</w:t>
            </w:r>
          </w:p>
        </w:tc>
        <w:tc>
          <w:tcPr/>
          <w:p>
            <w:pPr>
              <w:pStyle w:val="Compact"/>
              <w:jc w:val="left"/>
            </w:pPr>
            <w:r>
              <w:t xml:space="preserve">SD</w:t>
            </w:r>
          </w:p>
        </w:tc>
        <w:tc>
          <w:tcPr/>
          <w:p>
            <w:pPr>
              <w:pStyle w:val="Compact"/>
              <w:jc w:val="left"/>
            </w:pPr>
            <w:r>
              <w:t xml:space="preserve">Range</w:t>
            </w:r>
          </w:p>
        </w:tc>
      </w:tr>
      <w:tr>
        <w:tc>
          <w:tcPr/>
          <w:p>
            <w:pPr>
              <w:pStyle w:val="Compact"/>
              <w:jc w:val="left"/>
            </w:pPr>
            <w:r>
              <w:t xml:space="preserve">Married</w:t>
            </w:r>
          </w:p>
        </w:tc>
        <w:tc>
          <w:tcPr/>
          <w:p>
            <w:pPr>
              <w:pStyle w:val="Compact"/>
              <w:jc w:val="right"/>
            </w:pPr>
            <w:r>
              <w:t xml:space="preserve">32</w:t>
            </w:r>
          </w:p>
        </w:tc>
        <w:tc>
          <w:tcPr/>
          <w:p>
            <w:pPr>
              <w:pStyle w:val="Compact"/>
              <w:jc w:val="right"/>
            </w:pPr>
            <w:r>
              <w:t xml:space="preserve">21.2</w:t>
            </w:r>
          </w:p>
        </w:tc>
        <w:tc>
          <w:tcPr/>
          <w:p>
            <w:pPr>
              <w:pStyle w:val="Compact"/>
            </w:pPr>
          </w:p>
        </w:tc>
        <w:tc>
          <w:tcPr/>
          <w:p>
            <w:pPr>
              <w:pStyle w:val="Compact"/>
            </w:pPr>
          </w:p>
        </w:tc>
        <w:tc>
          <w:tcPr/>
          <w:p>
            <w:pPr>
              <w:pStyle w:val="Compact"/>
            </w:pPr>
          </w:p>
        </w:tc>
      </w:tr>
      <w:tr>
        <w:tc>
          <w:tcPr/>
          <w:p>
            <w:pPr>
              <w:pStyle w:val="Compact"/>
              <w:jc w:val="left"/>
            </w:pPr>
            <w:r>
              <w:t xml:space="preserve">Divorced</w:t>
            </w:r>
          </w:p>
        </w:tc>
        <w:tc>
          <w:tcPr/>
          <w:p>
            <w:pPr>
              <w:pStyle w:val="Compact"/>
              <w:jc w:val="right"/>
            </w:pPr>
            <w:r>
              <w:t xml:space="preserve">45</w:t>
            </w:r>
          </w:p>
        </w:tc>
        <w:tc>
          <w:tcPr/>
          <w:p>
            <w:pPr>
              <w:pStyle w:val="Compact"/>
              <w:jc w:val="right"/>
            </w:pPr>
            <w:r>
              <w:t xml:space="preserve">29.8</w:t>
            </w:r>
          </w:p>
        </w:tc>
        <w:tc>
          <w:tcPr/>
          <w:p>
            <w:pPr>
              <w:pStyle w:val="Compact"/>
            </w:pPr>
          </w:p>
        </w:tc>
        <w:tc>
          <w:tcPr/>
          <w:p>
            <w:pPr>
              <w:pStyle w:val="Compact"/>
            </w:pPr>
          </w:p>
        </w:tc>
        <w:tc>
          <w:tcPr/>
          <w:p>
            <w:pPr>
              <w:pStyle w:val="Compact"/>
            </w:pPr>
          </w:p>
        </w:tc>
      </w:tr>
      <w:tr>
        <w:tc>
          <w:tcPr/>
          <w:p>
            <w:pPr>
              <w:pStyle w:val="Compact"/>
              <w:jc w:val="left"/>
            </w:pPr>
            <w:r>
              <w:t xml:space="preserve">Separated</w:t>
            </w:r>
          </w:p>
        </w:tc>
        <w:tc>
          <w:tcPr/>
          <w:p>
            <w:pPr>
              <w:pStyle w:val="Compact"/>
              <w:jc w:val="right"/>
            </w:pPr>
            <w:r>
              <w:t xml:space="preserve">5</w:t>
            </w:r>
          </w:p>
        </w:tc>
        <w:tc>
          <w:tcPr/>
          <w:p>
            <w:pPr>
              <w:pStyle w:val="Compact"/>
              <w:jc w:val="right"/>
            </w:pPr>
            <w:r>
              <w:t xml:space="preserve">3.3</w:t>
            </w:r>
          </w:p>
        </w:tc>
        <w:tc>
          <w:tcPr/>
          <w:p>
            <w:pPr>
              <w:pStyle w:val="Compact"/>
            </w:pPr>
          </w:p>
        </w:tc>
        <w:tc>
          <w:tcPr/>
          <w:p>
            <w:pPr>
              <w:pStyle w:val="Compact"/>
            </w:pPr>
          </w:p>
        </w:tc>
        <w:tc>
          <w:tcPr/>
          <w:p>
            <w:pPr>
              <w:pStyle w:val="Compact"/>
            </w:pPr>
          </w:p>
        </w:tc>
      </w:tr>
      <w:tr>
        <w:tc>
          <w:tcPr/>
          <w:p>
            <w:pPr>
              <w:pStyle w:val="Compact"/>
              <w:jc w:val="left"/>
            </w:pPr>
            <w:r>
              <w:t xml:space="preserve">Widowed</w:t>
            </w:r>
          </w:p>
        </w:tc>
        <w:tc>
          <w:tcPr/>
          <w:p>
            <w:pPr>
              <w:pStyle w:val="Compact"/>
              <w:jc w:val="right"/>
            </w:pPr>
            <w:r>
              <w:t xml:space="preserve">2</w:t>
            </w:r>
          </w:p>
        </w:tc>
        <w:tc>
          <w:tcPr/>
          <w:p>
            <w:pPr>
              <w:pStyle w:val="Compact"/>
              <w:jc w:val="right"/>
            </w:pPr>
            <w:r>
              <w:t xml:space="preserve">1.3</w:t>
            </w:r>
          </w:p>
        </w:tc>
        <w:tc>
          <w:tcPr/>
          <w:p>
            <w:pPr>
              <w:pStyle w:val="Compact"/>
            </w:pPr>
          </w:p>
        </w:tc>
        <w:tc>
          <w:tcPr/>
          <w:p>
            <w:pPr>
              <w:pStyle w:val="Compact"/>
            </w:pPr>
          </w:p>
        </w:tc>
        <w:tc>
          <w:tcPr/>
          <w:p>
            <w:pPr>
              <w:pStyle w:val="Compact"/>
            </w:pPr>
          </w:p>
        </w:tc>
      </w:tr>
      <w:tr>
        <w:tc>
          <w:tcPr/>
          <w:p>
            <w:pPr>
              <w:pStyle w:val="Compact"/>
              <w:jc w:val="left"/>
            </w:pPr>
            <w:r>
              <w:t xml:space="preserve">DSM-5 AUD Symptom Count</w:t>
            </w:r>
          </w:p>
        </w:tc>
        <w:tc>
          <w:tcPr/>
          <w:p>
            <w:pPr>
              <w:pStyle w:val="Compact"/>
            </w:pPr>
          </w:p>
        </w:tc>
        <w:tc>
          <w:tcPr/>
          <w:p>
            <w:pPr>
              <w:pStyle w:val="Compact"/>
            </w:pPr>
          </w:p>
        </w:tc>
        <w:tc>
          <w:tcPr/>
          <w:p>
            <w:pPr>
              <w:pStyle w:val="Compact"/>
              <w:jc w:val="left"/>
            </w:pPr>
            <w:r>
              <w:t xml:space="preserve">8.9</w:t>
            </w:r>
          </w:p>
        </w:tc>
        <w:tc>
          <w:tcPr/>
          <w:p>
            <w:pPr>
              <w:pStyle w:val="Compact"/>
              <w:jc w:val="left"/>
            </w:pPr>
            <w:r>
              <w:t xml:space="preserve">1.9</w:t>
            </w:r>
          </w:p>
        </w:tc>
        <w:tc>
          <w:tcPr/>
          <w:p>
            <w:pPr>
              <w:pStyle w:val="Compact"/>
              <w:jc w:val="left"/>
            </w:pPr>
            <w:r>
              <w:t xml:space="preserve">4-11</w:t>
            </w:r>
          </w:p>
        </w:tc>
      </w:tr>
      <w:tr>
        <w:tc>
          <w:tcPr/>
          <w:p>
            <w:pPr>
              <w:pStyle w:val="Compact"/>
              <w:jc w:val="left"/>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Yes</w:t>
            </w:r>
          </w:p>
        </w:tc>
        <w:tc>
          <w:tcPr/>
          <w:p>
            <w:pPr>
              <w:pStyle w:val="Compact"/>
              <w:jc w:val="right"/>
            </w:pPr>
            <w:r>
              <w:t xml:space="preserve">84</w:t>
            </w:r>
          </w:p>
        </w:tc>
        <w:tc>
          <w:tcPr/>
          <w:p>
            <w:pPr>
              <w:pStyle w:val="Compact"/>
              <w:jc w:val="right"/>
            </w:pPr>
            <w:r>
              <w:t xml:space="preserve">55.6</w:t>
            </w:r>
          </w:p>
        </w:tc>
        <w:tc>
          <w:tcPr/>
          <w:p>
            <w:pPr>
              <w:pStyle w:val="Compact"/>
            </w:pPr>
          </w:p>
        </w:tc>
        <w:tc>
          <w:tcPr/>
          <w:p>
            <w:pPr>
              <w:pStyle w:val="Compact"/>
            </w:pPr>
          </w:p>
        </w:tc>
        <w:tc>
          <w:tcPr/>
          <w:p>
            <w:pPr>
              <w:pStyle w:val="Compact"/>
            </w:pPr>
          </w:p>
        </w:tc>
      </w:tr>
      <w:tr>
        <w:tc>
          <w:tcPr/>
          <w:p>
            <w:pPr>
              <w:pStyle w:val="Compact"/>
              <w:jc w:val="left"/>
            </w:pPr>
            <w:r>
              <w:t xml:space="preserve">No</w:t>
            </w:r>
          </w:p>
        </w:tc>
        <w:tc>
          <w:tcPr/>
          <w:p>
            <w:pPr>
              <w:pStyle w:val="Compact"/>
              <w:jc w:val="right"/>
            </w:pPr>
            <w:r>
              <w:t xml:space="preserve">67</w:t>
            </w:r>
          </w:p>
        </w:tc>
        <w:tc>
          <w:tcPr/>
          <w:p>
            <w:pPr>
              <w:pStyle w:val="Compact"/>
              <w:jc w:val="right"/>
            </w:pPr>
            <w:r>
              <w:t xml:space="preserve">44.4</w:t>
            </w:r>
          </w:p>
        </w:tc>
        <w:tc>
          <w:tcPr/>
          <w:p>
            <w:pPr>
              <w:pStyle w:val="Compact"/>
            </w:pPr>
          </w:p>
        </w:tc>
        <w:tc>
          <w:tcPr/>
          <w:p>
            <w:pPr>
              <w:pStyle w:val="Compact"/>
            </w:pPr>
          </w:p>
        </w:tc>
        <w:tc>
          <w:tcPr/>
          <w:p>
            <w:pPr>
              <w:pStyle w:val="Compact"/>
            </w:pPr>
          </w:p>
        </w:tc>
      </w:tr>
      <w:tr>
        <w:tc>
          <w:tcPr/>
          <w:p>
            <w:pPr>
              <w:pStyle w:val="Compact"/>
              <w:jc w:val="left"/>
            </w:pPr>
            <w:r>
              <w:t xml:space="preserve">Number of reported lapses</w:t>
            </w:r>
          </w:p>
        </w:tc>
        <w:tc>
          <w:tcPr/>
          <w:p>
            <w:pPr>
              <w:pStyle w:val="Compact"/>
            </w:pPr>
          </w:p>
        </w:tc>
        <w:tc>
          <w:tcPr/>
          <w:p>
            <w:pPr>
              <w:pStyle w:val="Compact"/>
            </w:pPr>
          </w:p>
        </w:tc>
        <w:tc>
          <w:tcPr/>
          <w:p>
            <w:pPr>
              <w:pStyle w:val="Compact"/>
              <w:jc w:val="left"/>
            </w:pPr>
            <w:r>
              <w:t xml:space="preserve">6.8</w:t>
            </w:r>
          </w:p>
        </w:tc>
        <w:tc>
          <w:tcPr/>
          <w:p>
            <w:pPr>
              <w:pStyle w:val="Compact"/>
              <w:jc w:val="left"/>
            </w:pPr>
            <w:r>
              <w:t xml:space="preserve">12</w:t>
            </w:r>
          </w:p>
        </w:tc>
        <w:tc>
          <w:tcPr/>
          <w:p>
            <w:pPr>
              <w:pStyle w:val="Compact"/>
              <w:jc w:val="left"/>
            </w:pPr>
            <w:r>
              <w:t xml:space="preserve">0-75</w:t>
            </w:r>
          </w:p>
        </w:tc>
      </w:tr>
    </w:tbl>
    <w:bookmarkEnd w:id="41"/>
    <w:p>
      <w:pPr>
        <w:pStyle w:val="BodyText"/>
      </w:pPr>
      <w:r>
        <w:rPr>
          <w:vertAlign w:val="subscript"/>
        </w:rPr>
        <w:t xml:space="preserve">Source:</w:t>
      </w:r>
      <w:r>
        <w:rPr>
          <w:vertAlign w:val="subscript"/>
        </w:rPr>
        <w:t xml:space="preserve"> </w:t>
      </w:r>
      <w:hyperlink r:id="rId42">
        <w:r>
          <w:rPr>
            <w:rStyle w:val="Hyperlink"/>
            <w:vertAlign w:val="subscript"/>
          </w:rPr>
          <w:t xml:space="preserve">Make All Tables for Main Manuscript</w:t>
        </w:r>
      </w:hyperlink>
    </w:p>
    <w:bookmarkEnd w:id="43"/>
    <w:bookmarkStart w:id="49" w:name="model-evaluation-1"/>
    <w:p>
      <w:pPr>
        <w:pStyle w:val="Heading3"/>
      </w:pPr>
      <w:r>
        <w:t xml:space="preserve">Model Evaluation</w:t>
      </w:r>
    </w:p>
    <w:p>
      <w:pPr>
        <w:pStyle w:val="FirstParagraph"/>
      </w:pPr>
      <w:r>
        <w:t xml:space="preserve">The median auROC across the 30 test sets for our baseline model was high (median=0.892, IQR=0.046), consistent with our previous study. Performance across our lagged models was also high for the 24 hour lag (median=0.882, IQR=0.042), 72 hour lag (median=0.873, IQR=0.057), 168 hour lag (median=0.857, IQR=0.061), and 336 hour lag (median=0.857, IQR=0.064).</w:t>
      </w:r>
    </w:p>
    <w:p>
      <w:pPr>
        <w:pStyle w:val="BodyText"/>
      </w:pPr>
      <w:r>
        <w:t xml:space="preserve">Histograms of the full posterior probability distributions for auROC for each model are available in the supplement. The median auROCs from these posterior distributions were 0.894 (baseline), 0.887 (24 hour lag), 0.875 (72 hour lag), 0.872 (168 hour lag), and 0.850 (336 hour lag). These values represent our best estimates for the magnitude of the auROC parameter for each model. The 95% Bayesian CI for the auROCs for these models were relatively narrow and did not contain 0.5: baseline[0.877-0.908], 24 hour lag[0.869-0.902], 72 hour lag[0.856-0.892], 168 hour lag[0.852-0.888], 336 hour lag[0.828-0.870].</w:t>
      </w:r>
      <w:r>
        <w:t xml:space="preserve"> </w:t>
      </w:r>
      <w:hyperlink w:anchor="fig-auroc">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7" w:name="fig-auroc"/>
          <w:p>
            <w:pPr>
              <w:pStyle w:val="Compact"/>
              <w:jc w:val="center"/>
            </w:pPr>
            <w:r>
              <w:drawing>
                <wp:inline>
                  <wp:extent cx="5334000" cy="3810000"/>
                  <wp:effectExtent b="0" l="0" r="0" t="0"/>
                  <wp:docPr descr="" title="" id="45" name="Picture"/>
                  <a:graphic>
                    <a:graphicData uri="http://schemas.openxmlformats.org/drawingml/2006/picture">
                      <pic:pic>
                        <pic:nvPicPr>
                          <pic:cNvPr descr="index_files/figure-docx/notebooks-model_evaluation-fig-auroc-output-1.png" id="46" name="Picture"/>
                          <pic:cNvPicPr>
                            <a:picLocks noChangeArrowheads="1" noChangeAspect="1"/>
                          </pic:cNvPicPr>
                        </pic:nvPicPr>
                        <pic:blipFill>
                          <a:blip r:embed="rId4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probability for auROC and Bayesian credible intervals by model</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Model evaluation</w:t>
        </w:r>
      </w:hyperlink>
    </w:p>
    <w:bookmarkEnd w:id="49"/>
    <w:bookmarkStart w:id="52" w:name="model-comparisons-1"/>
    <w:p>
      <w:pPr>
        <w:pStyle w:val="Heading3"/>
      </w:pPr>
      <w:r>
        <w:t xml:space="preserve">Model Comparisons</w:t>
      </w:r>
    </w:p>
    <w:bookmarkStart w:id="50" w:name="baseline-contrasts"/>
    <w:p>
      <w:pPr>
        <w:pStyle w:val="Heading4"/>
      </w:pPr>
      <w:r>
        <w:t xml:space="preserve">Baseline Contrasts</w:t>
      </w:r>
    </w:p>
    <w:p>
      <w:pPr>
        <w:pStyle w:val="FirstParagraph"/>
      </w:pPr>
      <w:r>
        <w:t xml:space="preserve">The median decrease in auROC for the baseline vs. 24 hour lag model was 0.007 (95% CI=[0.001-0.012]), yielding a significant probability of 0.977 that the lagged model had worse performance. The median decrease in auROC for the baseline vs. 72 hour model was 0.018 (95% CI=[0.012-0.024]), yielding a significant probability of 1.000 that the lagged model had worse performance. The median increase in auROC for the baseline vs. 168 hour lag model was 0.022 (95% CI=[0.016-0.028]), yielding a significant probability of 1.000 that the lagged model had worse performance. The median increase in auROC for the baseline vs. 336 hour lag model was 0.043 (95% CI=[0.036-0.051]), yielding a significant probability of 1.000 that the lagged model had worse performance.</w:t>
      </w:r>
    </w:p>
    <w:bookmarkEnd w:id="50"/>
    <w:bookmarkStart w:id="51" w:name="adjacent-contrasts"/>
    <w:p>
      <w:pPr>
        <w:pStyle w:val="Heading4"/>
      </w:pPr>
      <w:r>
        <w:t xml:space="preserve">Adjacent Contrasts</w:t>
      </w:r>
    </w:p>
    <w:p>
      <w:pPr>
        <w:pStyle w:val="FirstParagraph"/>
      </w:pPr>
      <w:r>
        <w:t xml:space="preserve">The median decrease in auROC for the 24 hour vs. 72 hour lag model was 0.012 (95% CI=[0.006-0.018]), yielding a significant probability of 1.000 that the 72 hour lag model had worse performance than the 24 hour lag model. The median decrease in auROC for the 72 hour vs. 168 hour lag model was 0.004 (95% CI=[-0.002-0.010]), yielding a non-significant probability of 0.840 that the 168 hour lag model had worse performance than the 72 hour lag model. The median decrease in auROC for the 168 hour vs. 336 hour lag model was 0.021 (95% CI=[0.014-0.028]), yielding a significant probability of 1.000 that the 336 hour lag model had worse performance than the 168 hour lag model.</w:t>
      </w:r>
    </w:p>
    <w:bookmarkEnd w:id="51"/>
    <w:bookmarkEnd w:id="52"/>
    <w:bookmarkStart w:id="58" w:name="fairness-benchmarks-1"/>
    <w:p>
      <w:pPr>
        <w:pStyle w:val="Heading3"/>
      </w:pPr>
      <w:r>
        <w:t xml:space="preserve">Fairness Benchmarks</w:t>
      </w:r>
    </w:p>
    <w:p>
      <w:pPr>
        <w:pStyle w:val="FirstParagraph"/>
      </w:pPr>
      <w:hyperlink w:anchor="fig-fairness">
        <w:r>
          <w:rPr>
            <w:rStyle w:val="Hyperlink"/>
          </w:rPr>
          <w:t xml:space="preserve">Figure 2</w:t>
        </w:r>
      </w:hyperlink>
      <w:r>
        <w:t xml:space="preserve"> </w:t>
      </w:r>
      <w:r>
        <w:t xml:space="preserve">shows the difference in performance of each model by demographic group. All group comparisons for race, sex, and income were significant (probability &gt; .95) across models. On average there was a median increase in auROC for white participants compared to participants who were not white of 0.159 (range 0.107-0.179). On average there was a median increase in auROC for male participants compared to female participants of (range 0.059-0.116). On average there was a median increase in auROC for participants above the federal poverty line compared to participants below the federal poverty line of 0.092 (range 0.086-0.133).</w:t>
      </w:r>
    </w:p>
    <w:tbl>
      <w:tblPr>
        <w:tblStyle w:val="Table"/>
        <w:tblW w:type="pct" w:w="5000"/>
        <w:tblLayout w:type="fixed"/>
        <w:tblLook w:firstRow="0" w:lastRow="0" w:firstColumn="0" w:lastColumn="0" w:noHBand="0" w:noVBand="0" w:val="0000"/>
      </w:tblPr>
      <w:tblGrid>
        <w:gridCol w:w="7920"/>
      </w:tblGrid>
      <w:tr>
        <w:tc>
          <w:tcPr/>
          <w:bookmarkStart w:id="56" w:name="fig-fairness"/>
          <w:p>
            <w:pPr>
              <w:pStyle w:val="Compact"/>
              <w:jc w:val="center"/>
            </w:pPr>
            <w:r>
              <w:drawing>
                <wp:inline>
                  <wp:extent cx="5334000" cy="3810000"/>
                  <wp:effectExtent b="0" l="0" r="0" t="0"/>
                  <wp:docPr descr="" title="" id="54" name="Picture"/>
                  <a:graphic>
                    <a:graphicData uri="http://schemas.openxmlformats.org/drawingml/2006/picture">
                      <pic:pic>
                        <pic:nvPicPr>
                          <pic:cNvPr descr="index_files/figure-docx/notebooks-mak_figs-fig-fairness-output-1.png" id="55" name="Picture"/>
                          <pic:cNvPicPr>
                            <a:picLocks noChangeArrowheads="1" noChangeAspect="1"/>
                          </pic:cNvPicPr>
                        </pic:nvPicPr>
                        <pic:blipFill>
                          <a:blip r:embed="rId5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Difference in auROCs by demographic group</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Make Figures</w:t>
        </w:r>
      </w:hyperlink>
    </w:p>
    <w:bookmarkEnd w:id="58"/>
    <w:bookmarkStart w:id="59" w:name="feature-importance-1"/>
    <w:p>
      <w:pPr>
        <w:pStyle w:val="Heading3"/>
      </w:pPr>
      <w:r>
        <w:t xml:space="preserve">Feature Importance</w:t>
      </w:r>
    </w:p>
    <w:bookmarkEnd w:id="59"/>
    <w:bookmarkEnd w:id="60"/>
    <w:bookmarkStart w:id="61"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bookmarkEnd w:id="61"/>
    <w:bookmarkStart w:id="99" w:name="references"/>
    <w:p>
      <w:pPr>
        <w:pStyle w:val="Heading2"/>
      </w:pPr>
      <w:r>
        <w:t xml:space="preserve">References</w:t>
      </w:r>
    </w:p>
    <w:bookmarkStart w:id="98" w:name="refs"/>
    <w:bookmarkStart w:id="63"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2">
        <w:r>
          <w:rPr>
            <w:rStyle w:val="Hyperlink"/>
          </w:rPr>
          <w:t xml:space="preserve">https://doi.org/10.1016/j.addbeh.2017.11.039</w:t>
        </w:r>
      </w:hyperlink>
      <w:r>
        <w:t xml:space="preserve">.</w:t>
      </w:r>
    </w:p>
    <w:bookmarkEnd w:id="63"/>
    <w:bookmarkStart w:id="65"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4">
        <w:r>
          <w:rPr>
            <w:rStyle w:val="Hyperlink"/>
          </w:rPr>
          <w:t xml:space="preserve">https://doi.org/10.21231/GNT1-HW21</w:t>
        </w:r>
      </w:hyperlink>
      <w:r>
        <w:t xml:space="preserve">.</w:t>
      </w:r>
    </w:p>
    <w:bookmarkEnd w:id="65"/>
    <w:bookmarkStart w:id="67"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66">
        <w:r>
          <w:rPr>
            <w:rStyle w:val="Hyperlink"/>
          </w:rPr>
          <w:t xml:space="preserve">https://doi.org/10.1016/j.jsat.2013.08.004</w:t>
        </w:r>
      </w:hyperlink>
      <w:r>
        <w:t xml:space="preserve">.</w:t>
      </w:r>
    </w:p>
    <w:bookmarkEnd w:id="67"/>
    <w:bookmarkStart w:id="69"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68">
        <w:r>
          <w:rPr>
            <w:rStyle w:val="Hyperlink"/>
          </w:rPr>
          <w:t xml:space="preserve">https://doi.org/10.1016/j.brat.2019.103506</w:t>
        </w:r>
      </w:hyperlink>
      <w:r>
        <w:t xml:space="preserve">.</w:t>
      </w:r>
    </w:p>
    <w:bookmarkEnd w:id="69"/>
    <w:bookmarkStart w:id="71"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0">
        <w:r>
          <w:rPr>
            <w:rStyle w:val="Hyperlink"/>
          </w:rPr>
          <w:t xml:space="preserve">https://doi.org/10.1016/j.drugalcdep.2006.05.012</w:t>
        </w:r>
      </w:hyperlink>
      <w:r>
        <w:t xml:space="preserve">.</w:t>
      </w:r>
    </w:p>
    <w:bookmarkEnd w:id="71"/>
    <w:bookmarkStart w:id="72"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2"/>
    <w:bookmarkStart w:id="74"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3">
        <w:r>
          <w:rPr>
            <w:rStyle w:val="Hyperlink"/>
          </w:rPr>
          <w:t xml:space="preserve">https://doi.org/10.1001/jamanetworkopen.2020.5852</w:t>
        </w:r>
      </w:hyperlink>
      <w:r>
        <w:t xml:space="preserve">.</w:t>
      </w:r>
    </w:p>
    <w:bookmarkEnd w:id="74"/>
    <w:bookmarkStart w:id="76"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5">
        <w:r>
          <w:rPr>
            <w:rStyle w:val="Hyperlink"/>
          </w:rPr>
          <w:t xml:space="preserve">https://doi.org/10.1007/978-1-4614-6849-3</w:t>
        </w:r>
      </w:hyperlink>
      <w:r>
        <w:t xml:space="preserve">.</w:t>
      </w:r>
    </w:p>
    <w:bookmarkEnd w:id="76"/>
    <w:bookmarkStart w:id="77"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77"/>
    <w:bookmarkStart w:id="79"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78">
        <w:r>
          <w:rPr>
            <w:rStyle w:val="Hyperlink"/>
          </w:rPr>
          <w:t xml:space="preserve">https://doi.org/10.1214/17-EJS1338SI</w:t>
        </w:r>
      </w:hyperlink>
      <w:r>
        <w:t xml:space="preserve">.</w:t>
      </w:r>
    </w:p>
    <w:bookmarkEnd w:id="79"/>
    <w:bookmarkStart w:id="80"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0"/>
    <w:bookmarkStart w:id="81"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1"/>
    <w:bookmarkStart w:id="83"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2">
        <w:r>
          <w:rPr>
            <w:rStyle w:val="Hyperlink"/>
          </w:rPr>
          <w:t xml:space="preserve">https://doi.org/10.1016/j.jsat.2021.108710</w:t>
        </w:r>
      </w:hyperlink>
      <w:r>
        <w:t xml:space="preserve">.</w:t>
      </w:r>
    </w:p>
    <w:bookmarkEnd w:id="83"/>
    <w:bookmarkStart w:id="85"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4">
        <w:r>
          <w:rPr>
            <w:rStyle w:val="Hyperlink"/>
          </w:rPr>
          <w:t xml:space="preserve">https://doi.org/10.1016/j.drugalcdep.2019.05.017</w:t>
        </w:r>
      </w:hyperlink>
      <w:r>
        <w:t xml:space="preserve">.</w:t>
      </w:r>
    </w:p>
    <w:bookmarkEnd w:id="85"/>
    <w:bookmarkStart w:id="87"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86">
        <w:r>
          <w:rPr>
            <w:rStyle w:val="Hyperlink"/>
          </w:rPr>
          <w:t xml:space="preserve">https://doi.org/10.1037/adb0000666</w:t>
        </w:r>
      </w:hyperlink>
      <w:r>
        <w:t xml:space="preserve">.</w:t>
      </w:r>
    </w:p>
    <w:bookmarkEnd w:id="87"/>
    <w:bookmarkStart w:id="89"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88">
        <w:r>
          <w:rPr>
            <w:rStyle w:val="Hyperlink"/>
          </w:rPr>
          <w:t xml:space="preserve">https://doi.org/10.1016/j.jsat.2021.108417</w:t>
        </w:r>
      </w:hyperlink>
      <w:r>
        <w:t xml:space="preserve">.</w:t>
      </w:r>
    </w:p>
    <w:bookmarkEnd w:id="89"/>
    <w:bookmarkStart w:id="91"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0">
        <w:r>
          <w:rPr>
            <w:rStyle w:val="Hyperlink"/>
          </w:rPr>
          <w:t xml:space="preserve">https://doi.org/10.1037/0003-066X.59.4.224</w:t>
        </w:r>
      </w:hyperlink>
      <w:r>
        <w:t xml:space="preserve">.</w:t>
      </w:r>
    </w:p>
    <w:bookmarkEnd w:id="91"/>
    <w:bookmarkStart w:id="93"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2">
        <w:r>
          <w:rPr>
            <w:rStyle w:val="Hyperlink"/>
          </w:rPr>
          <w:t xml:space="preserve">https://doi.org/10.1016/j.cpr.2007.01.002</w:t>
        </w:r>
      </w:hyperlink>
      <w:r>
        <w:t xml:space="preserve">.</w:t>
      </w:r>
    </w:p>
    <w:bookmarkEnd w:id="93"/>
    <w:bookmarkStart w:id="95"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4">
        <w:r>
          <w:rPr>
            <w:rStyle w:val="Hyperlink"/>
          </w:rPr>
          <w:t xml:space="preserve">https://doi.org/10.2196/41833</w:t>
        </w:r>
      </w:hyperlink>
      <w:r>
        <w:t xml:space="preserve">.</w:t>
      </w:r>
    </w:p>
    <w:bookmarkEnd w:id="95"/>
    <w:bookmarkStart w:id="97"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96">
        <w:r>
          <w:rPr>
            <w:rStyle w:val="Hyperlink"/>
          </w:rPr>
          <w:t xml:space="preserve">https://doi.org/10.31234/osf.io/cgsf7</w:t>
        </w:r>
      </w:hyperlink>
      <w:r>
        <w:t xml:space="preserve">.</w:t>
      </w:r>
    </w:p>
    <w:bookmarkEnd w:id="97"/>
    <w:bookmarkEnd w:id="98"/>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44" Target="media/rId44.png" /><Relationship Type="http://schemas.openxmlformats.org/officeDocument/2006/relationships/hyperlink" Id="rId73" Target="https://doi.org/10.1001/jamanetworkopen.2020.5852" TargetMode="External" /><Relationship Type="http://schemas.openxmlformats.org/officeDocument/2006/relationships/hyperlink" Id="rId75" Target="https://doi.org/10.1007/978-1-4614-6849-3" TargetMode="External" /><Relationship Type="http://schemas.openxmlformats.org/officeDocument/2006/relationships/hyperlink" Id="rId62" Target="https://doi.org/10.1016/j.addbeh.2017.11.039" TargetMode="External" /><Relationship Type="http://schemas.openxmlformats.org/officeDocument/2006/relationships/hyperlink" Id="rId68" Target="https://doi.org/10.1016/j.brat.2019.103506" TargetMode="External" /><Relationship Type="http://schemas.openxmlformats.org/officeDocument/2006/relationships/hyperlink" Id="rId92" Target="https://doi.org/10.1016/j.cpr.2007.01.002" TargetMode="External" /><Relationship Type="http://schemas.openxmlformats.org/officeDocument/2006/relationships/hyperlink" Id="rId70" Target="https://doi.org/10.1016/j.drugalcdep.2006.05.012" TargetMode="External" /><Relationship Type="http://schemas.openxmlformats.org/officeDocument/2006/relationships/hyperlink" Id="rId84" Target="https://doi.org/10.1016/j.drugalcdep.2019.05.017" TargetMode="External" /><Relationship Type="http://schemas.openxmlformats.org/officeDocument/2006/relationships/hyperlink" Id="rId66" Target="https://doi.org/10.1016/j.jsat.2013.08.004" TargetMode="External" /><Relationship Type="http://schemas.openxmlformats.org/officeDocument/2006/relationships/hyperlink" Id="rId88" Target="https://doi.org/10.1016/j.jsat.2021.108417" TargetMode="External" /><Relationship Type="http://schemas.openxmlformats.org/officeDocument/2006/relationships/hyperlink" Id="rId82" Target="https://doi.org/10.1016/j.jsat.2021.108710" TargetMode="External" /><Relationship Type="http://schemas.openxmlformats.org/officeDocument/2006/relationships/hyperlink" Id="rId90" Target="https://doi.org/10.1037/0003-066X.59.4.224" TargetMode="External" /><Relationship Type="http://schemas.openxmlformats.org/officeDocument/2006/relationships/hyperlink" Id="rId86" Target="https://doi.org/10.1037/adb0000666" TargetMode="External" /><Relationship Type="http://schemas.openxmlformats.org/officeDocument/2006/relationships/hyperlink" Id="rId78" Target="https://doi.org/10.1214/17-EJS1338SI" TargetMode="External" /><Relationship Type="http://schemas.openxmlformats.org/officeDocument/2006/relationships/hyperlink" Id="rId64" Target="https://doi.org/10.21231/GNT1-HW21" TargetMode="External" /><Relationship Type="http://schemas.openxmlformats.org/officeDocument/2006/relationships/hyperlink" Id="rId94" Target="https://doi.org/10.2196/41833" TargetMode="External" /><Relationship Type="http://schemas.openxmlformats.org/officeDocument/2006/relationships/hyperlink" Id="rId96"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7" Target="https://jjcurtin.github.io/study_lag/notebooks\mak_figs-preview.html#cell-fig-fairness" TargetMode="External" /><Relationship Type="http://schemas.openxmlformats.org/officeDocument/2006/relationships/hyperlink" Id="rId42" Target="https://jjcurtin.github.io/study_lag/notebooks\mak_tables-preview.html#cell-demopdf" TargetMode="External" /><Relationship Type="http://schemas.openxmlformats.org/officeDocument/2006/relationships/hyperlink" Id="rId40" Target="https://jjcurtin.github.io/study_lag/notebooks\mak_tables-preview.html#cell-tbl-demopdf" TargetMode="External" /><Relationship Type="http://schemas.openxmlformats.org/officeDocument/2006/relationships/hyperlink" Id="rId48" Target="https://jjcurtin.github.io/study_lag/notebooks\model_evaluation-preview.html#cell-fig-auroc"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1/jamanetworkopen.2020.5852" TargetMode="External" /><Relationship Type="http://schemas.openxmlformats.org/officeDocument/2006/relationships/hyperlink" Id="rId75" Target="https://doi.org/10.1007/978-1-4614-6849-3" TargetMode="External" /><Relationship Type="http://schemas.openxmlformats.org/officeDocument/2006/relationships/hyperlink" Id="rId62" Target="https://doi.org/10.1016/j.addbeh.2017.11.039" TargetMode="External" /><Relationship Type="http://schemas.openxmlformats.org/officeDocument/2006/relationships/hyperlink" Id="rId68" Target="https://doi.org/10.1016/j.brat.2019.103506" TargetMode="External" /><Relationship Type="http://schemas.openxmlformats.org/officeDocument/2006/relationships/hyperlink" Id="rId92" Target="https://doi.org/10.1016/j.cpr.2007.01.002" TargetMode="External" /><Relationship Type="http://schemas.openxmlformats.org/officeDocument/2006/relationships/hyperlink" Id="rId70" Target="https://doi.org/10.1016/j.drugalcdep.2006.05.012" TargetMode="External" /><Relationship Type="http://schemas.openxmlformats.org/officeDocument/2006/relationships/hyperlink" Id="rId84" Target="https://doi.org/10.1016/j.drugalcdep.2019.05.017" TargetMode="External" /><Relationship Type="http://schemas.openxmlformats.org/officeDocument/2006/relationships/hyperlink" Id="rId66" Target="https://doi.org/10.1016/j.jsat.2013.08.004" TargetMode="External" /><Relationship Type="http://schemas.openxmlformats.org/officeDocument/2006/relationships/hyperlink" Id="rId88" Target="https://doi.org/10.1016/j.jsat.2021.108417" TargetMode="External" /><Relationship Type="http://schemas.openxmlformats.org/officeDocument/2006/relationships/hyperlink" Id="rId82" Target="https://doi.org/10.1016/j.jsat.2021.108710" TargetMode="External" /><Relationship Type="http://schemas.openxmlformats.org/officeDocument/2006/relationships/hyperlink" Id="rId90" Target="https://doi.org/10.1037/0003-066X.59.4.224" TargetMode="External" /><Relationship Type="http://schemas.openxmlformats.org/officeDocument/2006/relationships/hyperlink" Id="rId86" Target="https://doi.org/10.1037/adb0000666" TargetMode="External" /><Relationship Type="http://schemas.openxmlformats.org/officeDocument/2006/relationships/hyperlink" Id="rId78" Target="https://doi.org/10.1214/17-EJS1338SI" TargetMode="External" /><Relationship Type="http://schemas.openxmlformats.org/officeDocument/2006/relationships/hyperlink" Id="rId64" Target="https://doi.org/10.21231/GNT1-HW21" TargetMode="External" /><Relationship Type="http://schemas.openxmlformats.org/officeDocument/2006/relationships/hyperlink" Id="rId94" Target="https://doi.org/10.2196/41833" TargetMode="External" /><Relationship Type="http://schemas.openxmlformats.org/officeDocument/2006/relationships/hyperlink" Id="rId96"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7" Target="https://jjcurtin.github.io/study_lag/notebooks\mak_figs-preview.html#cell-fig-fairness" TargetMode="External" /><Relationship Type="http://schemas.openxmlformats.org/officeDocument/2006/relationships/hyperlink" Id="rId42" Target="https://jjcurtin.github.io/study_lag/notebooks\mak_tables-preview.html#cell-demopdf" TargetMode="External" /><Relationship Type="http://schemas.openxmlformats.org/officeDocument/2006/relationships/hyperlink" Id="rId40" Target="https://jjcurtin.github.io/study_lag/notebooks\mak_tables-preview.html#cell-tbl-demopdf" TargetMode="External" /><Relationship Type="http://schemas.openxmlformats.org/officeDocument/2006/relationships/hyperlink" Id="rId48" Target="https://jjcurtin.github.io/study_lag/notebooks\model_evaluation-preview.html#cell-fig-auroc"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Jiachen (Coco) Yu; Gaylen E. Fronk; John J. Curtin</dc:creator>
  <cp:keywords>Substance use disorders, Precision mental health</cp:keywords>
  <dcterms:created xsi:type="dcterms:W3CDTF">2024-06-20T17:29:15Z</dcterms:created>
  <dcterms:modified xsi:type="dcterms:W3CDTF">2024-06-20T17:29:15Z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2024-06-20</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