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52.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Jiachen</w:t>
      </w:r>
      <w:r>
        <w:t xml:space="preserve"> </w:t>
      </w:r>
      <w:r>
        <w:t xml:space="preserve">(Coco)</w:t>
      </w:r>
      <w:r>
        <w:t xml:space="preserve"> </w:t>
      </w:r>
      <w:r>
        <w:t xml:space="preserve">Yu</w:t>
      </w:r>
    </w:p>
    <w:p>
      <w:pPr>
        <w:pStyle w:val="Author"/>
      </w:pPr>
      <w:r>
        <w:t xml:space="preserve">Gaylen</w:t>
      </w:r>
      <w:r>
        <w:t xml:space="preserve"> </w:t>
      </w:r>
      <w:r>
        <w:t xml:space="preserve">E.</w:t>
      </w:r>
      <w:r>
        <w:t xml:space="preserve"> </w:t>
      </w:r>
      <w:r>
        <w:t xml:space="preserve">Fronk</w:t>
      </w:r>
    </w:p>
    <w:p>
      <w:pPr>
        <w:pStyle w:val="Author"/>
      </w:pPr>
      <w:r>
        <w:t xml:space="preserve">John</w:t>
      </w:r>
      <w:r>
        <w:t xml:space="preserve"> </w:t>
      </w:r>
      <w:r>
        <w:t xml:space="preserve">J.</w:t>
      </w:r>
      <w:r>
        <w:t xml:space="preserve"> </w:t>
      </w:r>
      <w:r>
        <w:t xml:space="preserve">Curtin</w:t>
      </w:r>
    </w:p>
    <w:p>
      <w:pPr>
        <w:pStyle w:val="Date"/>
      </w:pPr>
      <w:r>
        <w:t xml:space="preserve">2024-07-02</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However, mental health conditions are complex, fluctuating processes. Unlike medical conditions that have clear biological precursors, mental health conditions are products of numerous psychosocial factors. These factors differ between individuals and can change within an individual over time. Additionally, there is a wide array of psychosocial supports available for clinicians to choose from.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low-dimensional analyses that failed to capture the complex and heterogeneous nature of substance use disorders and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Take the example of lapses, discrete instances of goal inconsistent substance use. Lapses are a clinically important target for substance use treatment. They are often an early warning sign of relapse, maladaptive responses to lapses can undermine recovery, and for some substances a single lapse can result in an overdose and/or death. It would be unreasonable to expect that we could predict a lapse with any temporal precision using only features that become more distal as time progresses. On the contrary,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lapse) with high temporal precision. Machine learning allows for high dimensional inputs. Moreover, tools from machine learning can be applied to models to understand which factors are specific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For example, recommending a coping with craving activity when someone has increased craving or recommending a guided relaxation video when someone is reporting recent stressful events. Importantly these supports can be available 24/7 (e.g., in a digital therapeutic) for an individual.</w:t>
      </w:r>
    </w:p>
    <w:p>
      <w:pPr>
        <w:pStyle w:val="BodyText"/>
      </w:pPr>
      <w:r>
        <w:t xml:space="preserve">However, many interventions cannot be self-contained in a digital therapeutic and they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 the performance of one of our models from a previous study with models using increased lag time between predictions and outcomes. Specifically, we use the same EMA features as our immediate model and train new models to predict the probability of a lapse beginning one day (24 hours), three days (72 hours), one week (168 hours), or two weeks (336 hours) into the future. Our primary objective is to assess how well models perform with increasing lag time.</w:t>
      </w:r>
    </w:p>
    <w:bookmarkEnd w:id="21"/>
    <w:bookmarkStart w:id="10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r>
        <w:t xml:space="preserve"> </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8"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6"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5"/>
      </w:r>
    </w:p>
    <w:bookmarkEnd w:id="36"/>
    <w:bookmarkStart w:id="37"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w:t>
      </w:r>
    </w:p>
    <w:bookmarkEnd w:id="37"/>
    <w:bookmarkEnd w:id="38"/>
    <w:bookmarkEnd w:id="39"/>
    <w:bookmarkStart w:id="64" w:name="results"/>
    <w:p>
      <w:pPr>
        <w:pStyle w:val="Heading2"/>
      </w:pPr>
      <w:r>
        <w:t xml:space="preserve">Results</w:t>
      </w:r>
    </w:p>
    <w:bookmarkStart w:id="42" w:name="demographic-and-lapse-characteristics"/>
    <w:p>
      <w:pPr>
        <w:pStyle w:val="Heading3"/>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0"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0"/>
          <w:p/>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Tables for Main Manuscript</w:t>
        </w:r>
      </w:hyperlink>
    </w:p>
    <w:bookmarkEnd w:id="42"/>
    <w:bookmarkStart w:id="48" w:name="model-evaluation-1"/>
    <w:p>
      <w:pPr>
        <w:pStyle w:val="Heading3"/>
      </w:pPr>
      <w:r>
        <w:t xml:space="preserve">Model Evaluation</w:t>
      </w:r>
    </w:p>
    <w:p>
      <w:pPr>
        <w:pStyle w:val="FirstParagraph"/>
      </w:pPr>
      <w:r>
        <w:t xml:space="preserve">The median auROC across the 30 test sets for our baseline model was high (median=0.892, IQR=0.046), consistent with our previous study. Performance across our lagged models was also high for the 24 hour lag (median=0.882, IQR=0.042), 72 hour lag (median=0.873, IQR=0.057), 168 hour lag (median=0.857, IQR=0.061), and 336 hour lag (median=0.857, IQR=0.064).</w:t>
      </w:r>
    </w:p>
    <w:p>
      <w:pPr>
        <w:pStyle w:val="BodyText"/>
      </w:pPr>
      <w:r>
        <w:t xml:space="preserve">Histograms of the full posterior probability distributions for auROC for each model are available in the supplement. The median auROCs from these posterior distributions were 0.894 (baseline), 0.887 (24 hour lag), 0.875 (72 hour lag), 0.872 (168 hour lag), and 0.850 (336 hour lag). These values represent our best estimates for the magnitude of the auROC parameter for each model. The 95% Bayesian CI for the auROCs for these models were relatively narrow and did not contain 0.5: baseline[0.877-0.908], 24 hour lag[0.869-0.902], 72 hour lag[0.856-0.892], 168 hour lag[0.852-0.888], 336 hour lag[0.828-0.870].</w:t>
      </w:r>
      <w:r>
        <w:t xml:space="preserve"> </w:t>
      </w:r>
      <w:hyperlink w:anchor="fig-auroc">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6" w:name="fig-auroc"/>
          <w:p>
            <w:pPr>
              <w:pStyle w:val="Compact"/>
              <w:jc w:val="center"/>
            </w:pPr>
            <w:r>
              <w:drawing>
                <wp:inline>
                  <wp:extent cx="5334000" cy="3810000"/>
                  <wp:effectExtent b="0" l="0" r="0" t="0"/>
                  <wp:docPr descr="" title="" id="44" name="Picture"/>
                  <a:graphic>
                    <a:graphicData uri="http://schemas.openxmlformats.org/drawingml/2006/picture">
                      <pic:pic>
                        <pic:nvPicPr>
                          <pic:cNvPr descr="index_files/figure-docx/notebooks-mak_figures-fig-auroc-output-1.png" id="45" name="Picture"/>
                          <pic:cNvPicPr>
                            <a:picLocks noChangeArrowheads="1" noChangeAspect="1"/>
                          </pic:cNvPicPr>
                        </pic:nvPicPr>
                        <pic:blipFill>
                          <a:blip r:embed="rId4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probability for auROC and Bayesian credible intervals by model. Dashed line indicates a model performing at chance.</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Figures for Main Manuscript</w:t>
        </w:r>
      </w:hyperlink>
    </w:p>
    <w:bookmarkEnd w:id="48"/>
    <w:bookmarkStart w:id="51" w:name="model-comparisons-1"/>
    <w:p>
      <w:pPr>
        <w:pStyle w:val="Heading3"/>
      </w:pPr>
      <w:r>
        <w:t xml:space="preserve">Model Comparisons</w:t>
      </w:r>
    </w:p>
    <w:bookmarkStart w:id="49" w:name="baseline-contrasts"/>
    <w:p>
      <w:pPr>
        <w:pStyle w:val="Heading4"/>
      </w:pPr>
      <w:r>
        <w:t xml:space="preserve">Baseline Contrasts</w:t>
      </w:r>
    </w:p>
    <w:p>
      <w:pPr>
        <w:pStyle w:val="FirstParagraph"/>
      </w:pPr>
      <w:r>
        <w:t xml:space="preserve">The median decrease in auROC for the baseline vs. 24 hour lag model was 0.007 (95% CI=[0.001-0.012]), yielding a significant probability of 0.977 that the lagged model had worse performance. The median decrease in auROC for the baseline vs. 72 hour model was 0.018 (95% CI=[0.012-0.024]), yielding a significant probability of 1.000 that the lagged model had worse performance. The median increase in auROC for the baseline vs. 168 hour lag model was 0.022 (95% CI=[0.016-0.028]), yielding a significant probability of 1.000 that the lagged model had worse performance. The median increase in auROC for the baseline vs. 336 hour lag model was 0.043 (95% CI=[0.036-0.051]), yielding a significant probability of 1.000 that the lagged model had worse performance.</w:t>
      </w:r>
    </w:p>
    <w:bookmarkEnd w:id="49"/>
    <w:bookmarkStart w:id="50" w:name="adjacent-contrasts"/>
    <w:p>
      <w:pPr>
        <w:pStyle w:val="Heading4"/>
      </w:pPr>
      <w:r>
        <w:t xml:space="preserve">Adjacent Contrasts</w:t>
      </w:r>
    </w:p>
    <w:p>
      <w:pPr>
        <w:pStyle w:val="FirstParagraph"/>
      </w:pPr>
      <w:r>
        <w:t xml:space="preserve">The median decrease in auROC for the 24 hour vs. 72 hour lag model was 0.012 (95% CI=[0.006-0.018]), yielding a significant probability of 1.000 that the 72 hour lag model had worse performance than the 24 hour lag model. The median decrease in auROC for the 72 hour vs. 168 hour lag model was 0.004 (95% CI=[-0.002-0.010]), yielding a non-significant probability of 0.840 that the 168 hour lag model had worse performance than the 72 hour lag model. The median decrease in auROC for the 168 hour vs. 336 hour lag model was 0.021 (95% CI=[0.014-0.028]), yielding a significant probability of 1.000 that the 336 hour lag model had worse performance than the 168 hour lag model.</w:t>
      </w:r>
    </w:p>
    <w:bookmarkEnd w:id="50"/>
    <w:bookmarkEnd w:id="51"/>
    <w:bookmarkStart w:id="57" w:name="fairness-benchmarks-1"/>
    <w:p>
      <w:pPr>
        <w:pStyle w:val="Heading3"/>
      </w:pPr>
      <w:r>
        <w:t xml:space="preserve">Fairness Benchmarks</w:t>
      </w:r>
    </w:p>
    <w:p>
      <w:pPr>
        <w:pStyle w:val="FirstParagraph"/>
      </w:pPr>
      <w:hyperlink w:anchor="fig-fairness">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for white participants compared to participants who were not white of 0.159 (range 0.107-0.179). On average there was a median increase in auROC for male participants compared to female participants of 0.080 (range 0.059-0.116). On average there was a median increase in auROC for participants above the federal poverty line compared to participants below the federal poverty line of 0.092 (range 0.086-0.133). A table of model performance for each demographic group separately by model can be found in the supplement.</w:t>
      </w:r>
    </w:p>
    <w:tbl>
      <w:tblPr>
        <w:tblStyle w:val="Table"/>
        <w:tblW w:type="pct" w:w="5000"/>
        <w:tblLayout w:type="fixed"/>
        <w:tblLook w:firstRow="0" w:lastRow="0" w:firstColumn="0" w:lastColumn="0" w:noHBand="0" w:noVBand="0" w:val="0000"/>
      </w:tblPr>
      <w:tblGrid>
        <w:gridCol w:w="7920"/>
      </w:tblGrid>
      <w:tr>
        <w:tc>
          <w:tcPr/>
          <w:bookmarkStart w:id="55" w:name="fig-fairness"/>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fairness-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3" w:name="feature-importance-1"/>
    <w:p>
      <w:pPr>
        <w:pStyle w:val="Heading3"/>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window widths.</w:t>
      </w:r>
    </w:p>
    <w:p>
      <w:pPr>
        <w:pStyle w:val="BodyText"/>
      </w:pPr>
      <w:r>
        <w:t xml:space="preserve">Sina plots of local Shapley values show the influence of feature categories on individual observations by model (</w:t>
      </w:r>
      <w:hyperlink w:anchor="fig-shap">
        <w:r>
          <w:rPr>
            <w:rStyle w:val="Hyperlink"/>
          </w:rPr>
          <w:t xml:space="preserve">Figure 3</w:t>
        </w:r>
      </w:hyperlink>
      <w:r>
        <w:t xml:space="preserve">, Panels B-D). The variance in feature importance for past use is widest in our immediate (no lag) model. Additionally, all EMA item categories appear to impact lapse probability for specific individuals at specific times even if they are not globally important across all observations.</w:t>
      </w:r>
    </w:p>
    <w:tbl>
      <w:tblPr>
        <w:tblStyle w:val="Table"/>
        <w:tblW w:type="pct" w:w="5000"/>
        <w:tblLayout w:type="fixed"/>
        <w:tblLook w:firstRow="0" w:lastRow="0" w:firstColumn="0" w:lastColumn="0" w:noHBand="0" w:noVBand="0" w:val="0000"/>
      </w:tblPr>
      <w:tblGrid>
        <w:gridCol w:w="7920"/>
      </w:tblGrid>
      <w:tr>
        <w:tc>
          <w:tcPr/>
          <w:bookmarkStart w:id="61" w:name="fig-shap"/>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mak_figures-fig-shap-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Models by lag time. Panel A displays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Panels B-F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All Figures for Main Manuscript</w:t>
        </w:r>
      </w:hyperlink>
    </w:p>
    <w:bookmarkEnd w:id="63"/>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Jiachen (Coco) Yu; Gaylen E. Fronk; John J. Curtin</dc:creator>
  <cp:keywords>Substance use disorders, Precision mental health</cp:keywords>
  <dcterms:created xsi:type="dcterms:W3CDTF">2024-07-02T14:31:19Z</dcterms:created>
  <dcterms:modified xsi:type="dcterms:W3CDTF">2024-07-02T14:31:19Z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2024-07-02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