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2026-07-14</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 To meet this need, we developed machine learning models to predict future alcohol lapses within 24-hour prediction windows, lagged by 1 day, 3 days, 1 week, and 2 weeks from the prediction timepoint. We engineered features from 4x daily ecological momentary assessments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 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 This exclusion criterion was implemented because the study involved the collection of sensitive data without real-time clinical monitoring or treatment, and individuals experiencing severe psychotic symptoms may require a higher level of clinical support than the study protocol was designed to provide. We did not exclude participants based on the presence of severe symptoms of other mental health disorders because we aimed to recruit a sample representative of the broader clinical population, in which AUD commonly co-occurs with other psychiatric disorders. Excluding participants on the basis of other psychiatric symptoms would have substantially reduced the representativeness of the sample and limited the generalizability of the findings.</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median posterior probability for auROC and 95% Bayesian CI for each model (no lag, 1-day, 3-day, 1-week, and 2-week lag). The median auROCs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p>
      <w:pPr>
        <w:pStyle w:val="BodyText"/>
      </w:pPr>
      <w:r>
        <w:t xml:space="preserve">We also evaluated how well our models predicted first lapses compared to later lapses (Figure A in S1 Appendix). Overall, performance was worse for first lapses than for later lapses, remaining relatively stable across lag times (median auROCs of 0.78–0.79). In contrast, the model performed very well for later lapses (median auROCs of 0.87–0.94). Performance for later lapses also showed a moderate decline as lag time increased, mirroring the pattern observed in overall model performance.</w:t>
      </w:r>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Our target sample size was calculated using traditional power analysis methods for logistic regression</w:t>
      </w:r>
      <w:r>
        <w:t xml:space="preserve"> </w:t>
      </w:r>
      <w:r>
        <w:t xml:space="preserve">[30]</w:t>
      </w:r>
      <w:r>
        <w:t xml:space="preserve"> </w:t>
      </w:r>
      <w:r>
        <w:t xml:space="preserve">because comparable approaches for machine learning models have not yet been validated. As a result, this estimate may not be as precise for our modeling context. Moreover,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Similarly, many individuals in recovery from AUD also use other substances, and some may meet criteria for an additional substance use disorder. At the same time, some individuals may intentionally continue using certain substances in ways that are consistent with their personal recovery goals. Because we did not measure the use of substances other than alcohol on our EMA, we were unable to include these behaviors as predictors of alcohol lapse in our models. Future research should consider how other substance use behaviors (and the extent to which they align with individuals’ recovery goals) impact alcohol lapse risk.</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5" w:name="references"/>
    <w:p>
      <w:pPr>
        <w:pStyle w:val="Heading1"/>
      </w:pPr>
      <w:r>
        <w:t xml:space="preserve">References</w:t>
      </w:r>
    </w:p>
    <w:bookmarkStart w:id="194"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Start w:id="193"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2">
        <w:r>
          <w:rPr>
            <w:rStyle w:val="Hyperlink"/>
          </w:rPr>
          <w:t xml:space="preserve">10.1017/S0033291724000862</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precision medicine, substance use, alcohol use disorder, continuing care, personalized treatment</cp:keywords>
  <dcterms:created xsi:type="dcterms:W3CDTF">2026-07-15T04:45:56Z</dcterms:created>
  <dcterms:modified xsi:type="dcterms:W3CDTF">2026-07-15T04:45:56Z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 To meet this need, we developed machine learning models to predict future alcohol lapses within 24-hour prediction windows, lagged by 1 day, 3 days, 1 week, and 2 weeks from the prediction timepoint. We engineered features from 4x daily ecological momentary assessments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 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2026-07-14</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