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52.png" ContentType="image/png"/>
  <Override PartName="/word/media/rId20.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Alcohol Lapse Risk up to Two Weeks in Advance using Time-lagged Machine Learning Models</w:t>
      </w:r>
    </w:p>
    <w:p>
      <w:pPr>
        <w:pStyle w:val="Author"/>
      </w:pPr>
      <w:r>
        <w:t xml:space="preserve">Kendra Wyant</w:t>
      </w:r>
    </w:p>
    <w:p>
      <w:pPr>
        <w:pStyle w:val="Author"/>
      </w:pPr>
      <w:r>
        <w:t xml:space="preserve">Gaylen E. Fronk</w:t>
      </w:r>
    </w:p>
    <w:p>
      <w:pPr>
        <w:pStyle w:val="Author"/>
      </w:pPr>
      <w:r>
        <w:t xml:space="preserve">Jiachen Yu</w:t>
      </w:r>
    </w:p>
    <w:p>
      <w:pPr>
        <w:pStyle w:val="Author"/>
      </w:pPr>
      <w:r>
        <w:t xml:space="preserve">Claire E. Punturieri</w:t>
      </w:r>
    </w:p>
    <w:p>
      <w:pPr>
        <w:pStyle w:val="Author"/>
      </w:pPr>
      <w:r>
        <w:t xml:space="preserve">John J. Curtin</w:t>
      </w:r>
    </w:p>
    <w:p>
      <w:pPr>
        <w:pStyle w:val="Date"/>
      </w:pPr>
      <w:r>
        <w:t xml:space="preserve">2026-05-20</w:t>
      </w:r>
    </w:p>
    <w:p>
      <w:pPr>
        <w:pStyle w:val="AbstractTitle"/>
      </w:pPr>
      <w:r>
        <w:t xml:space="preserve">Abstract</w:t>
      </w:r>
    </w:p>
    <w:p>
      <w:pPr>
        <w:pStyle w:val="Abstract"/>
      </w:pPr>
      <w:r>
        <w:t xml:space="preserve">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w:t>
      </w:r>
    </w:p>
    <w:p>
      <w:pPr>
        <w:pStyle w:val="Abstract"/>
      </w:pPr>
      <w:r>
        <w:t xml:space="preserve">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w:t>
      </w:r>
    </w:p>
    <w:p>
      <w:pPr>
        <w:pStyle w:val="Abstract"/>
      </w:pPr>
      <w:r>
        <w:t xml:space="preserve">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0" w:name="introduction"/>
    <w:p>
      <w:pPr>
        <w:pStyle w:val="Heading1"/>
      </w:pPr>
      <w:r>
        <w:t xml:space="preserve">Introduction</w:t>
      </w:r>
    </w:p>
    <w:p>
      <w:pPr>
        <w:pStyle w:val="FirstParagraph"/>
      </w:pPr>
      <w:r>
        <w:t xml:space="preserve">Alcohol and other substance use disorders (SUDs) are serious chronic conditions, characterized by high relapse rates</w:t>
      </w:r>
      <w:r>
        <w:t xml:space="preserve"> </w:t>
      </w:r>
      <w:r>
        <w:t xml:space="preserve">[1,2]</w:t>
      </w:r>
      <w:r>
        <w:t xml:space="preserve">, substantial co-morbidity with other physical and mental health problems</w:t>
      </w:r>
      <w:r>
        <w:t xml:space="preserve"> </w:t>
      </w:r>
      <w:r>
        <w:t xml:space="preserve">[2,3]</w:t>
      </w:r>
      <w:r>
        <w:t xml:space="preserve">, and an increased risk of mortality</w:t>
      </w:r>
      <w:r>
        <w:t xml:space="preserve"> </w:t>
      </w:r>
      <w:r>
        <w:t xml:space="preserve">[4,5]</w:t>
      </w:r>
      <w:r>
        <w:t xml:space="preserve">. Too few individuals receive medications or clinician-delivered interventions to help them initially achieve abstinence and/or reduce harms associated with their use</w:t>
      </w:r>
      <w:r>
        <w:t xml:space="preserve"> </w:t>
      </w:r>
      <w:r>
        <w:t xml:space="preserve">[3]</w:t>
      </w:r>
      <w:r>
        <w:t xml:space="preserve">. Moreover, this problem is even worse for subsequent continuing care during SUD recovery. Continuing care, including both risk monitoring and ongoing support, is the gold standard for managing chronic health conditions such as diabetes, asthma, and HIV</w:t>
      </w:r>
      <w:r>
        <w:t xml:space="preserve"> </w:t>
      </w:r>
      <w:r>
        <w:t xml:space="preserve">[6]</w:t>
      </w:r>
      <w:r>
        <w:t xml:space="preserve">. Yet, continuing care for SUDs is largely lacking despite ample evidence that SUDs are chronic, relapsing conditions</w:t>
      </w:r>
      <w:r>
        <w:t xml:space="preserve"> </w:t>
      </w:r>
      <w:r>
        <w:t xml:space="preserve">[3,7,8]</w:t>
      </w:r>
      <w:r>
        <w:t xml:space="preserve">.</w:t>
      </w:r>
    </w:p>
    <w:p>
      <w:pPr>
        <w:pStyle w:val="BodyText"/>
      </w:pPr>
      <w:r>
        <w:t xml:space="preserve">An important focus of continuing care during SUD recovery is to prevent lapses (i.e., single instances of goal-inconsistent substance use) and full relapse back to harmful use</w:t>
      </w:r>
      <w:r>
        <w:t xml:space="preserve"> </w:t>
      </w:r>
      <w:r>
        <w:t xml:space="preserve">[9,10]</w:t>
      </w:r>
      <w:r>
        <w:t xml:space="preserve">. Critically, the risk factors that instigate lapses during recovery are individualized, numerous, dynamic, interactive, and non-linear</w:t>
      </w:r>
      <w:r>
        <w:t xml:space="preserve"> </w:t>
      </w:r>
      <w:r>
        <w:t xml:space="preserve">[11,12]</w:t>
      </w:r>
      <w:r>
        <w:t xml:space="preserve">. The optimal supports to address these risk factors and encourage continued, successful recovery vary both across individuals and within an individual over time. Given this, continuing care could benefit greatly from a precision mental health approach that seeks to provide the right support to the right individual at the right time, every time</w:t>
      </w:r>
      <w:r>
        <w:t xml:space="preserve"> </w:t>
      </w:r>
      <w:r>
        <w:t xml:space="preserve">[13–15]</w:t>
      </w:r>
      <w:r>
        <w:t xml:space="preserve">. However, such monitoring and personalized support must also be highly scalable to address the substantial unmet need for SUD continuing care.</w:t>
      </w:r>
    </w:p>
    <w:p>
      <w:pPr>
        <w:pStyle w:val="BodyText"/>
      </w:pPr>
      <w:r>
        <w:t xml:space="preserve">Recent advances in both smartphone sensing</w:t>
      </w:r>
      <w:r>
        <w:t xml:space="preserve"> </w:t>
      </w:r>
      <w:r>
        <w:t xml:space="preserve">[16]</w:t>
      </w:r>
      <w:r>
        <w:t xml:space="preserve"> </w:t>
      </w:r>
      <w:r>
        <w:t xml:space="preserve">and machine learning</w:t>
      </w:r>
      <w:r>
        <w:t xml:space="preserve"> </w:t>
      </w:r>
      <w:r>
        <w:t xml:space="preserve">[17]</w:t>
      </w:r>
      <w:r>
        <w:t xml:space="preserve"> </w:t>
      </w:r>
      <w:r>
        <w:t xml:space="preserve">hold promise as a scalable foundation for monitoring and personalized support during SUD recovery. Smartphone sensing approaches (e.g., ecological momentary assessment [EMA], geolocation sensing) can provide the frequent, longitudinal measurement of proximal risk factors that is necessary for prediction of future lapses with high temporal precision. EMA may be particularly well-suited for lapse prediction because it can provide privileged access to subjective experiences (e.g., craving, affect, stress, motivation, self-efficacy) that are targets for change in evidence-based approaches for relapse prevention</w:t>
      </w:r>
      <w:r>
        <w:t xml:space="preserve"> </w:t>
      </w:r>
      <w:r>
        <w:t xml:space="preserve">[9,10,18]</w:t>
      </w:r>
      <w:r>
        <w:t xml:space="preserve">. Furthermore, individuals with SUDs have found EMA to be acceptable for sustained measurement for up to a year with relatively high compliance</w:t>
      </w:r>
      <w:r>
        <w:t xml:space="preserve"> </w:t>
      </w:r>
      <w:r>
        <w:t xml:space="preserve">[19,20]</w:t>
      </w:r>
      <w:r>
        <w:t xml:space="preserve">, suggesting that this method is feasible for long-term monitoring throughout SUD recovery.</w:t>
      </w:r>
    </w:p>
    <w:p>
      <w:pPr>
        <w:pStyle w:val="BodyText"/>
      </w:pPr>
      <w:r>
        <w:t xml:space="preserve">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the high dimensional feature sets that may result from feature engineering densely sampled raw EMA over time</w:t>
      </w:r>
      <w:r>
        <w:t xml:space="preserve"> </w:t>
      </w:r>
      <w:r>
        <w:t xml:space="preserve">[21]</w:t>
      </w:r>
      <w:r>
        <w:t xml:space="preserve">. They can also accommodate non-linear and interactive relationships between features and lapse probability that are likely necessary for accurate prediction of lapse probability. Moreover, rapid advances in the tools for interpretable machine learning (e.g., Shapley values</w:t>
      </w:r>
      <w:r>
        <w:t xml:space="preserve"> </w:t>
      </w:r>
      <w:r>
        <w:t xml:space="preserve">[22]</w:t>
      </w:r>
      <w:r>
        <w:t xml:space="preserve">) now allow us to probe these models to understand which risk features contribute most strongly to a lapse prediction for a specific individual at a specific moment in time. Interventions, supports, and/or suggested lifestyle adjustments can then be personalized to address these risks following from our understanding about relapse prevention.</w:t>
      </w:r>
    </w:p>
    <w:p>
      <w:pPr>
        <w:pStyle w:val="BodyText"/>
      </w:pPr>
      <w:r>
        <w:t xml:space="preserve">Preliminary research is now emerging that uses features derived from EMAs in machine learning models to predict the probability of future alcohol use</w:t>
      </w:r>
      <w:r>
        <w:t xml:space="preserve"> </w:t>
      </w:r>
      <w:r>
        <w:t xml:space="preserve">[21,23,24]</w:t>
      </w:r>
      <w:r>
        <w:t xml:space="preserve">.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 Wyant et al.</w:t>
      </w:r>
      <w:r>
        <w:t xml:space="preserve"> </w:t>
      </w:r>
      <w:r>
        <w:t xml:space="preserve">[21]</w:t>
      </w:r>
      <w:r>
        <w:t xml:space="preserve"> </w:t>
      </w:r>
      <w:r>
        <w:t xml:space="preserve">demonstrated that machine learning models using EMA can provide predictions with very high temporal precision at clinically implementable levels of performance. Specifically, we developed models that predict lapses in the immediate future (i.e., the next day and even the next hour) with areas under the receiver operating characteristic curve (auROCs) of 0.91 and 0.93, respectively.</w:t>
      </w:r>
    </w:p>
    <w:p>
      <w:pPr>
        <w:pStyle w:val="BodyText"/>
      </w:pPr>
      <w:r>
        <w:t xml:space="preserve">Wyant et al.’s</w:t>
      </w:r>
      <w:r>
        <w:t xml:space="preserve"> </w:t>
      </w:r>
      <w:r>
        <w:t xml:space="preserve">[21]</w:t>
      </w:r>
      <w:r>
        <w:t xml:space="preserve"> </w:t>
      </w:r>
      <w:r>
        <w:t xml:space="preserve">next day lapse prediction model can provide personalized support recommendations to address immediate risks for possible lapses. Features derived from past EMAs can be updated in the early morning to yield the predicted lapse probability for an individual that day. Personalized supports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evaluating outcomes associated with the use of this</w:t>
      </w:r>
      <w:r>
        <w:t xml:space="preserve"> </w:t>
      </w:r>
      <w:r>
        <w:t xml:space="preserve">“smart”</w:t>
      </w:r>
      <w:r>
        <w:t xml:space="preserve"> </w:t>
      </w:r>
      <w:r>
        <w:t xml:space="preserve">(machine learning guided) recovery monitoring and support system (RMSS) for patients with an alcohol use disorder (AUD)</w:t>
      </w:r>
      <w:r>
        <w:t xml:space="preserve"> </w:t>
      </w:r>
      <w:r>
        <w:t xml:space="preserve">[25]</w:t>
      </w:r>
      <w:r>
        <w:t xml:space="preserve">.</w:t>
      </w:r>
    </w:p>
    <w:p>
      <w:pPr>
        <w:pStyle w:val="BodyText"/>
      </w:pPr>
      <w:r>
        <w:t xml:space="preserve">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supports that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on a given day two weeks from now). However, we do not know if such lagged models could maintain adequate performance for clinical implementation.</w:t>
      </w:r>
    </w:p>
    <w:p>
      <w:pPr>
        <w:pStyle w:val="BodyText"/>
      </w:pPr>
      <w:r>
        <w:t xml:space="preserve">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model performance across important subgroups that have documented disparities in treatment access and/or outcomes. These include comparisons by race/ethnicity</w:t>
      </w:r>
      <w:r>
        <w:t xml:space="preserve"> </w:t>
      </w:r>
      <w:r>
        <w:t xml:space="preserve">[26,27]</w:t>
      </w:r>
      <w:r>
        <w:t xml:space="preserve">, income</w:t>
      </w:r>
      <w:r>
        <w:t xml:space="preserve"> </w:t>
      </w:r>
      <w:r>
        <w:t xml:space="preserve">[28]</w:t>
      </w:r>
      <w:r>
        <w:t xml:space="preserve"> </w:t>
      </w:r>
      <w:r>
        <w:t xml:space="preserve">and sex at birth</w:t>
      </w:r>
      <w:r>
        <w:t xml:space="preserve"> </w:t>
      </w:r>
      <w:r>
        <w:t xml:space="preserve">[27,29]</w:t>
      </w:r>
      <w:r>
        <w:t xml:space="preserve">. Finally, we calculated Shapley values for feature categories defined by EMA items to better understand how these models generate predictions and how these features can be used to tailor personalized supports.</w:t>
      </w:r>
    </w:p>
    <w:bookmarkEnd w:id="10"/>
    <w:bookmarkStart w:id="36" w:name="methods"/>
    <w:p>
      <w:pPr>
        <w:pStyle w:val="Heading1"/>
      </w:pPr>
      <w:r>
        <w:t xml:space="preserve">Methods</w:t>
      </w:r>
    </w:p>
    <w:bookmarkStart w:id="13" w:name="transparency"/>
    <w:p>
      <w:pPr>
        <w:pStyle w:val="Heading2"/>
      </w:pPr>
      <w:r>
        <w:t xml:space="preserve">Transparency</w:t>
      </w:r>
    </w:p>
    <w:p>
      <w:pPr>
        <w:pStyle w:val="FirstParagraph"/>
      </w:pPr>
      <w:r>
        <w:t xml:space="preserve">We adhere to research transparency principles that are crucial for robust and replicable science. We preregistered our data analytic strategy. We reported all data exclusions. Our data, questionnaires, preregistration, and other study materials are publicly available on our OSF page (</w:t>
      </w:r>
      <w:hyperlink r:id="rId11">
        <w:r>
          <w:rPr>
            <w:rStyle w:val="Hyperlink"/>
          </w:rPr>
          <w:t xml:space="preserve">https://osf.io/xta67/</w:t>
        </w:r>
      </w:hyperlink>
      <w:r>
        <w:t xml:space="preserve">). Our annotated analysis scripts and results are publicly available on our study website (</w:t>
      </w:r>
      <w:hyperlink r:id="rId12">
        <w:r>
          <w:rPr>
            <w:rStyle w:val="Hyperlink"/>
          </w:rPr>
          <w:t xml:space="preserve">https://jjcurtin.github.io/study_lag/</w:t>
        </w:r>
      </w:hyperlink>
      <w:r>
        <w:t xml:space="preserve">).</w:t>
      </w:r>
    </w:p>
    <w:bookmarkEnd w:id="13"/>
    <w:bookmarkStart w:id="14" w:name="participants"/>
    <w:p>
      <w:pPr>
        <w:pStyle w:val="Heading2"/>
      </w:pPr>
      <w:r>
        <w:t xml:space="preserve">Participants</w:t>
      </w:r>
    </w:p>
    <w:p>
      <w:pPr>
        <w:pStyle w:val="FirstParagraph"/>
      </w:pPr>
      <w:r>
        <w:t xml:space="preserve">We recruited 192 participants in early recovery (&lt;= 8 weeks of abstinence) from AUD in Madison, Wisconsin, USA for a 3-month longitudinal study from February 15, 2017 through September 19, 2019. This sample size was determined based on traditional power analysis methods for logistic regression</w:t>
      </w:r>
      <w:r>
        <w:t xml:space="preserve"> </w:t>
      </w:r>
      <w:r>
        <w:t xml:space="preserve">[30]</w:t>
      </w:r>
      <w:r>
        <w:t xml:space="preserve"> </w:t>
      </w:r>
      <w:r>
        <w:t xml:space="preserve">because comparable approaches for machine learning models have not yet been validated. Participants were recruited through print and targeted digital advertisements and partnerships with treatment centers. We required that participants:</w:t>
      </w:r>
    </w:p>
    <w:p>
      <w:pPr>
        <w:pStyle w:val="Compact"/>
        <w:numPr>
          <w:ilvl w:val="0"/>
          <w:numId w:val="1001"/>
        </w:numPr>
      </w:pPr>
      <w:r>
        <w:t xml:space="preserve">were age 18 or older,</w:t>
      </w:r>
    </w:p>
    <w:p>
      <w:pPr>
        <w:pStyle w:val="Compact"/>
        <w:numPr>
          <w:ilvl w:val="0"/>
          <w:numId w:val="1001"/>
        </w:numPr>
      </w:pPr>
      <w:r>
        <w:t xml:space="preserve">could write and read in English,</w:t>
      </w:r>
    </w:p>
    <w:p>
      <w:pPr>
        <w:pStyle w:val="Compact"/>
        <w:numPr>
          <w:ilvl w:val="0"/>
          <w:numId w:val="1001"/>
        </w:numPr>
      </w:pPr>
      <w:r>
        <w:t xml:space="preserve">had at least moderate AUD (&gt;= 4 self-reported DSM-5 symptoms),</w:t>
      </w:r>
    </w:p>
    <w:p>
      <w:pPr>
        <w:pStyle w:val="Compact"/>
        <w:numPr>
          <w:ilvl w:val="0"/>
          <w:numId w:val="1001"/>
        </w:numPr>
      </w:pPr>
      <w:r>
        <w:t xml:space="preserve">were abstinent from alcohol for 1-8 weeks, and</w:t>
      </w:r>
    </w:p>
    <w:p>
      <w:pPr>
        <w:pStyle w:val="Compact"/>
        <w:numPr>
          <w:ilvl w:val="0"/>
          <w:numId w:val="1001"/>
        </w:numPr>
      </w:pPr>
      <w:r>
        <w:t xml:space="preserve">were willing to use a single smartphone (personal or study provided) while on study.</w:t>
      </w:r>
    </w:p>
    <w:p>
      <w:pPr>
        <w:pStyle w:val="FirstParagraph"/>
      </w:pPr>
      <w:r>
        <w:t xml:space="preserve">We also excluded participants exhibiting severe symptoms of psychosis or paranoia (Defined as scores &gt;2.2 or 2.8, respectively, on the psychosis or paranoia scales of the Symptom Checklist–90</w:t>
      </w:r>
      <w:r>
        <w:t xml:space="preserve"> </w:t>
      </w:r>
      <w:r>
        <w:t xml:space="preserve">[31]</w:t>
      </w:r>
      <w:r>
        <w:t xml:space="preserve">)</w:t>
      </w:r>
    </w:p>
    <w:p>
      <w:pPr>
        <w:pStyle w:val="BodyText"/>
      </w:pPr>
      <w:r>
        <w:t xml:space="preserve">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bookmarkEnd w:id="14"/>
    <w:bookmarkStart w:id="15" w:name="procedure"/>
    <w:p>
      <w:pPr>
        <w:pStyle w:val="Heading2"/>
      </w:pPr>
      <w:r>
        <w:t xml:space="preserve">Procedure</w:t>
      </w:r>
    </w:p>
    <w:p>
      <w:pPr>
        <w:pStyle w:val="FirstParagraph"/>
      </w:pPr>
      <w:r>
        <w:t xml:space="preserve">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sensing data streams (geolocation, cellular communications, sleep quality, and audio check-ins) were collected as part of the parent grant’s aims (R01 AA024391).</w:t>
      </w:r>
    </w:p>
    <w:p>
      <w:pPr>
        <w:pStyle w:val="BodyText"/>
      </w:pPr>
      <w:r>
        <w:t xml:space="preserve">Participants were compensated $20 per hour for all time spent in the laboratory (i.e., during screening, intake, and follow-up visits). In addition, participants received a $99 bonus upon completing the full 3-month study. They were also provided $66 per month to offset costs associated with their cellular plans. Participants received $25 for each month in which they provided EMA data with less than 10% missingness. Additional compensation was provided for other personal sensing data streams if minimum compliance thresholds were met.</w:t>
      </w:r>
    </w:p>
    <w:bookmarkEnd w:id="15"/>
    <w:bookmarkStart w:id="16" w:name="ethics"/>
    <w:p>
      <w:pPr>
        <w:pStyle w:val="Heading2"/>
      </w:pPr>
      <w:r>
        <w:t xml:space="preserve">Ethics</w:t>
      </w:r>
    </w:p>
    <w:p>
      <w:pPr>
        <w:pStyle w:val="FirstParagraph"/>
      </w:pPr>
      <w:r>
        <w:t xml:space="preserve">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bookmarkEnd w:id="16"/>
    <w:bookmarkStart w:id="19" w:name="measures"/>
    <w:p>
      <w:pPr>
        <w:pStyle w:val="Heading2"/>
      </w:pPr>
      <w:r>
        <w:t xml:space="preserve">Measures</w:t>
      </w:r>
    </w:p>
    <w:bookmarkStart w:id="17" w:name="ecological-momentary-assessments"/>
    <w:p>
      <w:pPr>
        <w:pStyle w:val="Heading3"/>
      </w:pPr>
      <w:r>
        <w:t xml:space="preserve">Ecological Momentary Assessments</w:t>
      </w:r>
    </w:p>
    <w:p>
      <w:pPr>
        <w:pStyle w:val="FirstParagraph"/>
      </w:pPr>
      <w:r>
        <w:t xml:space="preserve">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pPr>
        <w:pStyle w:val="BodyText"/>
      </w:pPr>
      <w:r>
        <w:t xml:space="preserve">On the first item of all EMAs, participants reported the start and dates and times of any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 On the first EMA each day, participants also rated anticipated risky situations, stressful events, and the likelihood that they would drink alcohol in the next week (i.e., abstinence self-efficacy).</w:t>
      </w:r>
    </w:p>
    <w:bookmarkEnd w:id="17"/>
    <w:bookmarkStart w:id="18" w:name="individual-characteristics"/>
    <w:p>
      <w:pPr>
        <w:pStyle w:val="Heading3"/>
      </w:pPr>
      <w:r>
        <w:t xml:space="preserve">Individual Characteristics</w:t>
      </w:r>
    </w:p>
    <w:p>
      <w:pPr>
        <w:pStyle w:val="FirstParagraph"/>
      </w:pPr>
      <w:r>
        <w:t xml:space="preserve">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w:t>
      </w:r>
      <w:r>
        <w:t xml:space="preserve"> </w:t>
      </w:r>
      <w:r>
        <w:t xml:space="preserve">[32]</w:t>
      </w:r>
      <w:r>
        <w:t xml:space="preserve">, and presence of psychological symptoms</w:t>
      </w:r>
      <w:r>
        <w:t xml:space="preserve"> </w:t>
      </w:r>
      <w:r>
        <w:t xml:space="preserve">[31]</w:t>
      </w:r>
      <w:r>
        <w:t xml:space="preserve"> </w:t>
      </w:r>
      <w:r>
        <w:t xml:space="preserve">to characterize our sample. DSM-5 AUD symptom count and presence of psychological symptoms were also used to determine eligibility. Demographics were included as features in our models. A subset of these variables (sex at birth, race, ethnicity, and income) were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11">
        <w:r>
          <w:rPr>
            <w:rStyle w:val="Hyperlink"/>
          </w:rPr>
          <w:t xml:space="preserve">https://osf.io/xta67/</w:t>
        </w:r>
      </w:hyperlink>
      <w:r>
        <w:t xml:space="preserve">).</w:t>
      </w:r>
    </w:p>
    <w:bookmarkEnd w:id="18"/>
    <w:bookmarkEnd w:id="19"/>
    <w:bookmarkStart w:id="35" w:name="data-analytic-strategy"/>
    <w:p>
      <w:pPr>
        <w:pStyle w:val="Heading2"/>
      </w:pPr>
      <w:r>
        <w:t xml:space="preserve">Data Analytic Strategy</w:t>
      </w:r>
    </w:p>
    <w:p>
      <w:pPr>
        <w:pStyle w:val="FirstParagraph"/>
      </w:pPr>
      <w:r>
        <w:t xml:space="preserve">Data preprocessing, modeling, and Bayesian analyses were done in R (version 4.4.2) using the tidymodels ecosystem</w:t>
      </w:r>
      <w:r>
        <w:t xml:space="preserve"> </w:t>
      </w:r>
      <w:r>
        <w:t xml:space="preserve">[33–35]</w:t>
      </w:r>
      <w:r>
        <w:t xml:space="preserve">. Models were trained and evaluated using high-throughput computing resources provided by the University of Wisconsin Center for High Throughput Computing</w:t>
      </w:r>
      <w:r>
        <w:t xml:space="preserve"> </w:t>
      </w:r>
      <w:r>
        <w:t xml:space="preserve">[36]</w:t>
      </w:r>
      <w:r>
        <w:t xml:space="preserve">.</w:t>
      </w:r>
    </w:p>
    <w:bookmarkStart w:id="25" w:name="predictions"/>
    <w:p>
      <w:pPr>
        <w:pStyle w:val="Heading3"/>
      </w:pPr>
      <w:r>
        <w:t xml:space="preserve">Predictions</w:t>
      </w:r>
    </w:p>
    <w:p>
      <w:pPr>
        <w:pStyle w:val="FirstParagraph"/>
      </w:pPr>
      <w:r>
        <w:t xml:space="preserve">A</w:t>
      </w:r>
      <w:r>
        <w:t xml:space="preserve"> </w:t>
      </w:r>
      <w:r>
        <w:rPr>
          <w:i/>
          <w:iCs/>
        </w:rPr>
        <w:t xml:space="preserve">prediction timepoint</w:t>
      </w:r>
      <w:r>
        <w:t xml:space="preserve"> </w:t>
      </w:r>
      <w:r>
        <w:t xml:space="preserve">(</w:t>
      </w:r>
      <w:hyperlink w:anchor="fig-method">
        <w:r>
          <w:rPr>
            <w:rStyle w:val="Hyperlink"/>
          </w:rPr>
          <w:t xml:space="preserve">Figure 1</w:t>
        </w:r>
      </w:hyperlink>
      <w:r>
        <w:t xml:space="preserve">, Panel A) is the hour at which our model calculates a predicted probability of a lapse within a future 24-hour prediction window for any specific individual. We calculated features from all available EMAs up until, but not including, the prediction timepoint. The first prediction timepoint for each participant was 24 hours from midnight on their study start date. This ensured at least 24 hours of past EMAs were available. Subsequent prediction timepoints for each participant repeatedly rolled forward hour-by-hour until the end of their study participation.</w:t>
      </w:r>
    </w:p>
    <w:p>
      <w:pPr>
        <w:pStyle w:val="BodyText"/>
      </w:pPr>
      <w:r>
        <w:t xml:space="preserve">The</w:t>
      </w:r>
      <w:r>
        <w:t xml:space="preserve"> </w:t>
      </w:r>
      <w:r>
        <w:rPr>
          <w:i/>
          <w:iCs/>
        </w:rPr>
        <w:t xml:space="preserve">prediction window</w:t>
      </w:r>
      <w:r>
        <w:t xml:space="preserve"> </w:t>
      </w:r>
      <w:r>
        <w:t xml:space="preserve">(</w:t>
      </w:r>
      <w:hyperlink w:anchor="fig-method">
        <w:r>
          <w:rPr>
            <w:rStyle w:val="Hyperlink"/>
          </w:rPr>
          <w:t xml:space="preserve">Figure 1</w:t>
        </w:r>
      </w:hyperlink>
      <w:r>
        <w:t xml:space="preserve">, Panel B) spans a period of time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w:t>
      </w:r>
      <w:r>
        <w:t xml:space="preserve"> </w:t>
      </w:r>
      <w:r>
        <w:rPr>
          <w:i/>
          <w:iCs/>
        </w:rPr>
        <w:t xml:space="preserve">lag times</w:t>
      </w:r>
      <w:r>
        <w:t xml:space="preserve"> </w:t>
      </w:r>
      <w:r>
        <w:t xml:space="preserve">between the prediction timepoint and start of the associated prediction window. A prediction window either started immediately after the prediction time point (no lag) or was lagged by 1 day, 3 days, 1 week, or 2 weeks.</w:t>
      </w:r>
    </w:p>
    <w:p>
      <w:pPr>
        <w:pStyle w:val="BodyText"/>
      </w:pPr>
      <w:r>
        <w:t xml:space="preserve">Given this structure, our models provided hour-by-hour predicted probabilities of an alcohol lapse in a future 24-hour period (i.e., prediction window). Depending on the model, that prediction window might start immediately after the prediction timepoint (no lag) or it might be lagged to start 1 day, 3 days, 1 week, or 2 weeks after the prediction timepoint. For example, at midnight on the 30th day of participation, features would be calculated from the past 30 days of EMAs. Separate models would predict the probability of lapse for 24-hour prediction windows that start at midnight that day or start 1 day, 3 days, 1 week or 2 weeks after midnight on day 30.</w:t>
      </w:r>
    </w:p>
    <w:tbl>
      <w:tblPr>
        <w:tblStyle w:val="Table"/>
        <w:tblW w:type="pct" w:w="5000"/>
        <w:tblLayout w:type="fixed"/>
        <w:tblLook w:firstRow="0" w:lastRow="0" w:firstColumn="0" w:lastColumn="0" w:noHBand="0" w:noVBand="0" w:val="0000"/>
      </w:tblPr>
      <w:tblGrid>
        <w:gridCol w:w="7920"/>
      </w:tblGrid>
      <w:tr>
        <w:tc>
          <w:tcPr/>
          <w:bookmarkStart w:id="23" w:name="fig-method"/>
          <w:p>
            <w:pPr>
              <w:pStyle w:val="Compact"/>
              <w:jc w:val="center"/>
            </w:pPr>
            <w:r>
              <w:drawing>
                <wp:inline>
                  <wp:extent cx="5334000" cy="4386911"/>
                  <wp:effectExtent b="0" l="0" r="0" t="0"/>
                  <wp:docPr descr="" title="" id="21" name="Picture"/>
                  <a:graphic>
                    <a:graphicData uri="http://schemas.openxmlformats.org/drawingml/2006/picture">
                      <pic:pic>
                        <pic:nvPicPr>
                          <pic:cNvPr descr="index_files/figure-docx/notebooks-mak_figures-fig-method-output-1.png" id="22" name="Picture"/>
                          <pic:cNvPicPr>
                            <a:picLocks noChangeArrowheads="1" noChangeAspect="1"/>
                          </pic:cNvPicPr>
                        </pic:nvPicPr>
                        <pic:blipFill>
                          <a:blip r:embed="rId20"/>
                          <a:stretch>
                            <a:fillRect/>
                          </a:stretch>
                        </pic:blipFill>
                        <pic:spPr bwMode="auto">
                          <a:xfrm>
                            <a:off x="0" y="0"/>
                            <a:ext cx="5334000" cy="43869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Panel A shows the prediction timepoints at which our model calculated a predicted probability of a lapse. All available data up until, but not including, the prediction timepoint was used to generate these predictions. Features were created for varying feature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bookmarkEnd w:id="23"/>
        </w:tc>
      </w:tr>
    </w:tbl>
    <w:p>
      <w:pPr>
        <w:pStyle w:val="BodyText"/>
      </w:pPr>
      <w:r>
        <w:rPr>
          <w:vertAlign w:val="subscript"/>
        </w:rPr>
        <w:t xml:space="preserve">Source:</w:t>
      </w:r>
      <w:r>
        <w:rPr>
          <w:vertAlign w:val="subscript"/>
        </w:rPr>
        <w:t xml:space="preserve"> </w:t>
      </w:r>
      <w:hyperlink r:id="rId24">
        <w:r>
          <w:rPr>
            <w:rStyle w:val="Hyperlink"/>
            <w:vertAlign w:val="subscript"/>
          </w:rPr>
          <w:t xml:space="preserve">Make All Figures for Main Manuscript</w:t>
        </w:r>
      </w:hyperlink>
    </w:p>
    <w:bookmarkEnd w:id="25"/>
    <w:bookmarkStart w:id="26" w:name="labels"/>
    <w:p>
      <w:pPr>
        <w:pStyle w:val="Heading3"/>
      </w:pPr>
      <w:r>
        <w:t xml:space="preserve">Labels</w:t>
      </w:r>
    </w:p>
    <w:p>
      <w:pPr>
        <w:pStyle w:val="FirstParagraph"/>
      </w:pPr>
      <w:r>
        <w:t xml:space="preserve">The start and end dates and times of past drinking episodes were reported on the first EMA item. A prediction window was labeled</w:t>
      </w:r>
      <w:r>
        <w:t xml:space="preserve"> </w:t>
      </w:r>
      <w:r>
        <w:rPr>
          <w:i/>
          <w:iCs/>
        </w:rPr>
        <w:t xml:space="preserve">lapse</w:t>
      </w:r>
      <w:r>
        <w:t xml:space="preserve"> </w:t>
      </w:r>
      <w:r>
        <w:t xml:space="preserve">if the start date/hour of any drinking episode fell within that window. A window was labeled</w:t>
      </w:r>
      <w:r>
        <w:t xml:space="preserve"> </w:t>
      </w:r>
      <w:r>
        <w:rPr>
          <w:i/>
          <w:iCs/>
        </w:rPr>
        <w:t xml:space="preserve">no lapse</w:t>
      </w:r>
      <w:r>
        <w:t xml:space="preserve"> </w:t>
      </w:r>
      <w:r>
        <w:t xml:space="preserve">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lapse, and the outcome was highly unbalanced, it was not problematic to exclude some no lapse events to further increase confidence in those labels.</w:t>
      </w:r>
    </w:p>
    <w:p>
      <w:pPr>
        <w:pStyle w:val="BodyText"/>
      </w:pPr>
      <w:r>
        <w:t xml:space="preserve">This method produced totals of: 274,179 labels for the baseline (no lag) model (7.7% lapse); 270,911 labels for the 1-day lagged model (7.7% lapse); 264,362 labels for the 3-day lagged model (7.6% lapse); 251,458 labels for the 1-week lagged model (7.6% lapse); and 228,420 labels for the 2-week lagged model (7.6% lapse).</w:t>
      </w:r>
    </w:p>
    <w:bookmarkEnd w:id="26"/>
    <w:bookmarkStart w:id="27" w:name="feature-engineering"/>
    <w:p>
      <w:pPr>
        <w:pStyle w:val="Heading3"/>
      </w:pPr>
      <w:r>
        <w:t xml:space="preserve">Feature Engineering</w:t>
      </w:r>
    </w:p>
    <w:p>
      <w:pPr>
        <w:pStyle w:val="FirstParagraph"/>
      </w:pPr>
      <w:r>
        <w:t xml:space="preserve">Features were calculated using only data collected prior to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pPr>
        <w:pStyle w:val="BodyText"/>
      </w:pPr>
      <w:r>
        <w:t xml:space="preserve">A total of 285 features were derived from three data sources:</w:t>
      </w:r>
    </w:p>
    <w:p>
      <w:pPr>
        <w:numPr>
          <w:ilvl w:val="0"/>
          <w:numId w:val="1002"/>
        </w:numPr>
      </w:pPr>
      <w:r>
        <w:rPr>
          <w:i/>
          <w:iCs/>
        </w:rPr>
        <w:t xml:space="preserve">Prediction window</w:t>
      </w:r>
      <w:r>
        <w:t xml:space="preserve">: We dummy-coded features for day of the week at the start of the prediction window.</w:t>
      </w:r>
    </w:p>
    <w:p>
      <w:pPr>
        <w:numPr>
          <w:ilvl w:val="0"/>
          <w:numId w:val="1002"/>
        </w:numPr>
      </w:pPr>
      <w:r>
        <w:rPr>
          <w:i/>
          <w:iCs/>
        </w:rPr>
        <w:t xml:space="preserve">Demographics</w:t>
      </w:r>
      <w:r>
        <w:t xml:space="preserve">: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pPr>
        <w:numPr>
          <w:ilvl w:val="0"/>
          <w:numId w:val="1002"/>
        </w:numPr>
      </w:pPr>
      <w:r>
        <w:rPr>
          <w:i/>
          <w:iCs/>
        </w:rPr>
        <w:t xml:space="preserve">Previous EMA responses</w:t>
      </w:r>
      <w:r>
        <w:t xml:space="preserve">: We calculated raw and difference features in varying feature scoring epochs (i.e., 12, 24, 48, 72, and 168 hours) before the prediction timepoint for all EMA items, except the alcohol use question. Raw features included min, max, median, and most recent scores for each EMA item across all EMAs in each epoch for a given participant. We calculated difference features by subtracting the participant’s mean value (using all available data prior to the prediction window) from the associated raw feature value to capture participant-level changes from baseline.</w:t>
      </w:r>
    </w:p>
    <w:p>
      <w:pPr>
        <w:numPr>
          <w:ilvl w:val="0"/>
          <w:numId w:val="1000"/>
        </w:numPr>
      </w:pPr>
      <w:r>
        <w:t xml:space="preserve">We calculated raw and difference rate features for past use from reported lapses on the EMA. Raw past use features were generated by dividing the total number of previously reported lapses within a feature scoring epoch by the duration of that epoch. For difference past use rate features, we subtracted the baseline past use rate for that participant (i.e., total number of lapses while on study divided by total hours on study before the prediction window) from their associated raw past use rate. We also calculated raw and difference rate features for completed EMAs (i.e., number of full EMA surveys that were completed in a feature scoring epoch divided by the duration of that epoch).</w:t>
      </w:r>
    </w:p>
    <w:p>
      <w:pPr>
        <w:pStyle w:val="FirstParagraph"/>
      </w:pPr>
      <w:r>
        <w:t xml:space="preserve">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pPr>
        <w:pStyle w:val="BodyText"/>
      </w:pPr>
      <w:r>
        <w:t xml:space="preserve">Other generic feature engineering steps included removing zero and near-zero variance features as determined from held-in data. A sample feature engineering script (i.e., tidymodels recipe) containing all feature engineering steps is available on our OSF study page.</w:t>
      </w:r>
    </w:p>
    <w:bookmarkEnd w:id="27"/>
    <w:bookmarkStart w:id="28" w:name="model-configurations"/>
    <w:p>
      <w:pPr>
        <w:pStyle w:val="Heading3"/>
      </w:pPr>
      <w:r>
        <w:t xml:space="preserve">Model Configurations</w:t>
      </w:r>
    </w:p>
    <w:p>
      <w:pPr>
        <w:pStyle w:val="FirstParagraph"/>
      </w:pPr>
      <w:r>
        <w:t xml:space="preserve">We trained and evaluated five separate classification models: one baseline (no lag) model and one model for 1-day, 3-day, 1-week, and 2-week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w:t>
      </w:r>
      <w:r>
        <w:t xml:space="preserve"> </w:t>
      </w:r>
      <w:r>
        <w:t xml:space="preserve">[37]</w:t>
      </w:r>
      <w:r>
        <w:t xml:space="preserve">.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bookmarkEnd w:id="28"/>
    <w:bookmarkStart w:id="30" w:name="cross-validation"/>
    <w:p>
      <w:pPr>
        <w:pStyle w:val="Heading3"/>
      </w:pPr>
      <w:r>
        <w:t xml:space="preserve">Cross-validation</w:t>
      </w:r>
    </w:p>
    <w:p>
      <w:pPr>
        <w:pStyle w:val="FirstParagraph"/>
      </w:pPr>
      <w:r>
        <w:t xml:space="preserve">We used nested cross-validation for model training, selection, and evaluation. Nested cross-validation involves using two nested cross-validation loops to produce unbiased estimates of how well a model performs on new data from new individuals. The inner loop holds out data from model training for model selection (i.e.,</w:t>
      </w:r>
      <w:r>
        <w:t xml:space="preserve"> </w:t>
      </w:r>
      <w:r>
        <w:rPr>
          <w:i/>
          <w:iCs/>
        </w:rPr>
        <w:t xml:space="preserve">validation</w:t>
      </w:r>
      <w:r>
        <w:t xml:space="preserve"> </w:t>
      </w:r>
      <w:r>
        <w:t xml:space="preserve">sets) and the outer loop holds out new data not previously seen by the respective inner loops (for training or validation) for model evaluation (i.e.,</w:t>
      </w:r>
      <w:r>
        <w:t xml:space="preserve"> </w:t>
      </w:r>
      <w:r>
        <w:rPr>
          <w:i/>
          <w:iCs/>
        </w:rPr>
        <w:t xml:space="preserve">test</w:t>
      </w:r>
      <w:r>
        <w:t xml:space="preserve"> </w:t>
      </w:r>
      <w:r>
        <w:t xml:space="preserve">sets).</w:t>
      </w:r>
    </w:p>
    <w:p>
      <w:pPr>
        <w:pStyle w:val="BodyText"/>
      </w:pPr>
      <w:r>
        <w:t xml:space="preserve">We used 2 repeats of 5-fold cross-validation for the inner loops and 6 repeats of 5-fold cross-validation for the outer loop. Folds were stratified so that all folds contained comparable proportions of individuals who lapsed frequently (i.e., 10+ times) and participants were grouped so that all of their data were always in the held-in or held-out fold (validation/test) for a split, but never in both.</w:t>
      </w:r>
    </w:p>
    <w:p>
      <w:pPr>
        <w:pStyle w:val="BodyText"/>
      </w:pPr>
      <w:r>
        <w:t xml:space="preserve">Our performance metric was area under the receiver operating characteristic curve (auROC). auROC indexes the probability that the model will predict a higher score for a randomly selected positive case (lapse) relative to a randomly selected negative case (no lapse). The best model configurations were selected using median auROC across the 10 validation sets. Final performance of those best model configurations were evaluated using median auROC across the 30 test sets.</w:t>
      </w:r>
      <w:r>
        <w:rPr>
          <w:rStyle w:val="FootnoteReference"/>
        </w:rPr>
        <w:footnoteReference w:id="29"/>
      </w:r>
    </w:p>
    <w:bookmarkEnd w:id="30"/>
    <w:bookmarkStart w:id="31" w:name="bayesian-model"/>
    <w:p>
      <w:pPr>
        <w:pStyle w:val="Heading3"/>
      </w:pPr>
      <w:r>
        <w:t xml:space="preserve">Bayesian Model</w:t>
      </w:r>
    </w:p>
    <w:p>
      <w:pPr>
        <w:pStyle w:val="FirstParagraph"/>
      </w:pPr>
      <w:r>
        <w:t xml:space="preserve">We used a Bayesian hierarchical generalized linear model to estimate the posterior probability distributions and 95% Bayesian credible intervals (CIs) from the 30 held-out test sets for our five best models. Following recommendations from the rstanarm team and others</w:t>
      </w:r>
      <w:r>
        <w:t xml:space="preserve"> </w:t>
      </w:r>
      <w:r>
        <w:t xml:space="preserve">[38,39]</w:t>
      </w:r>
      <w:r>
        <w:t xml:space="preserve">, we used the rstanarm default autoscaled, weakly informative, data-dependent priors that take into account the order of magnitude of the variables to provide some regularization to stabilize computation and avoid over-fitting. Priors were set as follows: Residual SD ~ exponential(2.6); intercept (centered predictors) ~ normal(2, 0.98); fixed effects ~ normal(0, 2.43); covariance ~ decov(1, 1, 1, 1). We set two random intercepts to account for our resampling method: one for the repeat, and another for the 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auROCs were transformed using the logit function and regressed as a function of model contrast.</w:t>
      </w:r>
    </w:p>
    <w:p>
      <w:pPr>
        <w:pStyle w:val="BodyText"/>
      </w:pPr>
      <w:r>
        <w:t xml:space="preserve">From the Bayesian model we obtained the posterior distribution (transformed back from logit) and Bayesian CIs for auROCs for all five models. To evaluate our models’ overall performance, we report the median posterior probability for auROC and Bayesian CIs. This represents our best estimate for the magnitude of the auROC parameter for each model. If the CIs do not contain .5 (chance performance), this provides strong evidence (&gt; .95 probability) that our model is capturing signal in the data.</w:t>
      </w:r>
    </w:p>
    <w:p>
      <w:pPr>
        <w:pStyle w:val="BodyText"/>
      </w:pPr>
      <w:r>
        <w:t xml:space="preserve">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w:t>
      </w:r>
    </w:p>
    <w:bookmarkEnd w:id="31"/>
    <w:bookmarkStart w:id="32" w:name="fairness-analyses"/>
    <w:p>
      <w:pPr>
        <w:pStyle w:val="Heading3"/>
      </w:pPr>
      <w:r>
        <w:t xml:space="preserve">Fairness Analyses</w:t>
      </w:r>
    </w:p>
    <w:p>
      <w:pPr>
        <w:pStyle w:val="FirstParagraph"/>
      </w:pPr>
      <w:r>
        <w:t xml:space="preserve">Using the same 30 held-out test sets, we calculated the median posterior probability and 95% Bayesian CI for auROC for each model separately by race/ethnicity (non-White and/or Hispanic vs. non-Hispanic White), income (below poverty line vs. above poverty line, and sex at birth (female 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auROC across models. Individual Bayesian fairness contrasts for all five models are available in the supplement.</w:t>
      </w:r>
    </w:p>
    <w:bookmarkEnd w:id="32"/>
    <w:bookmarkStart w:id="33" w:name="model-calibration"/>
    <w:p>
      <w:pPr>
        <w:pStyle w:val="Heading3"/>
      </w:pPr>
      <w:r>
        <w:t xml:space="preserve">Model Calibration</w:t>
      </w:r>
    </w:p>
    <w:p>
      <w:pPr>
        <w:pStyle w:val="FirstParagraph"/>
      </w:pPr>
      <w:r>
        <w:t xml:space="preserve">To further characterize and understand our models, we used our inner resampling procedure (2 repeats of 5-fold cross validation grouped on participant) on the full data set to select a single best model configuration for each classification model (no lag, 1-day, 3-day, 1-week, and 2-week lag). The final configuration selected for each model represents the most reliable and robust configuration for deployment.</w:t>
      </w:r>
    </w:p>
    <w:p>
      <w:pPr>
        <w:pStyle w:val="BodyText"/>
      </w:pPr>
      <w:r>
        <w:t xml:space="preserve">The best model configuration for each classification model was fit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w:t>
      </w:r>
      <w:r>
        <w:t xml:space="preserve"> </w:t>
      </w:r>
      <w:r>
        <w:t xml:space="preserve">[40]</w:t>
      </w:r>
      <w:r>
        <w:t xml:space="preserve">. We calculated Brier scores to assess the accuracy of our raw and calibrated probabilities for the no lag and 2-week lagged models. Brier scores range from 0 (perfect accuracy) to 1 (perfect inaccuracy). A table of Brier scores for all five models is available in the supplement. We provide calibration plots for the no lag and 2-week lagged models (calibration plots for all five models are available in the supplement).</w:t>
      </w:r>
    </w:p>
    <w:bookmarkEnd w:id="33"/>
    <w:bookmarkStart w:id="34" w:name="global-feature-importance"/>
    <w:p>
      <w:pPr>
        <w:pStyle w:val="Heading3"/>
      </w:pPr>
      <w:r>
        <w:t xml:space="preserve">Global Feature Importance</w:t>
      </w:r>
    </w:p>
    <w:p>
      <w:pPr>
        <w:pStyle w:val="FirstParagraph"/>
      </w:pPr>
      <w:r>
        <w:t xml:space="preserve">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w:t>
      </w:r>
      <w:r>
        <w:t xml:space="preserve"> </w:t>
      </w:r>
      <w:r>
        <w:t xml:space="preserve">“local importance”</w:t>
      </w:r>
      <w:r>
        <w:t xml:space="preserve"> </w:t>
      </w:r>
      <w:r>
        <w:t xml:space="preserve">of that feature</w:t>
      </w:r>
      <w:r>
        <w:t xml:space="preserve"> </w:t>
      </w:r>
      <w:r>
        <w:t xml:space="preserve">[22]</w:t>
      </w:r>
      <w:r>
        <w:t xml:space="preserve">. More precisely, the magnitude of the raw Shapley value for any feature indicates how much the feature score for that observation adjusted the prediction (in log-odds units) for that observation relative to the mean prediction across all observations. Positive Shapley values indicate that the feature score increased the prediction for that observation and negative values indicate that the feature score decreased the prediction.</w:t>
      </w:r>
    </w:p>
    <w:p>
      <w:pPr>
        <w:pStyle w:val="BodyText"/>
      </w:pPr>
      <w:r>
        <w:t xml:space="preserve">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pPr>
        <w:pStyle w:val="BodyText"/>
      </w:pPr>
      <w:r>
        <w:t xml:space="preserve">We summarized feature importance in two ways. First, we used a traditional approach in which we calculated the global importance of each feature category (mean absolute Shapley value). Global feature importance describes how important a feature is, on average, across all observations from all participants. A large mean absolute Shapley value indicates that a feature category makes substantial contributions to predictions across the dataset. Second, we characterized local feature importance by calculating the proportion of observations in which each feature category had the highest Shapley value. This approach summarizes how frequently a feature category is the most influential contributor to individual predictions. We provided a descriptive plot of the relative ranking of feature categories by their global and local feature importance for the no lag and 2-week lagged models.</w:t>
      </w:r>
    </w:p>
    <w:bookmarkEnd w:id="34"/>
    <w:bookmarkEnd w:id="35"/>
    <w:bookmarkEnd w:id="36"/>
    <w:bookmarkStart w:id="64" w:name="results"/>
    <w:p>
      <w:pPr>
        <w:pStyle w:val="Heading1"/>
      </w:pPr>
      <w:r>
        <w:t xml:space="preserve">Results</w:t>
      </w:r>
    </w:p>
    <w:bookmarkStart w:id="39" w:name="demographic-and-lapse-characteristics"/>
    <w:p>
      <w:pPr>
        <w:pStyle w:val="Heading2"/>
      </w:pPr>
      <w:r>
        <w:t xml:space="preserve">Demographic and Lapse Characteristics</w:t>
      </w:r>
    </w:p>
    <w:p>
      <w:pPr>
        <w:pStyle w:val="FirstParagraph"/>
      </w:pPr>
      <w:hyperlink w:anchor="tbl-demohtml">
        <w:r>
          <w:rPr>
            <w:rStyle w:val="Hyperlink"/>
          </w:rPr>
          <w:t xml:space="preserve">Table 1</w:t>
        </w:r>
      </w:hyperlink>
      <w:r>
        <w:t xml:space="preserve"> </w:t>
      </w:r>
      <w:r>
        <w:t xml:space="preserve">provides a detailed breakdown of the demographic and clinical characteristics of our sample (N = 151).</w:t>
      </w:r>
    </w:p>
    <w:tbl>
      <w:tblPr>
        <w:tblStyle w:val="Table"/>
        <w:tblW w:type="pct" w:w="5000"/>
        <w:tblLayout w:type="fixed"/>
        <w:tblLook w:firstRow="0" w:lastRow="0" w:firstColumn="0" w:lastColumn="0" w:noHBand="0" w:noVBand="0" w:val="0000"/>
      </w:tblPr>
      <w:tblGrid>
        <w:gridCol w:w="7920"/>
      </w:tblGrid>
      <w:tr>
        <w:tc>
          <w:tcPr/>
          <w:bookmarkStart w:id="37" w:name="tbl-demohtml"/>
          <w:p>
            <w:pPr>
              <w:jc w:val="center"/>
            </w:pPr>
            <w:pPr>
              <w:jc w:val="left"/>
              <w:spacing w:before="200"/>
              <w:pStyle w:val="ImageCaption"/>
            </w:pPr>
            <w:r>
              <w:t xml:space="preserve">Table 1: Demographic and Clinical Characteristics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jc w:val="center"/>
                  </w:pPr>
                  <w:r>
                    <w:t xml:space="preserve">N</w:t>
                  </w:r>
                </w:p>
              </w:tc>
              <w:tc>
                <w:tcPr/>
                <w:p>
                  <w:pPr>
                    <w:pStyle w:val="Compact"/>
                    <w:jc w:val="right"/>
                    <w:jc w:val="center"/>
                  </w:pPr>
                  <w:r>
                    <w:t xml:space="preserve">%</w:t>
                  </w:r>
                </w:p>
              </w:tc>
              <w:tc>
                <w:tcPr/>
                <w:p>
                  <w:pPr>
                    <w:pStyle w:val="Compact"/>
                    <w:jc w:val="left"/>
                    <w:jc w:val="center"/>
                  </w:pPr>
                  <w:r>
                    <w:t xml:space="preserve">M</w:t>
                  </w:r>
                </w:p>
              </w:tc>
              <w:tc>
                <w:tcPr/>
                <w:p>
                  <w:pPr>
                    <w:pStyle w:val="Compact"/>
                    <w:jc w:val="left"/>
                    <w:jc w:val="center"/>
                  </w:pPr>
                  <w:r>
                    <w:t xml:space="preserve">SD</w:t>
                  </w:r>
                </w:p>
              </w:tc>
              <w:tc>
                <w:tcPr/>
                <w:p>
                  <w:pPr>
                    <w:pStyle w:val="Compact"/>
                    <w:jc w:val="left"/>
                    <w:jc w:val="center"/>
                  </w:pPr>
                  <w:r>
                    <w:t xml:space="preserve">Range</w:t>
                  </w:r>
                </w:p>
              </w:tc>
            </w:tr>
            <w:tr>
              <w:tc>
                <w:tcPr/>
                <w:p>
                  <w:pPr>
                    <w:pStyle w:val="Compact"/>
                    <w:jc w:val="left"/>
                    <w:jc w:val="center"/>
                  </w:pPr>
                  <w:r>
                    <w:t xml:space="preserve">Age</w:t>
                  </w:r>
                </w:p>
              </w:tc>
              <w:tc>
                <w:tcPr/>
                <w:p>
                  <w:pPr>
                    <w:pStyle w:val="Compact"/>
                  </w:pPr>
                </w:p>
              </w:tc>
              <w:tc>
                <w:tcPr/>
                <w:p>
                  <w:pPr>
                    <w:pStyle w:val="Compact"/>
                  </w:pPr>
                </w:p>
              </w:tc>
              <w:tc>
                <w:tcPr/>
                <w:p>
                  <w:pPr>
                    <w:pStyle w:val="Compact"/>
                    <w:jc w:val="left"/>
                    <w:jc w:val="center"/>
                  </w:pPr>
                  <w:r>
                    <w:t xml:space="preserve">41</w:t>
                  </w:r>
                </w:p>
              </w:tc>
              <w:tc>
                <w:tcPr/>
                <w:p>
                  <w:pPr>
                    <w:pStyle w:val="Compact"/>
                    <w:jc w:val="left"/>
                    <w:jc w:val="center"/>
                  </w:pPr>
                  <w:r>
                    <w:t xml:space="preserve">11.9</w:t>
                  </w:r>
                </w:p>
              </w:tc>
              <w:tc>
                <w:tcPr/>
                <w:p>
                  <w:pPr>
                    <w:pStyle w:val="Compact"/>
                    <w:jc w:val="left"/>
                    <w:jc w:val="center"/>
                  </w:pPr>
                  <w:r>
                    <w:t xml:space="preserve">21-72</w:t>
                  </w:r>
                </w:p>
              </w:tc>
            </w:tr>
            <w:tr>
              <w:tc>
                <w:tcPr/>
                <w:p>
                  <w:pPr>
                    <w:pStyle w:val="Compact"/>
                    <w:jc w:val="left"/>
                    <w:jc w:val="center"/>
                  </w:pPr>
                  <w:r>
                    <w:t xml:space="preserve">Sex at Birth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Female</w:t>
                  </w:r>
                </w:p>
              </w:tc>
              <w:tc>
                <w:tcPr/>
                <w:p>
                  <w:pPr>
                    <w:pStyle w:val="Compact"/>
                    <w:jc w:val="right"/>
                    <w:jc w:val="center"/>
                  </w:pPr>
                  <w:r>
                    <w:t xml:space="preserve">74</w:t>
                  </w:r>
                </w:p>
              </w:tc>
              <w:tc>
                <w:tcPr/>
                <w:p>
                  <w:pPr>
                    <w:pStyle w:val="Compact"/>
                    <w:jc w:val="right"/>
                    <w:jc w:val="center"/>
                  </w:pPr>
                  <w:r>
                    <w:t xml:space="preserve">49.0</w:t>
                  </w:r>
                </w:p>
              </w:tc>
              <w:tc>
                <w:tcPr/>
                <w:p>
                  <w:pPr>
                    <w:pStyle w:val="Compact"/>
                  </w:pPr>
                </w:p>
              </w:tc>
              <w:tc>
                <w:tcPr/>
                <w:p>
                  <w:pPr>
                    <w:pStyle w:val="Compact"/>
                  </w:pPr>
                </w:p>
              </w:tc>
              <w:tc>
                <w:tcPr/>
                <w:p>
                  <w:pPr>
                    <w:pStyle w:val="Compact"/>
                  </w:pPr>
                </w:p>
              </w:tc>
            </w:tr>
            <w:tr>
              <w:tc>
                <w:tcPr/>
                <w:p>
                  <w:pPr>
                    <w:pStyle w:val="Compact"/>
                    <w:jc w:val="left"/>
                    <w:jc w:val="center"/>
                  </w:pPr>
                  <w:r>
                    <w:t xml:space="preserve">Male</w:t>
                  </w:r>
                </w:p>
              </w:tc>
              <w:tc>
                <w:tcPr/>
                <w:p>
                  <w:pPr>
                    <w:pStyle w:val="Compact"/>
                    <w:jc w:val="right"/>
                    <w:jc w:val="center"/>
                  </w:pPr>
                  <w:r>
                    <w:t xml:space="preserve">77</w:t>
                  </w:r>
                </w:p>
              </w:tc>
              <w:tc>
                <w:tcPr/>
                <w:p>
                  <w:pPr>
                    <w:pStyle w:val="Compact"/>
                    <w:jc w:val="right"/>
                    <w:jc w:val="center"/>
                  </w:pPr>
                  <w:r>
                    <w:t xml:space="preserve">51.0</w:t>
                  </w:r>
                </w:p>
              </w:tc>
              <w:tc>
                <w:tcPr/>
                <w:p>
                  <w:pPr>
                    <w:pStyle w:val="Compact"/>
                  </w:pPr>
                </w:p>
              </w:tc>
              <w:tc>
                <w:tcPr/>
                <w:p>
                  <w:pPr>
                    <w:pStyle w:val="Compact"/>
                  </w:pPr>
                </w:p>
              </w:tc>
              <w:tc>
                <w:tcPr/>
                <w:p>
                  <w:pPr>
                    <w:pStyle w:val="Compact"/>
                  </w:pPr>
                </w:p>
              </w:tc>
            </w:tr>
            <w:tr>
              <w:tc>
                <w:tcPr/>
                <w:p>
                  <w:pPr>
                    <w:pStyle w:val="Compact"/>
                    <w:jc w:val="left"/>
                    <w:jc w:val="center"/>
                  </w:pPr>
                  <w:r>
                    <w:t xml:space="preserve">Race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American Indian/Alaska Native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Asian</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Black/African American</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131</w:t>
                  </w:r>
                </w:p>
              </w:tc>
              <w:tc>
                <w:tcPr/>
                <w:p>
                  <w:pPr>
                    <w:pStyle w:val="Compact"/>
                    <w:jc w:val="right"/>
                    <w:jc w:val="center"/>
                  </w:pPr>
                  <w:r>
                    <w:t xml:space="preserve">86.8</w:t>
                  </w:r>
                </w:p>
              </w:tc>
              <w:tc>
                <w:tcPr/>
                <w:p>
                  <w:pPr>
                    <w:pStyle w:val="Compact"/>
                  </w:pPr>
                </w:p>
              </w:tc>
              <w:tc>
                <w:tcPr/>
                <w:p>
                  <w:pPr>
                    <w:pStyle w:val="Compact"/>
                  </w:pPr>
                </w:p>
              </w:tc>
              <w:tc>
                <w:tcPr/>
                <w:p>
                  <w:pPr>
                    <w:pStyle w:val="Compact"/>
                  </w:pPr>
                </w:p>
              </w:tc>
            </w:tr>
            <w:tr>
              <w:tc>
                <w:tcPr/>
                <w:p>
                  <w:pPr>
                    <w:pStyle w:val="Compact"/>
                    <w:jc w:val="left"/>
                    <w:jc w:val="center"/>
                  </w:pPr>
                  <w:r>
                    <w:t xml:space="preserve">Other/Multiracial</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Hispanic, Latino, or Spanish origin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Yes</w:t>
                  </w:r>
                </w:p>
              </w:tc>
              <w:tc>
                <w:tcPr/>
                <w:p>
                  <w:pPr>
                    <w:pStyle w:val="Compact"/>
                    <w:jc w:val="right"/>
                    <w:jc w:val="center"/>
                  </w:pPr>
                  <w:r>
                    <w:t xml:space="preserve">4</w:t>
                  </w:r>
                </w:p>
              </w:tc>
              <w:tc>
                <w:tcPr/>
                <w:p>
                  <w:pPr>
                    <w:pStyle w:val="Compact"/>
                    <w:jc w:val="right"/>
                    <w:jc w:val="center"/>
                  </w:pPr>
                  <w:r>
                    <w:t xml:space="preserve">2.6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147</w:t>
                  </w:r>
                </w:p>
              </w:tc>
              <w:tc>
                <w:tcPr/>
                <w:p>
                  <w:pPr>
                    <w:pStyle w:val="Compact"/>
                    <w:jc w:val="right"/>
                    <w:jc w:val="center"/>
                  </w:pPr>
                  <w:r>
                    <w:t xml:space="preserve">97.4</w:t>
                  </w:r>
                </w:p>
              </w:tc>
              <w:tc>
                <w:tcPr/>
                <w:p>
                  <w:pPr>
                    <w:pStyle w:val="Compact"/>
                  </w:pPr>
                </w:p>
              </w:tc>
              <w:tc>
                <w:tcPr/>
                <w:p>
                  <w:pPr>
                    <w:pStyle w:val="Compact"/>
                  </w:pPr>
                </w:p>
              </w:tc>
              <w:tc>
                <w:tcPr/>
                <w:p>
                  <w:pPr>
                    <w:pStyle w:val="Compact"/>
                  </w:pPr>
                </w:p>
              </w:tc>
            </w:tr>
            <w:tr>
              <w:tc>
                <w:tcPr/>
                <w:p>
                  <w:pPr>
                    <w:pStyle w:val="Compact"/>
                    <w:jc w:val="left"/>
                    <w:jc w:val="center"/>
                  </w:pPr>
                  <w: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Less than high school or GED degree</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High school or GED</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Some college</w:t>
                  </w:r>
                </w:p>
              </w:tc>
              <w:tc>
                <w:tcPr/>
                <w:p>
                  <w:pPr>
                    <w:pStyle w:val="Compact"/>
                    <w:jc w:val="right"/>
                    <w:jc w:val="center"/>
                  </w:pPr>
                  <w:r>
                    <w:t xml:space="preserve">41</w:t>
                  </w:r>
                </w:p>
              </w:tc>
              <w:tc>
                <w:tcPr/>
                <w:p>
                  <w:pPr>
                    <w:pStyle w:val="Compact"/>
                    <w:jc w:val="right"/>
                    <w:jc w:val="center"/>
                  </w:pPr>
                  <w:r>
                    <w:t xml:space="preserve">27.2</w:t>
                  </w:r>
                </w:p>
              </w:tc>
              <w:tc>
                <w:tcPr/>
                <w:p>
                  <w:pPr>
                    <w:pStyle w:val="Compact"/>
                  </w:pPr>
                </w:p>
              </w:tc>
              <w:tc>
                <w:tcPr/>
                <w:p>
                  <w:pPr>
                    <w:pStyle w:val="Compact"/>
                  </w:pPr>
                </w:p>
              </w:tc>
              <w:tc>
                <w:tcPr/>
                <w:p>
                  <w:pPr>
                    <w:pStyle w:val="Compact"/>
                  </w:pPr>
                </w:p>
              </w:tc>
            </w:tr>
            <w:tr>
              <w:tc>
                <w:tcPr/>
                <w:p>
                  <w:pPr>
                    <w:pStyle w:val="Compact"/>
                    <w:jc w:val="left"/>
                    <w:jc w:val="center"/>
                  </w:pPr>
                  <w:r>
                    <w:t xml:space="preserve">2-Year degree</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College degree</w:t>
                  </w:r>
                </w:p>
              </w:tc>
              <w:tc>
                <w:tcPr/>
                <w:p>
                  <w:pPr>
                    <w:pStyle w:val="Compact"/>
                    <w:jc w:val="right"/>
                    <w:jc w:val="center"/>
                  </w:pPr>
                  <w:r>
                    <w:t xml:space="preserve">58</w:t>
                  </w:r>
                </w:p>
              </w:tc>
              <w:tc>
                <w:tcPr/>
                <w:p>
                  <w:pPr>
                    <w:pStyle w:val="Compact"/>
                    <w:jc w:val="right"/>
                    <w:jc w:val="center"/>
                  </w:pPr>
                  <w:r>
                    <w:t xml:space="preserve">38.4</w:t>
                  </w:r>
                </w:p>
              </w:tc>
              <w:tc>
                <w:tcPr/>
                <w:p>
                  <w:pPr>
                    <w:pStyle w:val="Compact"/>
                  </w:pPr>
                </w:p>
              </w:tc>
              <w:tc>
                <w:tcPr/>
                <w:p>
                  <w:pPr>
                    <w:pStyle w:val="Compact"/>
                  </w:pPr>
                </w:p>
              </w:tc>
              <w:tc>
                <w:tcPr/>
                <w:p>
                  <w:pPr>
                    <w:pStyle w:val="Compact"/>
                  </w:pPr>
                </w:p>
              </w:tc>
            </w:tr>
            <w:tr>
              <w:tc>
                <w:tcPr/>
                <w:p>
                  <w:pPr>
                    <w:pStyle w:val="Compact"/>
                    <w:jc w:val="left"/>
                    <w:jc w:val="center"/>
                  </w:pPr>
                  <w:r>
                    <w:t xml:space="preserve">Advanced degree</w:t>
                  </w:r>
                </w:p>
              </w:tc>
              <w:tc>
                <w:tcPr/>
                <w:p>
                  <w:pPr>
                    <w:pStyle w:val="Compact"/>
                    <w:jc w:val="right"/>
                    <w:jc w:val="center"/>
                  </w:pPr>
                  <w:r>
                    <w:t xml:space="preserve">23</w:t>
                  </w:r>
                </w:p>
              </w:tc>
              <w:tc>
                <w:tcPr/>
                <w:p>
                  <w:pPr>
                    <w:pStyle w:val="Compact"/>
                    <w:jc w:val="right"/>
                    <w:jc w:val="center"/>
                  </w:pPr>
                  <w:r>
                    <w:t xml:space="preserve">15.2</w:t>
                  </w:r>
                </w:p>
              </w:tc>
              <w:tc>
                <w:tcPr/>
                <w:p>
                  <w:pPr>
                    <w:pStyle w:val="Compact"/>
                  </w:pPr>
                </w:p>
              </w:tc>
              <w:tc>
                <w:tcPr/>
                <w:p>
                  <w:pPr>
                    <w:pStyle w:val="Compact"/>
                  </w:pPr>
                </w:p>
              </w:tc>
              <w:tc>
                <w:tcPr/>
                <w:p>
                  <w:pPr>
                    <w:pStyle w:val="Compact"/>
                  </w:pPr>
                </w:p>
              </w:tc>
            </w:tr>
            <w:tr>
              <w:tc>
                <w:tcPr/>
                <w:p>
                  <w:pPr>
                    <w:pStyle w:val="Compact"/>
                    <w:jc w:val="left"/>
                    <w:jc w:val="center"/>
                  </w:pPr>
                  <w:r>
                    <w:t xml:space="preserve">Employment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Employed full-time</w:t>
                  </w:r>
                </w:p>
              </w:tc>
              <w:tc>
                <w:tcPr/>
                <w:p>
                  <w:pPr>
                    <w:pStyle w:val="Compact"/>
                    <w:jc w:val="right"/>
                    <w:jc w:val="center"/>
                  </w:pPr>
                  <w:r>
                    <w:t xml:space="preserve">72</w:t>
                  </w:r>
                </w:p>
              </w:tc>
              <w:tc>
                <w:tcPr/>
                <w:p>
                  <w:pPr>
                    <w:pStyle w:val="Compact"/>
                    <w:jc w:val="right"/>
                    <w:jc w:val="center"/>
                  </w:pPr>
                  <w:r>
                    <w:t xml:space="preserve">47.7</w:t>
                  </w:r>
                </w:p>
              </w:tc>
              <w:tc>
                <w:tcPr/>
                <w:p>
                  <w:pPr>
                    <w:pStyle w:val="Compact"/>
                  </w:pPr>
                </w:p>
              </w:tc>
              <w:tc>
                <w:tcPr/>
                <w:p>
                  <w:pPr>
                    <w:pStyle w:val="Compact"/>
                  </w:pPr>
                </w:p>
              </w:tc>
              <w:tc>
                <w:tcPr/>
                <w:p>
                  <w:pPr>
                    <w:pStyle w:val="Compact"/>
                  </w:pPr>
                </w:p>
              </w:tc>
            </w:tr>
            <w:tr>
              <w:tc>
                <w:tcPr/>
                <w:p>
                  <w:pPr>
                    <w:pStyle w:val="Compact"/>
                    <w:jc w:val="left"/>
                    <w:jc w:val="center"/>
                  </w:pPr>
                  <w:r>
                    <w:t xml:space="preserve">Employed part-time</w:t>
                  </w:r>
                </w:p>
              </w:tc>
              <w:tc>
                <w:tcPr/>
                <w:p>
                  <w:pPr>
                    <w:pStyle w:val="Compact"/>
                    <w:jc w:val="right"/>
                    <w:jc w:val="center"/>
                  </w:pPr>
                  <w:r>
                    <w:t xml:space="preserve">26</w:t>
                  </w:r>
                </w:p>
              </w:tc>
              <w:tc>
                <w:tcPr/>
                <w:p>
                  <w:pPr>
                    <w:pStyle w:val="Compact"/>
                    <w:jc w:val="right"/>
                    <w:jc w:val="center"/>
                  </w:pPr>
                  <w:r>
                    <w:t xml:space="preserve">17.2</w:t>
                  </w:r>
                </w:p>
              </w:tc>
              <w:tc>
                <w:tcPr/>
                <w:p>
                  <w:pPr>
                    <w:pStyle w:val="Compact"/>
                  </w:pPr>
                </w:p>
              </w:tc>
              <w:tc>
                <w:tcPr/>
                <w:p>
                  <w:pPr>
                    <w:pStyle w:val="Compact"/>
                  </w:pPr>
                </w:p>
              </w:tc>
              <w:tc>
                <w:tcPr/>
                <w:p>
                  <w:pPr>
                    <w:pStyle w:val="Compact"/>
                  </w:pPr>
                </w:p>
              </w:tc>
            </w:tr>
            <w:tr>
              <w:tc>
                <w:tcPr/>
                <w:p>
                  <w:pPr>
                    <w:pStyle w:val="Compact"/>
                    <w:jc w:val="left"/>
                    <w:jc w:val="center"/>
                  </w:pPr>
                  <w:r>
                    <w:t xml:space="preserve">Full-time student</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Homemaker</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Disabled</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Retired</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Unemployed</w:t>
                  </w:r>
                </w:p>
              </w:tc>
              <w:tc>
                <w:tcPr/>
                <w:p>
                  <w:pPr>
                    <w:pStyle w:val="Compact"/>
                    <w:jc w:val="right"/>
                    <w:jc w:val="center"/>
                  </w:pPr>
                  <w:r>
                    <w:t xml:space="preserve">18</w:t>
                  </w:r>
                </w:p>
              </w:tc>
              <w:tc>
                <w:tcPr/>
                <w:p>
                  <w:pPr>
                    <w:pStyle w:val="Compact"/>
                    <w:jc w:val="right"/>
                    <w:jc w:val="center"/>
                  </w:pPr>
                  <w:r>
                    <w:t xml:space="preserve">11.9</w:t>
                  </w:r>
                </w:p>
              </w:tc>
              <w:tc>
                <w:tcPr/>
                <w:p>
                  <w:pPr>
                    <w:pStyle w:val="Compact"/>
                  </w:pPr>
                </w:p>
              </w:tc>
              <w:tc>
                <w:tcPr/>
                <w:p>
                  <w:pPr>
                    <w:pStyle w:val="Compact"/>
                  </w:pPr>
                </w:p>
              </w:tc>
              <w:tc>
                <w:tcPr/>
                <w:p>
                  <w:pPr>
                    <w:pStyle w:val="Compact"/>
                  </w:pPr>
                </w:p>
              </w:tc>
            </w:tr>
            <w:tr>
              <w:tc>
                <w:tcPr/>
                <w:p>
                  <w:pPr>
                    <w:pStyle w:val="Compact"/>
                    <w:jc w:val="left"/>
                    <w:jc w:val="center"/>
                  </w:pPr>
                  <w:r>
                    <w:t xml:space="preserve">Temporarily laid off, sick leave, or maternity leave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Other, not otherwise specified</w:t>
                  </w:r>
                </w:p>
              </w:tc>
              <w:tc>
                <w:tcPr/>
                <w:p>
                  <w:pPr>
                    <w:pStyle w:val="Compact"/>
                    <w:jc w:val="right"/>
                    <w:jc w:val="center"/>
                  </w:pPr>
                  <w:r>
                    <w:t xml:space="preserve">9</w:t>
                  </w:r>
                </w:p>
              </w:tc>
              <w:tc>
                <w:tcPr/>
                <w:p>
                  <w:pPr>
                    <w:pStyle w:val="Compact"/>
                    <w:jc w:val="right"/>
                    <w:jc w:val="center"/>
                  </w:pPr>
                  <w:r>
                    <w:t xml:space="preserve">6.0</w:t>
                  </w:r>
                </w:p>
              </w:tc>
              <w:tc>
                <w:tcPr/>
                <w:p>
                  <w:pPr>
                    <w:pStyle w:val="Compact"/>
                  </w:pPr>
                </w:p>
              </w:tc>
              <w:tc>
                <w:tcPr/>
                <w:p>
                  <w:pPr>
                    <w:pStyle w:val="Compact"/>
                  </w:pPr>
                </w:p>
              </w:tc>
              <w:tc>
                <w:tcPr/>
                <w:p>
                  <w:pPr>
                    <w:pStyle w:val="Compact"/>
                  </w:pPr>
                </w:p>
              </w:tc>
            </w:tr>
            <w:tr>
              <w:tc>
                <w:tcPr/>
                <w:p>
                  <w:pPr>
                    <w:pStyle w:val="Compact"/>
                    <w:jc w:val="left"/>
                    <w:jc w:val="center"/>
                  </w:pPr>
                  <w:r>
                    <w:t xml:space="preserve">Personal Income</w:t>
                  </w:r>
                </w:p>
              </w:tc>
              <w:tc>
                <w:tcPr/>
                <w:p>
                  <w:pPr>
                    <w:pStyle w:val="Compact"/>
                  </w:pPr>
                </w:p>
              </w:tc>
              <w:tc>
                <w:tcPr/>
                <w:p>
                  <w:pPr>
                    <w:pStyle w:val="Compact"/>
                  </w:pPr>
                </w:p>
              </w:tc>
              <w:tc>
                <w:tcPr/>
                <w:p>
                  <w:pPr>
                    <w:pStyle w:val="Compact"/>
                    <w:jc w:val="left"/>
                    <w:jc w:val="center"/>
                  </w:pPr>
                  <w:r>
                    <w:t xml:space="preserve">$34,298</w:t>
                  </w:r>
                </w:p>
              </w:tc>
              <w:tc>
                <w:tcPr/>
                <w:p>
                  <w:pPr>
                    <w:pStyle w:val="Compact"/>
                    <w:jc w:val="left"/>
                    <w:jc w:val="center"/>
                  </w:pPr>
                  <w:r>
                    <w:t xml:space="preserve">$31,807</w:t>
                  </w:r>
                </w:p>
              </w:tc>
              <w:tc>
                <w:tcPr/>
                <w:p>
                  <w:pPr>
                    <w:pStyle w:val="Compact"/>
                    <w:jc w:val="left"/>
                    <w:jc w:val="center"/>
                  </w:pPr>
                  <w:r>
                    <w:t xml:space="preserve">$0-200,000</w:t>
                  </w:r>
                </w:p>
              </w:tc>
            </w:tr>
            <w:tr>
              <w:tc>
                <w:tcPr/>
                <w:p>
                  <w:pPr>
                    <w:pStyle w:val="Compact"/>
                    <w:jc w:val="left"/>
                    <w:jc w:val="center"/>
                  </w:pPr>
                  <w:r>
                    <w:t xml:space="preserve">Marital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Never married</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Married</w:t>
                  </w:r>
                </w:p>
              </w:tc>
              <w:tc>
                <w:tcPr/>
                <w:p>
                  <w:pPr>
                    <w:pStyle w:val="Compact"/>
                    <w:jc w:val="right"/>
                    <w:jc w:val="center"/>
                  </w:pPr>
                  <w:r>
                    <w:t xml:space="preserve">32</w:t>
                  </w:r>
                </w:p>
              </w:tc>
              <w:tc>
                <w:tcPr/>
                <w:p>
                  <w:pPr>
                    <w:pStyle w:val="Compact"/>
                    <w:jc w:val="right"/>
                    <w:jc w:val="center"/>
                  </w:pPr>
                  <w:r>
                    <w:t xml:space="preserve">21.2</w:t>
                  </w:r>
                </w:p>
              </w:tc>
              <w:tc>
                <w:tcPr/>
                <w:p>
                  <w:pPr>
                    <w:pStyle w:val="Compact"/>
                  </w:pPr>
                </w:p>
              </w:tc>
              <w:tc>
                <w:tcPr/>
                <w:p>
                  <w:pPr>
                    <w:pStyle w:val="Compact"/>
                  </w:pPr>
                </w:p>
              </w:tc>
              <w:tc>
                <w:tcPr/>
                <w:p>
                  <w:pPr>
                    <w:pStyle w:val="Compact"/>
                  </w:pPr>
                </w:p>
              </w:tc>
            </w:tr>
            <w:tr>
              <w:tc>
                <w:tcPr/>
                <w:p>
                  <w:pPr>
                    <w:pStyle w:val="Compact"/>
                    <w:jc w:val="left"/>
                    <w:jc w:val="center"/>
                  </w:pPr>
                  <w:r>
                    <w:t xml:space="preserve">Divorced</w:t>
                  </w:r>
                </w:p>
              </w:tc>
              <w:tc>
                <w:tcPr/>
                <w:p>
                  <w:pPr>
                    <w:pStyle w:val="Compact"/>
                    <w:jc w:val="right"/>
                    <w:jc w:val="center"/>
                  </w:pPr>
                  <w:r>
                    <w:t xml:space="preserve">45</w:t>
                  </w:r>
                </w:p>
              </w:tc>
              <w:tc>
                <w:tcPr/>
                <w:p>
                  <w:pPr>
                    <w:pStyle w:val="Compact"/>
                    <w:jc w:val="right"/>
                    <w:jc w:val="center"/>
                  </w:pPr>
                  <w:r>
                    <w:t xml:space="preserve">29.8</w:t>
                  </w:r>
                </w:p>
              </w:tc>
              <w:tc>
                <w:tcPr/>
                <w:p>
                  <w:pPr>
                    <w:pStyle w:val="Compact"/>
                  </w:pPr>
                </w:p>
              </w:tc>
              <w:tc>
                <w:tcPr/>
                <w:p>
                  <w:pPr>
                    <w:pStyle w:val="Compact"/>
                  </w:pPr>
                </w:p>
              </w:tc>
              <w:tc>
                <w:tcPr/>
                <w:p>
                  <w:pPr>
                    <w:pStyle w:val="Compact"/>
                  </w:pPr>
                </w:p>
              </w:tc>
            </w:tr>
            <w:tr>
              <w:tc>
                <w:tcPr/>
                <w:p>
                  <w:pPr>
                    <w:pStyle w:val="Compact"/>
                    <w:jc w:val="left"/>
                    <w:jc w:val="center"/>
                  </w:pPr>
                  <w:r>
                    <w:t xml:space="preserve">Separated</w:t>
                  </w:r>
                </w:p>
              </w:tc>
              <w:tc>
                <w:tcPr/>
                <w:p>
                  <w:pPr>
                    <w:pStyle w:val="Compact"/>
                    <w:jc w:val="right"/>
                    <w:jc w:val="center"/>
                  </w:pPr>
                  <w:r>
                    <w:t xml:space="preserve">5</w:t>
                  </w:r>
                </w:p>
              </w:tc>
              <w:tc>
                <w:tcPr/>
                <w:p>
                  <w:pPr>
                    <w:pStyle w:val="Compact"/>
                    <w:jc w:val="right"/>
                    <w:jc w:val="center"/>
                  </w:pPr>
                  <w:r>
                    <w:t xml:space="preserve">3.3</w:t>
                  </w:r>
                </w:p>
              </w:tc>
              <w:tc>
                <w:tcPr/>
                <w:p>
                  <w:pPr>
                    <w:pStyle w:val="Compact"/>
                  </w:pPr>
                </w:p>
              </w:tc>
              <w:tc>
                <w:tcPr/>
                <w:p>
                  <w:pPr>
                    <w:pStyle w:val="Compact"/>
                  </w:pPr>
                </w:p>
              </w:tc>
              <w:tc>
                <w:tcPr/>
                <w:p>
                  <w:pPr>
                    <w:pStyle w:val="Compact"/>
                  </w:pPr>
                </w:p>
              </w:tc>
            </w:tr>
            <w:tr>
              <w:tc>
                <w:tcPr/>
                <w:p>
                  <w:pPr>
                    <w:pStyle w:val="Compact"/>
                    <w:jc w:val="left"/>
                    <w:jc w:val="center"/>
                  </w:pPr>
                  <w:r>
                    <w:t xml:space="preserve">Widowed</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DSM-5 Alcohol Use Disorder Symptom Count</w:t>
                  </w:r>
                </w:p>
              </w:tc>
              <w:tc>
                <w:tcPr/>
                <w:p>
                  <w:pPr>
                    <w:pStyle w:val="Compact"/>
                  </w:pPr>
                </w:p>
              </w:tc>
              <w:tc>
                <w:tcPr/>
                <w:p>
                  <w:pPr>
                    <w:pStyle w:val="Compact"/>
                  </w:pPr>
                </w:p>
              </w:tc>
              <w:tc>
                <w:tcPr/>
                <w:p>
                  <w:pPr>
                    <w:pStyle w:val="Compact"/>
                    <w:jc w:val="left"/>
                    <w:jc w:val="center"/>
                  </w:pPr>
                  <w:r>
                    <w:t xml:space="preserve">8.9</w:t>
                  </w:r>
                </w:p>
              </w:tc>
              <w:tc>
                <w:tcPr/>
                <w:p>
                  <w:pPr>
                    <w:pStyle w:val="Compact"/>
                    <w:jc w:val="left"/>
                    <w:jc w:val="center"/>
                  </w:pPr>
                  <w:r>
                    <w:t xml:space="preserve">1.9</w:t>
                  </w:r>
                </w:p>
              </w:tc>
              <w:tc>
                <w:tcPr/>
                <w:p>
                  <w:pPr>
                    <w:pStyle w:val="Compact"/>
                    <w:jc w:val="left"/>
                    <w:jc w:val="center"/>
                  </w:pPr>
                  <w:r>
                    <w:t xml:space="preserve">4-11</w:t>
                  </w:r>
                </w:p>
              </w:tc>
            </w:tr>
            <w:tr>
              <w:tc>
                <w:tcPr>
                  <w:gridSpan w:val="6"/>
                </w:tcPr>
                <w:p>
                  <w:pPr>
                    <w:pStyle w:val="Compact"/>
                    <w:jc w:val="left"/>
                    <w:jc w:val="center"/>
                  </w:pPr>
                  <w:r>
                    <w:t xml:space="preserve">Alcohol Use Disorder Milestones</w:t>
                  </w:r>
                </w:p>
              </w:tc>
            </w:tr>
            <w:tr>
              <w:tc>
                <w:tcPr/>
                <w:p>
                  <w:pPr>
                    <w:pStyle w:val="Compact"/>
                    <w:jc w:val="left"/>
                    <w:jc w:val="center"/>
                  </w:pPr>
                  <w:r>
                    <w:t xml:space="preserve">Age of first drink</w:t>
                  </w:r>
                </w:p>
              </w:tc>
              <w:tc>
                <w:tcPr/>
                <w:p>
                  <w:pPr>
                    <w:pStyle w:val="Compact"/>
                  </w:pPr>
                </w:p>
              </w:tc>
              <w:tc>
                <w:tcPr/>
                <w:p>
                  <w:pPr>
                    <w:pStyle w:val="Compact"/>
                  </w:pPr>
                </w:p>
              </w:tc>
              <w:tc>
                <w:tcPr/>
                <w:p>
                  <w:pPr>
                    <w:pStyle w:val="Compact"/>
                    <w:jc w:val="left"/>
                    <w:jc w:val="center"/>
                  </w:pPr>
                  <w:r>
                    <w:t xml:space="preserve">14.6</w:t>
                  </w:r>
                </w:p>
              </w:tc>
              <w:tc>
                <w:tcPr/>
                <w:p>
                  <w:pPr>
                    <w:pStyle w:val="Compact"/>
                    <w:jc w:val="left"/>
                    <w:jc w:val="center"/>
                  </w:pPr>
                  <w:r>
                    <w:t xml:space="preserve">2.9</w:t>
                  </w:r>
                </w:p>
              </w:tc>
              <w:tc>
                <w:tcPr/>
                <w:p>
                  <w:pPr>
                    <w:pStyle w:val="Compact"/>
                    <w:jc w:val="left"/>
                    <w:jc w:val="center"/>
                  </w:pPr>
                  <w:r>
                    <w:t xml:space="preserve">6-24</w:t>
                  </w:r>
                </w:p>
              </w:tc>
            </w:tr>
            <w:tr>
              <w:tc>
                <w:tcPr/>
                <w:p>
                  <w:pPr>
                    <w:pStyle w:val="Compact"/>
                    <w:jc w:val="left"/>
                    <w:jc w:val="center"/>
                  </w:pPr>
                  <w:r>
                    <w:t xml:space="preserve">Age of regular drinking</w:t>
                  </w:r>
                </w:p>
              </w:tc>
              <w:tc>
                <w:tcPr/>
                <w:p>
                  <w:pPr>
                    <w:pStyle w:val="Compact"/>
                  </w:pPr>
                </w:p>
              </w:tc>
              <w:tc>
                <w:tcPr/>
                <w:p>
                  <w:pPr>
                    <w:pStyle w:val="Compact"/>
                  </w:pPr>
                </w:p>
              </w:tc>
              <w:tc>
                <w:tcPr/>
                <w:p>
                  <w:pPr>
                    <w:pStyle w:val="Compact"/>
                    <w:jc w:val="left"/>
                    <w:jc w:val="center"/>
                  </w:pPr>
                  <w:r>
                    <w:t xml:space="preserve">19.5</w:t>
                  </w:r>
                </w:p>
              </w:tc>
              <w:tc>
                <w:tcPr/>
                <w:p>
                  <w:pPr>
                    <w:pStyle w:val="Compact"/>
                    <w:jc w:val="left"/>
                    <w:jc w:val="center"/>
                  </w:pPr>
                  <w:r>
                    <w:t xml:space="preserve">6.6</w:t>
                  </w:r>
                </w:p>
              </w:tc>
              <w:tc>
                <w:tcPr/>
                <w:p>
                  <w:pPr>
                    <w:pStyle w:val="Compact"/>
                    <w:jc w:val="left"/>
                    <w:jc w:val="center"/>
                  </w:pPr>
                  <w:r>
                    <w:t xml:space="preserve">11-56</w:t>
                  </w:r>
                </w:p>
              </w:tc>
            </w:tr>
            <w:tr>
              <w:tc>
                <w:tcPr/>
                <w:p>
                  <w:pPr>
                    <w:pStyle w:val="Compact"/>
                    <w:jc w:val="left"/>
                    <w:jc w:val="center"/>
                  </w:pPr>
                  <w:r>
                    <w:t xml:space="preserve">Age at which drinking became problematic</w:t>
                  </w:r>
                </w:p>
              </w:tc>
              <w:tc>
                <w:tcPr/>
                <w:p>
                  <w:pPr>
                    <w:pStyle w:val="Compact"/>
                  </w:pPr>
                </w:p>
              </w:tc>
              <w:tc>
                <w:tcPr/>
                <w:p>
                  <w:pPr>
                    <w:pStyle w:val="Compact"/>
                  </w:pPr>
                </w:p>
              </w:tc>
              <w:tc>
                <w:tcPr/>
                <w:p>
                  <w:pPr>
                    <w:pStyle w:val="Compact"/>
                    <w:jc w:val="left"/>
                    <w:jc w:val="center"/>
                  </w:pPr>
                  <w:r>
                    <w:t xml:space="preserve">27.8</w:t>
                  </w:r>
                </w:p>
              </w:tc>
              <w:tc>
                <w:tcPr/>
                <w:p>
                  <w:pPr>
                    <w:pStyle w:val="Compact"/>
                    <w:jc w:val="left"/>
                    <w:jc w:val="center"/>
                  </w:pPr>
                  <w:r>
                    <w:t xml:space="preserve">9.6</w:t>
                  </w:r>
                </w:p>
              </w:tc>
              <w:tc>
                <w:tcPr/>
                <w:p>
                  <w:pPr>
                    <w:pStyle w:val="Compact"/>
                    <w:jc w:val="left"/>
                    <w:jc w:val="center"/>
                  </w:pPr>
                  <w:r>
                    <w:t xml:space="preserve">15-60</w:t>
                  </w:r>
                </w:p>
              </w:tc>
            </w:tr>
            <w:tr>
              <w:tc>
                <w:tcPr/>
                <w:p>
                  <w:pPr>
                    <w:pStyle w:val="Compact"/>
                    <w:jc w:val="left"/>
                    <w:jc w:val="center"/>
                  </w:pPr>
                  <w:r>
                    <w:t xml:space="preserve">Age of first quit attempt</w:t>
                  </w:r>
                </w:p>
              </w:tc>
              <w:tc>
                <w:tcPr/>
                <w:p>
                  <w:pPr>
                    <w:pStyle w:val="Compact"/>
                  </w:pPr>
                </w:p>
              </w:tc>
              <w:tc>
                <w:tcPr/>
                <w:p>
                  <w:pPr>
                    <w:pStyle w:val="Compact"/>
                  </w:pPr>
                </w:p>
              </w:tc>
              <w:tc>
                <w:tcPr/>
                <w:p>
                  <w:pPr>
                    <w:pStyle w:val="Compact"/>
                    <w:jc w:val="left"/>
                    <w:jc w:val="center"/>
                  </w:pPr>
                  <w:r>
                    <w:t xml:space="preserve">31.5</w:t>
                  </w:r>
                </w:p>
              </w:tc>
              <w:tc>
                <w:tcPr/>
                <w:p>
                  <w:pPr>
                    <w:pStyle w:val="Compact"/>
                    <w:jc w:val="left"/>
                    <w:jc w:val="center"/>
                  </w:pPr>
                  <w:r>
                    <w:t xml:space="preserve">10.4</w:t>
                  </w:r>
                </w:p>
              </w:tc>
              <w:tc>
                <w:tcPr/>
                <w:p>
                  <w:pPr>
                    <w:pStyle w:val="Compact"/>
                    <w:jc w:val="left"/>
                    <w:jc w:val="center"/>
                  </w:pPr>
                  <w:r>
                    <w:t xml:space="preserve">15-65</w:t>
                  </w:r>
                </w:p>
              </w:tc>
            </w:tr>
            <w:tr>
              <w:tc>
                <w:tcPr/>
                <w:p>
                  <w:pPr>
                    <w:pStyle w:val="Compact"/>
                    <w:jc w:val="left"/>
                    <w:jc w:val="center"/>
                  </w:pPr>
                  <w:r>
                    <w:t xml:space="preserve">Number of Quit Attempts*</w:t>
                  </w:r>
                </w:p>
              </w:tc>
              <w:tc>
                <w:tcPr/>
                <w:p>
                  <w:pPr>
                    <w:pStyle w:val="Compact"/>
                  </w:pPr>
                </w:p>
              </w:tc>
              <w:tc>
                <w:tcPr/>
                <w:p>
                  <w:pPr>
                    <w:pStyle w:val="Compact"/>
                  </w:pPr>
                </w:p>
              </w:tc>
              <w:tc>
                <w:tcPr/>
                <w:p>
                  <w:pPr>
                    <w:pStyle w:val="Compact"/>
                    <w:jc w:val="left"/>
                    <w:jc w:val="center"/>
                  </w:pPr>
                  <w:r>
                    <w:t xml:space="preserve">5.5</w:t>
                  </w:r>
                </w:p>
              </w:tc>
              <w:tc>
                <w:tcPr/>
                <w:p>
                  <w:pPr>
                    <w:pStyle w:val="Compact"/>
                    <w:jc w:val="left"/>
                    <w:jc w:val="center"/>
                  </w:pPr>
                  <w:r>
                    <w:t xml:space="preserve">5.8</w:t>
                  </w:r>
                </w:p>
              </w:tc>
              <w:tc>
                <w:tcPr/>
                <w:p>
                  <w:pPr>
                    <w:pStyle w:val="Compact"/>
                    <w:jc w:val="left"/>
                    <w:jc w:val="center"/>
                  </w:pPr>
                  <w:r>
                    <w:t xml:space="preserve">0-30</w:t>
                  </w:r>
                </w:p>
              </w:tc>
            </w:tr>
            <w:tr>
              <w:tc>
                <w:tcPr>
                  <w:gridSpan w:val="6"/>
                </w:tcPr>
                <w:p>
                  <w:pPr>
                    <w:pStyle w:val="Compact"/>
                    <w:jc w:val="left"/>
                    <w:jc w:val="center"/>
                  </w:pPr>
                  <w:r>
                    <w:t xml:space="preserve">Lifetime History of Treatment (Can choose more than 1)</w:t>
                  </w:r>
                </w:p>
              </w:tc>
            </w:tr>
            <w:tr>
              <w:tc>
                <w:tcPr/>
                <w:p>
                  <w:pPr>
                    <w:pStyle w:val="Compact"/>
                    <w:jc w:val="left"/>
                    <w:jc w:val="center"/>
                  </w:pPr>
                  <w:r>
                    <w:t xml:space="preserve">Long-term residential (6+ months)</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Short-term residential (&lt; 6 months)</w:t>
                  </w:r>
                </w:p>
              </w:tc>
              <w:tc>
                <w:tcPr/>
                <w:p>
                  <w:pPr>
                    <w:pStyle w:val="Compact"/>
                    <w:jc w:val="right"/>
                    <w:jc w:val="center"/>
                  </w:pPr>
                  <w:r>
                    <w:t xml:space="preserve">49</w:t>
                  </w:r>
                </w:p>
              </w:tc>
              <w:tc>
                <w:tcPr/>
                <w:p>
                  <w:pPr>
                    <w:pStyle w:val="Compact"/>
                    <w:jc w:val="right"/>
                    <w:jc w:val="center"/>
                  </w:pPr>
                  <w:r>
                    <w:t xml:space="preserve">32.5</w:t>
                  </w:r>
                </w:p>
              </w:tc>
              <w:tc>
                <w:tcPr/>
                <w:p>
                  <w:pPr>
                    <w:pStyle w:val="Compact"/>
                  </w:pPr>
                </w:p>
              </w:tc>
              <w:tc>
                <w:tcPr/>
                <w:p>
                  <w:pPr>
                    <w:pStyle w:val="Compact"/>
                  </w:pPr>
                </w:p>
              </w:tc>
              <w:tc>
                <w:tcPr/>
                <w:p>
                  <w:pPr>
                    <w:pStyle w:val="Compact"/>
                  </w:pPr>
                </w:p>
              </w:tc>
            </w:tr>
            <w:tr>
              <w:tc>
                <w:tcPr/>
                <w:p>
                  <w:pPr>
                    <w:pStyle w:val="Compact"/>
                    <w:jc w:val="left"/>
                    <w:jc w:val="center"/>
                  </w:pPr>
                  <w:r>
                    <w:t xml:space="preserve">Outpatient</w:t>
                  </w:r>
                </w:p>
              </w:tc>
              <w:tc>
                <w:tcPr/>
                <w:p>
                  <w:pPr>
                    <w:pStyle w:val="Compact"/>
                    <w:jc w:val="right"/>
                    <w:jc w:val="center"/>
                  </w:pPr>
                  <w:r>
                    <w:t xml:space="preserve">74</w:t>
                  </w:r>
                </w:p>
              </w:tc>
              <w:tc>
                <w:tcPr/>
                <w:p>
                  <w:pPr>
                    <w:pStyle w:val="Compact"/>
                    <w:jc w:val="right"/>
                    <w:jc w:val="center"/>
                  </w:pPr>
                  <w:r>
                    <w:t xml:space="preserve">49.0</w:t>
                  </w:r>
                </w:p>
              </w:tc>
              <w:tc>
                <w:tcPr/>
                <w:p>
                  <w:pPr>
                    <w:pStyle w:val="Compact"/>
                  </w:pPr>
                </w:p>
              </w:tc>
              <w:tc>
                <w:tcPr/>
                <w:p>
                  <w:pPr>
                    <w:pStyle w:val="Compact"/>
                  </w:pPr>
                </w:p>
              </w:tc>
              <w:tc>
                <w:tcPr/>
                <w:p>
                  <w:pPr>
                    <w:pStyle w:val="Compact"/>
                  </w:pPr>
                </w:p>
              </w:tc>
            </w:tr>
            <w:tr>
              <w:tc>
                <w:tcPr/>
                <w:p>
                  <w:pPr>
                    <w:pStyle w:val="Compact"/>
                    <w:jc w:val="left"/>
                    <w:jc w:val="center"/>
                  </w:pPr>
                  <w:r>
                    <w:t xml:space="preserve">Individual counseling</w:t>
                  </w:r>
                </w:p>
              </w:tc>
              <w:tc>
                <w:tcPr/>
                <w:p>
                  <w:pPr>
                    <w:pStyle w:val="Compact"/>
                    <w:jc w:val="right"/>
                    <w:jc w:val="center"/>
                  </w:pPr>
                  <w:r>
                    <w:t xml:space="preserve">97</w:t>
                  </w:r>
                </w:p>
              </w:tc>
              <w:tc>
                <w:tcPr/>
                <w:p>
                  <w:pPr>
                    <w:pStyle w:val="Compact"/>
                    <w:jc w:val="right"/>
                    <w:jc w:val="center"/>
                  </w:pPr>
                  <w:r>
                    <w:t xml:space="preserve">64.2</w:t>
                  </w:r>
                </w:p>
              </w:tc>
              <w:tc>
                <w:tcPr/>
                <w:p>
                  <w:pPr>
                    <w:pStyle w:val="Compact"/>
                  </w:pPr>
                </w:p>
              </w:tc>
              <w:tc>
                <w:tcPr/>
                <w:p>
                  <w:pPr>
                    <w:pStyle w:val="Compact"/>
                  </w:pPr>
                </w:p>
              </w:tc>
              <w:tc>
                <w:tcPr/>
                <w:p>
                  <w:pPr>
                    <w:pStyle w:val="Compact"/>
                  </w:pPr>
                </w:p>
              </w:tc>
            </w:tr>
            <w:tr>
              <w:tc>
                <w:tcPr/>
                <w:p>
                  <w:pPr>
                    <w:pStyle w:val="Compact"/>
                    <w:jc w:val="left"/>
                    <w:jc w:val="center"/>
                  </w:pPr>
                  <w:r>
                    <w:t xml:space="preserve">Group counseling</w:t>
                  </w:r>
                </w:p>
              </w:tc>
              <w:tc>
                <w:tcPr/>
                <w:p>
                  <w:pPr>
                    <w:pStyle w:val="Compact"/>
                    <w:jc w:val="right"/>
                    <w:jc w:val="center"/>
                  </w:pPr>
                  <w:r>
                    <w:t xml:space="preserve">62</w:t>
                  </w:r>
                </w:p>
              </w:tc>
              <w:tc>
                <w:tcPr/>
                <w:p>
                  <w:pPr>
                    <w:pStyle w:val="Compact"/>
                    <w:jc w:val="right"/>
                    <w:jc w:val="center"/>
                  </w:pPr>
                  <w:r>
                    <w:t xml:space="preserve">41.1</w:t>
                  </w:r>
                </w:p>
              </w:tc>
              <w:tc>
                <w:tcPr/>
                <w:p>
                  <w:pPr>
                    <w:pStyle w:val="Compact"/>
                  </w:pPr>
                </w:p>
              </w:tc>
              <w:tc>
                <w:tcPr/>
                <w:p>
                  <w:pPr>
                    <w:pStyle w:val="Compact"/>
                  </w:pPr>
                </w:p>
              </w:tc>
              <w:tc>
                <w:tcPr/>
                <w:p>
                  <w:pPr>
                    <w:pStyle w:val="Compact"/>
                  </w:pPr>
                </w:p>
              </w:tc>
            </w:tr>
            <w:tr>
              <w:tc>
                <w:tcPr/>
                <w:p>
                  <w:pPr>
                    <w:pStyle w:val="Compact"/>
                    <w:jc w:val="left"/>
                    <w:jc w:val="center"/>
                  </w:pPr>
                  <w:r>
                    <w:t xml:space="preserve">Alcoholics Anonymous/Narcotics Anonymous</w:t>
                  </w:r>
                </w:p>
              </w:tc>
              <w:tc>
                <w:tcPr/>
                <w:p>
                  <w:pPr>
                    <w:pStyle w:val="Compact"/>
                    <w:jc w:val="right"/>
                    <w:jc w:val="center"/>
                  </w:pPr>
                  <w:r>
                    <w:t xml:space="preserve">93</w:t>
                  </w:r>
                </w:p>
              </w:tc>
              <w:tc>
                <w:tcPr/>
                <w:p>
                  <w:pPr>
                    <w:pStyle w:val="Compact"/>
                    <w:jc w:val="right"/>
                    <w:jc w:val="center"/>
                  </w:pPr>
                  <w:r>
                    <w:t xml:space="preserve">61.6</w:t>
                  </w:r>
                </w:p>
              </w:tc>
              <w:tc>
                <w:tcPr/>
                <w:p>
                  <w:pPr>
                    <w:pStyle w:val="Compact"/>
                  </w:pPr>
                </w:p>
              </w:tc>
              <w:tc>
                <w:tcPr/>
                <w:p>
                  <w:pPr>
                    <w:pStyle w:val="Compact"/>
                  </w:pPr>
                </w:p>
              </w:tc>
              <w:tc>
                <w:tcPr/>
                <w:p>
                  <w:pPr>
                    <w:pStyle w:val="Compact"/>
                  </w:pPr>
                </w:p>
              </w:tc>
            </w:tr>
            <w:tr>
              <w:tc>
                <w:tcPr/>
                <w:p>
                  <w:pPr>
                    <w:pStyle w:val="Compact"/>
                    <w:jc w:val="left"/>
                    <w:jc w:val="center"/>
                  </w:pPr>
                  <w:r>
                    <w:t xml:space="preserve">Other</w:t>
                  </w:r>
                </w:p>
              </w:tc>
              <w:tc>
                <w:tcPr/>
                <w:p>
                  <w:pPr>
                    <w:pStyle w:val="Compact"/>
                    <w:jc w:val="right"/>
                    <w:jc w:val="center"/>
                  </w:pPr>
                  <w:r>
                    <w:t xml:space="preserve">40</w:t>
                  </w:r>
                </w:p>
              </w:tc>
              <w:tc>
                <w:tcPr/>
                <w:p>
                  <w:pPr>
                    <w:pStyle w:val="Compact"/>
                    <w:jc w:val="right"/>
                    <w:jc w:val="center"/>
                  </w:pPr>
                  <w:r>
                    <w:t xml:space="preserve">26.5</w:t>
                  </w:r>
                </w:p>
              </w:tc>
              <w:tc>
                <w:tcPr/>
                <w:p>
                  <w:pPr>
                    <w:pStyle w:val="Compact"/>
                  </w:pPr>
                </w:p>
              </w:tc>
              <w:tc>
                <w:tcPr/>
                <w:p>
                  <w:pPr>
                    <w:pStyle w:val="Compact"/>
                  </w:pPr>
                </w:p>
              </w:tc>
              <w:tc>
                <w:tcPr/>
                <w:p>
                  <w:pPr>
                    <w:pStyle w:val="Compact"/>
                  </w:pPr>
                </w:p>
              </w:tc>
            </w:tr>
            <w:tr>
              <w:tc>
                <w:tcPr>
                  <w:gridSpan w:val="6"/>
                </w:tcPr>
                <w:p>
                  <w:pPr>
                    <w:pStyle w:val="Compact"/>
                    <w:jc w:val="left"/>
                    <w:jc w:val="center"/>
                  </w:pPr>
                  <w:r>
                    <w:t xml:space="preserve">Received Medication for Alcohol Use Disorder</w:t>
                  </w:r>
                </w:p>
              </w:tc>
            </w:tr>
            <w:tr>
              <w:tc>
                <w:tcPr/>
                <w:p>
                  <w:pPr>
                    <w:pStyle w:val="Compact"/>
                    <w:jc w:val="left"/>
                    <w:jc w:val="center"/>
                  </w:pPr>
                  <w:r>
                    <w:t xml:space="preserve">Yes</w:t>
                  </w:r>
                </w:p>
              </w:tc>
              <w:tc>
                <w:tcPr/>
                <w:p>
                  <w:pPr>
                    <w:pStyle w:val="Compact"/>
                    <w:jc w:val="right"/>
                    <w:jc w:val="center"/>
                  </w:pPr>
                  <w:r>
                    <w:t xml:space="preserve">59</w:t>
                  </w:r>
                </w:p>
              </w:tc>
              <w:tc>
                <w:tcPr/>
                <w:p>
                  <w:pPr>
                    <w:pStyle w:val="Compact"/>
                    <w:jc w:val="right"/>
                    <w:jc w:val="center"/>
                  </w:pPr>
                  <w:r>
                    <w:t xml:space="preserve">39.1</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92</w:t>
                  </w:r>
                </w:p>
              </w:tc>
              <w:tc>
                <w:tcPr/>
                <w:p>
                  <w:pPr>
                    <w:pStyle w:val="Compact"/>
                    <w:jc w:val="right"/>
                    <w:jc w:val="center"/>
                  </w:pPr>
                  <w:r>
                    <w:t xml:space="preserve">60.9</w:t>
                  </w:r>
                </w:p>
              </w:tc>
              <w:tc>
                <w:tcPr/>
                <w:p>
                  <w:pPr>
                    <w:pStyle w:val="Compact"/>
                  </w:pPr>
                </w:p>
              </w:tc>
              <w:tc>
                <w:tcPr/>
                <w:p>
                  <w:pPr>
                    <w:pStyle w:val="Compact"/>
                  </w:pPr>
                </w:p>
              </w:tc>
              <w:tc>
                <w:tcPr/>
                <w:p>
                  <w:pPr>
                    <w:pStyle w:val="Compact"/>
                  </w:pPr>
                </w:p>
              </w:tc>
            </w:tr>
            <w:tr>
              <w:tc>
                <w:tcPr>
                  <w:gridSpan w:val="6"/>
                </w:tcPr>
                <w:p>
                  <w:pPr>
                    <w:pStyle w:val="Compact"/>
                    <w:jc w:val="left"/>
                    <w:jc w:val="center"/>
                  </w:pPr>
                  <w:r>
                    <w:t xml:space="preserve">Current (Past 3 Month) Drug Use</w:t>
                  </w:r>
                </w:p>
              </w:tc>
            </w:tr>
            <w:tr>
              <w:tc>
                <w:tcPr/>
                <w:p>
                  <w:pPr>
                    <w:pStyle w:val="Compact"/>
                    <w:jc w:val="left"/>
                    <w:jc w:val="center"/>
                  </w:pPr>
                  <w:r>
                    <w:t xml:space="preserve">Tobacco products (cigarettes, chewing tobacco, cigars, etc.)</w:t>
                  </w:r>
                </w:p>
              </w:tc>
              <w:tc>
                <w:tcPr/>
                <w:p>
                  <w:pPr>
                    <w:pStyle w:val="Compact"/>
                    <w:jc w:val="right"/>
                    <w:jc w:val="center"/>
                  </w:pPr>
                  <w:r>
                    <w:t xml:space="preserve">84</w:t>
                  </w:r>
                </w:p>
              </w:tc>
              <w:tc>
                <w:tcPr/>
                <w:p>
                  <w:pPr>
                    <w:pStyle w:val="Compact"/>
                    <w:jc w:val="right"/>
                    <w:jc w:val="center"/>
                  </w:pPr>
                  <w:r>
                    <w:t xml:space="preserve">55.6</w:t>
                  </w:r>
                </w:p>
              </w:tc>
              <w:tc>
                <w:tcPr/>
                <w:p>
                  <w:pPr>
                    <w:pStyle w:val="Compact"/>
                  </w:pPr>
                </w:p>
              </w:tc>
              <w:tc>
                <w:tcPr/>
                <w:p>
                  <w:pPr>
                    <w:pStyle w:val="Compact"/>
                  </w:pPr>
                </w:p>
              </w:tc>
              <w:tc>
                <w:tcPr/>
                <w:p>
                  <w:pPr>
                    <w:pStyle w:val="Compact"/>
                  </w:pPr>
                </w:p>
              </w:tc>
            </w:tr>
            <w:tr>
              <w:tc>
                <w:tcPr/>
                <w:p>
                  <w:pPr>
                    <w:pStyle w:val="Compact"/>
                    <w:jc w:val="left"/>
                    <w:jc w:val="center"/>
                  </w:pPr>
                  <w:r>
                    <w:t xml:space="preserve">Cannabis (marijuana, pot, grass, hash, etc.)</w:t>
                  </w:r>
                </w:p>
              </w:tc>
              <w:tc>
                <w:tcPr/>
                <w:p>
                  <w:pPr>
                    <w:pStyle w:val="Compact"/>
                    <w:jc w:val="right"/>
                    <w:jc w:val="center"/>
                  </w:pPr>
                  <w:r>
                    <w:t xml:space="preserve">66</w:t>
                  </w:r>
                </w:p>
              </w:tc>
              <w:tc>
                <w:tcPr/>
                <w:p>
                  <w:pPr>
                    <w:pStyle w:val="Compact"/>
                    <w:jc w:val="right"/>
                    <w:jc w:val="center"/>
                  </w:pPr>
                  <w:r>
                    <w:t xml:space="preserve">43.7</w:t>
                  </w:r>
                </w:p>
              </w:tc>
              <w:tc>
                <w:tcPr/>
                <w:p>
                  <w:pPr>
                    <w:pStyle w:val="Compact"/>
                  </w:pPr>
                </w:p>
              </w:tc>
              <w:tc>
                <w:tcPr/>
                <w:p>
                  <w:pPr>
                    <w:pStyle w:val="Compact"/>
                  </w:pPr>
                </w:p>
              </w:tc>
              <w:tc>
                <w:tcPr/>
                <w:p>
                  <w:pPr>
                    <w:pStyle w:val="Compact"/>
                  </w:pPr>
                </w:p>
              </w:tc>
            </w:tr>
            <w:tr>
              <w:tc>
                <w:tcPr/>
                <w:p>
                  <w:pPr>
                    <w:pStyle w:val="Compact"/>
                    <w:jc w:val="left"/>
                    <w:jc w:val="center"/>
                  </w:pPr>
                  <w:r>
                    <w:t xml:space="preserve">Cocaine (coke, crack, etc.)</w:t>
                  </w:r>
                </w:p>
              </w:tc>
              <w:tc>
                <w:tcPr/>
                <w:p>
                  <w:pPr>
                    <w:pStyle w:val="Compact"/>
                    <w:jc w:val="right"/>
                    <w:jc w:val="center"/>
                  </w:pPr>
                  <w:r>
                    <w:t xml:space="preserve">18</w:t>
                  </w:r>
                </w:p>
              </w:tc>
              <w:tc>
                <w:tcPr/>
                <w:p>
                  <w:pPr>
                    <w:pStyle w:val="Compact"/>
                    <w:jc w:val="right"/>
                    <w:jc w:val="center"/>
                  </w:pPr>
                  <w:r>
                    <w:t xml:space="preserve">11.9</w:t>
                  </w:r>
                </w:p>
              </w:tc>
              <w:tc>
                <w:tcPr/>
                <w:p>
                  <w:pPr>
                    <w:pStyle w:val="Compact"/>
                  </w:pPr>
                </w:p>
              </w:tc>
              <w:tc>
                <w:tcPr/>
                <w:p>
                  <w:pPr>
                    <w:pStyle w:val="Compact"/>
                  </w:pPr>
                </w:p>
              </w:tc>
              <w:tc>
                <w:tcPr/>
                <w:p>
                  <w:pPr>
                    <w:pStyle w:val="Compact"/>
                  </w:pPr>
                </w:p>
              </w:tc>
            </w:tr>
            <w:tr>
              <w:tc>
                <w:tcPr/>
                <w:p>
                  <w:pPr>
                    <w:pStyle w:val="Compact"/>
                    <w:jc w:val="left"/>
                    <w:jc w:val="center"/>
                  </w:pPr>
                  <w:r>
                    <w:t xml:space="preserve">Amphetamine type stimulants (speed, diet pills, ecstasy, etc.)</w:t>
                  </w:r>
                </w:p>
              </w:tc>
              <w:tc>
                <w:tcPr/>
                <w:p>
                  <w:pPr>
                    <w:pStyle w:val="Compact"/>
                    <w:jc w:val="right"/>
                    <w:jc w:val="center"/>
                  </w:pPr>
                  <w:r>
                    <w:t xml:space="preserve">15</w:t>
                  </w:r>
                </w:p>
              </w:tc>
              <w:tc>
                <w:tcPr/>
                <w:p>
                  <w:pPr>
                    <w:pStyle w:val="Compact"/>
                    <w:jc w:val="right"/>
                    <w:jc w:val="center"/>
                  </w:pPr>
                  <w:r>
                    <w:t xml:space="preserve">9.9</w:t>
                  </w:r>
                </w:p>
              </w:tc>
              <w:tc>
                <w:tcPr/>
                <w:p>
                  <w:pPr>
                    <w:pStyle w:val="Compact"/>
                  </w:pPr>
                </w:p>
              </w:tc>
              <w:tc>
                <w:tcPr/>
                <w:p>
                  <w:pPr>
                    <w:pStyle w:val="Compact"/>
                  </w:pPr>
                </w:p>
              </w:tc>
              <w:tc>
                <w:tcPr/>
                <w:p>
                  <w:pPr>
                    <w:pStyle w:val="Compact"/>
                  </w:pPr>
                </w:p>
              </w:tc>
            </w:tr>
            <w:tr>
              <w:tc>
                <w:tcPr/>
                <w:p>
                  <w:pPr>
                    <w:pStyle w:val="Compact"/>
                    <w:jc w:val="left"/>
                    <w:jc w:val="center"/>
                  </w:pPr>
                  <w:r>
                    <w:t xml:space="preserve">Inhalants (nitrous, glue, petrol, paint thinner, etc.)</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Sedatives or sleeping pills (Valium, Serepax, Rohypnol, etc.)</w:t>
                  </w:r>
                </w:p>
              </w:tc>
              <w:tc>
                <w:tcPr/>
                <w:p>
                  <w:pPr>
                    <w:pStyle w:val="Compact"/>
                    <w:jc w:val="right"/>
                    <w:jc w:val="center"/>
                  </w:pPr>
                  <w:r>
                    <w:t xml:space="preserve">22</w:t>
                  </w:r>
                </w:p>
              </w:tc>
              <w:tc>
                <w:tcPr/>
                <w:p>
                  <w:pPr>
                    <w:pStyle w:val="Compact"/>
                    <w:jc w:val="right"/>
                    <w:jc w:val="center"/>
                  </w:pPr>
                  <w:r>
                    <w:t xml:space="preserve">14.6</w:t>
                  </w:r>
                </w:p>
              </w:tc>
              <w:tc>
                <w:tcPr/>
                <w:p>
                  <w:pPr>
                    <w:pStyle w:val="Compact"/>
                  </w:pPr>
                </w:p>
              </w:tc>
              <w:tc>
                <w:tcPr/>
                <w:p>
                  <w:pPr>
                    <w:pStyle w:val="Compact"/>
                  </w:pPr>
                </w:p>
              </w:tc>
              <w:tc>
                <w:tcPr/>
                <w:p>
                  <w:pPr>
                    <w:pStyle w:val="Compact"/>
                  </w:pPr>
                </w:p>
              </w:tc>
            </w:tr>
            <w:tr>
              <w:tc>
                <w:tcPr/>
                <w:p>
                  <w:pPr>
                    <w:pStyle w:val="Compact"/>
                    <w:jc w:val="left"/>
                    <w:jc w:val="center"/>
                  </w:pPr>
                  <w:r>
                    <w:t xml:space="preserve">Hallucinogens (LSD, acid, mushrooms, PCP, Special K, etc.)</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Opioids (heroin, morphine, methadone, codeine, etc.)</w:t>
                  </w:r>
                </w:p>
              </w:tc>
              <w:tc>
                <w:tcPr/>
                <w:p>
                  <w:pPr>
                    <w:pStyle w:val="Compact"/>
                    <w:jc w:val="right"/>
                    <w:jc w:val="center"/>
                  </w:pPr>
                  <w:r>
                    <w:t xml:space="preserve">16</w:t>
                  </w:r>
                </w:p>
              </w:tc>
              <w:tc>
                <w:tcPr/>
                <w:p>
                  <w:pPr>
                    <w:pStyle w:val="Compact"/>
                    <w:jc w:val="right"/>
                    <w:jc w:val="center"/>
                  </w:pPr>
                  <w:r>
                    <w:t xml:space="preserve">10.6</w:t>
                  </w:r>
                </w:p>
              </w:tc>
              <w:tc>
                <w:tcPr/>
                <w:p>
                  <w:pPr>
                    <w:pStyle w:val="Compact"/>
                  </w:pPr>
                </w:p>
              </w:tc>
              <w:tc>
                <w:tcPr/>
                <w:p>
                  <w:pPr>
                    <w:pStyle w:val="Compact"/>
                  </w:pPr>
                </w:p>
              </w:tc>
              <w:tc>
                <w:tcPr/>
                <w:p>
                  <w:pPr>
                    <w:pStyle w:val="Compact"/>
                  </w:pPr>
                </w:p>
              </w:tc>
            </w:tr>
            <w:tr>
              <w:tc>
                <w:tcPr/>
                <w:p>
                  <w:pPr>
                    <w:pStyle w:val="Compact"/>
                    <w:jc w:val="left"/>
                    <w:jc w:val="center"/>
                  </w:pPr>
                  <w:r>
                    <w:t xml:space="preserve">Reported 1 or More Lapse During Study Period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Yes</w:t>
                  </w:r>
                </w:p>
              </w:tc>
              <w:tc>
                <w:tcPr/>
                <w:p>
                  <w:pPr>
                    <w:pStyle w:val="Compact"/>
                    <w:jc w:val="right"/>
                    <w:jc w:val="center"/>
                  </w:pPr>
                  <w:r>
                    <w:t xml:space="preserve">84</w:t>
                  </w:r>
                </w:p>
              </w:tc>
              <w:tc>
                <w:tcPr/>
                <w:p>
                  <w:pPr>
                    <w:pStyle w:val="Compact"/>
                    <w:jc w:val="right"/>
                    <w:jc w:val="center"/>
                  </w:pPr>
                  <w:r>
                    <w:t xml:space="preserve">55.6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Number of reported lapses</w:t>
                  </w:r>
                </w:p>
              </w:tc>
              <w:tc>
                <w:tcPr/>
                <w:p>
                  <w:pPr>
                    <w:pStyle w:val="Compact"/>
                  </w:pPr>
                </w:p>
              </w:tc>
              <w:tc>
                <w:tcPr/>
                <w:p>
                  <w:pPr>
                    <w:pStyle w:val="Compact"/>
                  </w:pPr>
                </w:p>
              </w:tc>
              <w:tc>
                <w:tcPr/>
                <w:p>
                  <w:pPr>
                    <w:pStyle w:val="Compact"/>
                    <w:jc w:val="left"/>
                    <w:jc w:val="center"/>
                  </w:pPr>
                  <w:r>
                    <w:t xml:space="preserve">6.8</w:t>
                  </w:r>
                </w:p>
              </w:tc>
              <w:tc>
                <w:tcPr/>
                <w:p>
                  <w:pPr>
                    <w:pStyle w:val="Compact"/>
                    <w:jc w:val="left"/>
                    <w:jc w:val="center"/>
                  </w:pPr>
                  <w:r>
                    <w:t xml:space="preserve">12</w:t>
                  </w:r>
                </w:p>
              </w:tc>
              <w:tc>
                <w:tcPr/>
                <w:p>
                  <w:pPr>
                    <w:pStyle w:val="Compact"/>
                    <w:jc w:val="left"/>
                    <w:jc w:val="center"/>
                  </w:pPr>
                  <w:r>
                    <w:t xml:space="preserve">0-75</w:t>
                  </w:r>
                </w:p>
              </w:tc>
            </w:tr>
            <w:tr>
              <w:tc>
                <w:tcPr/>
                <w:p>
                  <w:pPr>
                    <w:pStyle w:val="Compact"/>
                    <w:jc w:val="left"/>
                    <w:jc w:val="center"/>
                  </w:pPr>
                  <w:r>
                    <w:t xml:space="preserve">Note:</w:t>
                  </w:r>
                  <w:r>
                    <w:t xml:space="preserve"> </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t xml:space="preserve">N = 151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t xml:space="preserve">*Two participants reported 100 or more quit attempts. We removed these outliers prior to calculating the mean (M), standard deviation (SD), and range.</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7"/>
          <w:p/>
        </w:tc>
      </w:tr>
    </w:tbl>
    <w:p>
      <w:pPr>
        <w:pStyle w:val="BodyText"/>
      </w:pPr>
      <w:r>
        <w:rPr>
          <w:vertAlign w:val="subscript"/>
        </w:rPr>
        <w:t xml:space="preserve">Source:</w:t>
      </w:r>
      <w:r>
        <w:rPr>
          <w:vertAlign w:val="subscript"/>
        </w:rPr>
        <w:t xml:space="preserve"> </w:t>
      </w:r>
      <w:hyperlink r:id="rId38">
        <w:r>
          <w:rPr>
            <w:rStyle w:val="Hyperlink"/>
            <w:vertAlign w:val="subscript"/>
          </w:rPr>
          <w:t xml:space="preserve">Make All Tables for Main Manuscript</w:t>
        </w:r>
      </w:hyperlink>
    </w:p>
    <w:bookmarkEnd w:id="39"/>
    <w:bookmarkStart w:id="45" w:name="model-evaluation"/>
    <w:p>
      <w:pPr>
        <w:pStyle w:val="Heading2"/>
      </w:pPr>
      <w:r>
        <w:t xml:space="preserve">Model Evaluation</w:t>
      </w:r>
    </w:p>
    <w:p>
      <w:pPr>
        <w:pStyle w:val="FirstParagraph"/>
      </w:pPr>
      <w:r>
        <w:t xml:space="preserve">Panel A of</w:t>
      </w:r>
      <w:r>
        <w:t xml:space="preserve"> </w:t>
      </w:r>
      <w:hyperlink w:anchor="fig-pp">
        <w:r>
          <w:rPr>
            <w:rStyle w:val="Hyperlink"/>
          </w:rPr>
          <w:t xml:space="preserve">Figure 2</w:t>
        </w:r>
      </w:hyperlink>
      <w:r>
        <w:t xml:space="preserve"> </w:t>
      </w:r>
      <w:r>
        <w:t xml:space="preserve">presents the full posterior probability distributions for auROC for each model (no lag, 1-day, 3-day, 1-week, and 2-week lag). The median auROCs from these posterior distributions were 0.91 (no lag), 0.89 (1-day lag), 0.88 (3-day lag), 0.87 (1-week lag), and 0.85 (2-week lag). These values represent our best estimates for the magnitude of the auROC parameter for each model. The 95% Bayesian CI for the auROCs for these models were relatively narrow and did not contain 0.5: no lag [0.90-0.92], 1-day lag [0.88-0.90], 3-day lag [0.87-0.90], 1-week lag [0.85-0.88], 2-week lag [0.83-0.87].</w:t>
      </w:r>
    </w:p>
    <w:tbl>
      <w:tblPr>
        <w:tblStyle w:val="Table"/>
        <w:tblW w:type="pct" w:w="5000"/>
        <w:tblLayout w:type="fixed"/>
        <w:tblLook w:firstRow="0" w:lastRow="0" w:firstColumn="0" w:lastColumn="0" w:noHBand="0" w:noVBand="0" w:val="0000"/>
      </w:tblPr>
      <w:tblGrid>
        <w:gridCol w:w="7920"/>
      </w:tblGrid>
      <w:tr>
        <w:tc>
          <w:tcPr/>
          <w:bookmarkStart w:id="43" w:name="fig-pp"/>
          <w:p>
            <w:pPr>
              <w:pStyle w:val="Compact"/>
              <w:jc w:val="center"/>
            </w:pPr>
            <w:r>
              <w:drawing>
                <wp:inline>
                  <wp:extent cx="5334000" cy="2963333"/>
                  <wp:effectExtent b="0" l="0" r="0" t="0"/>
                  <wp:docPr descr="" title="" id="41" name="Picture"/>
                  <a:graphic>
                    <a:graphicData uri="http://schemas.openxmlformats.org/drawingml/2006/picture">
                      <pic:pic>
                        <pic:nvPicPr>
                          <pic:cNvPr descr="index_files/figure-docx/notebooks-mak_figures-fig-pp-output-2.png" id="42" name="Picture"/>
                          <pic:cNvPicPr>
                            <a:picLocks noChangeArrowheads="1" noChangeAspect="1"/>
                          </pic:cNvPicPr>
                        </pic:nvPicPr>
                        <pic:blipFill>
                          <a:blip r:embed="rId40"/>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Posterior probabilities for area under the receiver operating curve (auROC) by: A. model (No lag, 1-day, 3-day, 1-week, 2-week) and B. model and timing of lapse (first lapse, later lapse). auROC ranges from .5 (chance performance) to 1 (perfect performance). Median posterior probabilities over 12,000 posterior samples (4 chains × 3,000 samples) are depicted as points. Vertical lines represent the 95% Bayesian credible intervals for the posterior distribution.</w:t>
            </w:r>
          </w:p>
          <w:bookmarkEnd w:id="43"/>
        </w:tc>
      </w:tr>
    </w:tbl>
    <w:p>
      <w:pPr>
        <w:pStyle w:val="BodyText"/>
      </w:pPr>
      <w:r>
        <w:rPr>
          <w:vertAlign w:val="subscript"/>
        </w:rPr>
        <w:t xml:space="preserve">Source:</w:t>
      </w:r>
      <w:r>
        <w:rPr>
          <w:vertAlign w:val="subscript"/>
        </w:rPr>
        <w:t xml:space="preserve"> </w:t>
      </w:r>
      <w:hyperlink r:id="rId44">
        <w:r>
          <w:rPr>
            <w:rStyle w:val="Hyperlink"/>
            <w:vertAlign w:val="subscript"/>
          </w:rPr>
          <w:t xml:space="preserve">Make All Figures for Main Manuscript</w:t>
        </w:r>
      </w:hyperlink>
    </w:p>
    <w:bookmarkEnd w:id="45"/>
    <w:bookmarkStart w:id="48" w:name="model-comparisons"/>
    <w:p>
      <w:pPr>
        <w:pStyle w:val="Heading2"/>
      </w:pPr>
      <w:r>
        <w:t xml:space="preserve">Model Comparisons</w:t>
      </w:r>
    </w:p>
    <w:p>
      <w:pPr>
        <w:pStyle w:val="FirstParagraph"/>
      </w:pPr>
      <w:hyperlink w:anchor="tbl-model">
        <w:r>
          <w:rPr>
            <w:rStyle w:val="Hyperlink"/>
          </w:rPr>
          <w:t xml:space="preserve">Table 2</w:t>
        </w:r>
      </w:hyperlink>
      <w:r>
        <w:t xml:space="preserve"> </w:t>
      </w:r>
      <w:r>
        <w:t xml:space="preserve">presents the median difference in auROC, 95% Bayesian CI, and posterior probability that that the auROC difference was smaller than 0 for all baseline and adjacent lag contrasts. Median auROC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auROC ranging from 0.02-0.06, and the previous adjacent lagged model, with average drops in auROC ranging from 0.01-0.02.</w:t>
      </w:r>
    </w:p>
    <w:tbl>
      <w:tblPr>
        <w:tblStyle w:val="Table"/>
        <w:tblW w:type="pct" w:w="5000"/>
        <w:tblLayout w:type="fixed"/>
        <w:tblLook w:firstRow="0" w:lastRow="0" w:firstColumn="0" w:lastColumn="0" w:noHBand="0" w:noVBand="0" w:val="0000"/>
      </w:tblPr>
      <w:tblGrid>
        <w:gridCol w:w="7920"/>
      </w:tblGrid>
      <w:tr>
        <w:tc>
          <w:tcPr/>
          <w:bookmarkStart w:id="46" w:name="tbl-model"/>
          <w:p>
            <w:pPr>
              <w:jc w:val="center"/>
            </w:pPr>
            <w:pPr>
              <w:jc w:val="left"/>
              <w:spacing w:before="200"/>
              <w:pStyle w:val="ImageCaption"/>
            </w:pPr>
            <w:r>
              <w:t xml:space="preserve">Table 2: Median difference in auROC, 95% Bayesian credible interval (CI), and posterior probability that that the auROC difference was smaller than 0 for all baseline and adjacent lag contrasts.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Baseline Contrasts</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jc w:val="left"/>
                    <w:jc w:val="center"/>
                  </w:pPr>
                  <w:r>
                    <w:t xml:space="preserve">1-day vs. No lag</w:t>
                  </w:r>
                </w:p>
              </w:tc>
              <w:tc>
                <w:tcPr/>
                <w:p>
                  <w:pPr>
                    <w:pStyle w:val="Compact"/>
                    <w:jc w:val="left"/>
                    <w:jc w:val="center"/>
                  </w:pPr>
                  <w:r>
                    <w:t xml:space="preserve">-0.021</w:t>
                  </w:r>
                </w:p>
              </w:tc>
              <w:tc>
                <w:tcPr/>
                <w:p>
                  <w:pPr>
                    <w:pStyle w:val="Compact"/>
                    <w:jc w:val="left"/>
                    <w:jc w:val="center"/>
                  </w:pPr>
                  <w:r>
                    <w:t xml:space="preserve">[-0.025, -0.017]</w:t>
                  </w:r>
                </w:p>
              </w:tc>
              <w:tc>
                <w:tcPr/>
                <w:p>
                  <w:pPr>
                    <w:pStyle w:val="Compact"/>
                    <w:jc w:val="left"/>
                    <w:jc w:val="center"/>
                  </w:pPr>
                  <w:r>
                    <w:t xml:space="preserve">1</w:t>
                  </w:r>
                </w:p>
              </w:tc>
            </w:tr>
            <w:tr>
              <w:tc>
                <w:tcPr/>
                <w:p>
                  <w:pPr>
                    <w:pStyle w:val="Compact"/>
                    <w:jc w:val="left"/>
                    <w:jc w:val="center"/>
                  </w:pPr>
                  <w:r>
                    <w:t xml:space="preserve">3-day vs. No lag</w:t>
                  </w:r>
                </w:p>
              </w:tc>
              <w:tc>
                <w:tcPr/>
                <w:p>
                  <w:pPr>
                    <w:pStyle w:val="Compact"/>
                    <w:jc w:val="left"/>
                    <w:jc w:val="center"/>
                  </w:pPr>
                  <w:r>
                    <w:t xml:space="preserve">-0.03</w:t>
                  </w:r>
                </w:p>
              </w:tc>
              <w:tc>
                <w:tcPr/>
                <w:p>
                  <w:pPr>
                    <w:pStyle w:val="Compact"/>
                    <w:jc w:val="left"/>
                    <w:jc w:val="center"/>
                  </w:pPr>
                  <w:r>
                    <w:t xml:space="preserve">[-0.035, -0.025]</w:t>
                  </w:r>
                </w:p>
              </w:tc>
              <w:tc>
                <w:tcPr/>
                <w:p>
                  <w:pPr>
                    <w:pStyle w:val="Compact"/>
                    <w:jc w:val="left"/>
                    <w:jc w:val="center"/>
                  </w:pPr>
                  <w:r>
                    <w:t xml:space="preserve">1</w:t>
                  </w:r>
                </w:p>
              </w:tc>
            </w:tr>
            <w:tr>
              <w:tc>
                <w:tcPr/>
                <w:p>
                  <w:pPr>
                    <w:pStyle w:val="Compact"/>
                    <w:jc w:val="left"/>
                    <w:jc w:val="center"/>
                  </w:pPr>
                  <w:r>
                    <w:t xml:space="preserve">1-week vs. No lag</w:t>
                  </w:r>
                </w:p>
              </w:tc>
              <w:tc>
                <w:tcPr/>
                <w:p>
                  <w:pPr>
                    <w:pStyle w:val="Compact"/>
                    <w:jc w:val="left"/>
                    <w:jc w:val="center"/>
                  </w:pPr>
                  <w:r>
                    <w:t xml:space="preserve">-0.042</w:t>
                  </w:r>
                </w:p>
              </w:tc>
              <w:tc>
                <w:tcPr/>
                <w:p>
                  <w:pPr>
                    <w:pStyle w:val="Compact"/>
                    <w:jc w:val="left"/>
                    <w:jc w:val="center"/>
                  </w:pPr>
                  <w:r>
                    <w:t xml:space="preserve">[-0.048, -0.037]</w:t>
                  </w:r>
                </w:p>
              </w:tc>
              <w:tc>
                <w:tcPr/>
                <w:p>
                  <w:pPr>
                    <w:pStyle w:val="Compact"/>
                    <w:jc w:val="left"/>
                    <w:jc w:val="center"/>
                  </w:pPr>
                  <w:r>
                    <w:t xml:space="preserve">1</w:t>
                  </w:r>
                </w:p>
              </w:tc>
            </w:tr>
            <w:tr>
              <w:tc>
                <w:tcPr/>
                <w:p>
                  <w:pPr>
                    <w:pStyle w:val="Compact"/>
                    <w:jc w:val="left"/>
                    <w:jc w:val="center"/>
                  </w:pPr>
                  <w:r>
                    <w:t xml:space="preserve">2-week vs. No lag</w:t>
                  </w:r>
                </w:p>
              </w:tc>
              <w:tc>
                <w:tcPr/>
                <w:p>
                  <w:pPr>
                    <w:pStyle w:val="Compact"/>
                    <w:jc w:val="left"/>
                    <w:jc w:val="center"/>
                  </w:pPr>
                  <w:r>
                    <w:t xml:space="preserve">-0.062</w:t>
                  </w:r>
                </w:p>
              </w:tc>
              <w:tc>
                <w:tcPr/>
                <w:p>
                  <w:pPr>
                    <w:pStyle w:val="Compact"/>
                    <w:jc w:val="left"/>
                    <w:jc w:val="center"/>
                  </w:pPr>
                  <w:r>
                    <w:t xml:space="preserve">[-0.07, -0.056]</w:t>
                  </w:r>
                </w:p>
              </w:tc>
              <w:tc>
                <w:tcPr/>
                <w:p>
                  <w:pPr>
                    <w:pStyle w:val="Compact"/>
                    <w:jc w:val="left"/>
                    <w:jc w:val="center"/>
                  </w:pPr>
                  <w:r>
                    <w:t xml:space="preserve">1</w:t>
                  </w:r>
                </w:p>
              </w:tc>
            </w:tr>
            <w:tr>
              <w:tc>
                <w:tcPr/>
                <w:p>
                  <w:pPr>
                    <w:pStyle w:val="Compact"/>
                    <w:jc w:val="left"/>
                    <w:jc w:val="center"/>
                  </w:pPr>
                  <w:r>
                    <w:t xml:space="preserve">Adjacent Contrasts</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jc w:val="left"/>
                    <w:jc w:val="center"/>
                  </w:pPr>
                  <w:r>
                    <w:t xml:space="preserve">3-day vs. 1-day</w:t>
                  </w:r>
                </w:p>
              </w:tc>
              <w:tc>
                <w:tcPr/>
                <w:p>
                  <w:pPr>
                    <w:pStyle w:val="Compact"/>
                    <w:jc w:val="left"/>
                    <w:jc w:val="center"/>
                  </w:pPr>
                  <w:r>
                    <w:t xml:space="preserve">-0.009</w:t>
                  </w:r>
                </w:p>
              </w:tc>
              <w:tc>
                <w:tcPr/>
                <w:p>
                  <w:pPr>
                    <w:pStyle w:val="Compact"/>
                    <w:jc w:val="left"/>
                    <w:jc w:val="center"/>
                  </w:pPr>
                  <w:r>
                    <w:t xml:space="preserve">[-0.013, -0.005]</w:t>
                  </w:r>
                </w:p>
              </w:tc>
              <w:tc>
                <w:tcPr/>
                <w:p>
                  <w:pPr>
                    <w:pStyle w:val="Compact"/>
                    <w:jc w:val="left"/>
                    <w:jc w:val="center"/>
                  </w:pPr>
                  <w:r>
                    <w:t xml:space="preserve">1</w:t>
                  </w:r>
                </w:p>
              </w:tc>
            </w:tr>
            <w:tr>
              <w:tc>
                <w:tcPr/>
                <w:p>
                  <w:pPr>
                    <w:pStyle w:val="Compact"/>
                    <w:jc w:val="left"/>
                    <w:jc w:val="center"/>
                  </w:pPr>
                  <w:r>
                    <w:t xml:space="preserve">1-week vs. 3-day</w:t>
                  </w:r>
                </w:p>
              </w:tc>
              <w:tc>
                <w:tcPr/>
                <w:p>
                  <w:pPr>
                    <w:pStyle w:val="Compact"/>
                    <w:jc w:val="left"/>
                    <w:jc w:val="center"/>
                  </w:pPr>
                  <w:r>
                    <w:t xml:space="preserve">-0.012</w:t>
                  </w:r>
                </w:p>
              </w:tc>
              <w:tc>
                <w:tcPr/>
                <w:p>
                  <w:pPr>
                    <w:pStyle w:val="Compact"/>
                    <w:jc w:val="left"/>
                    <w:jc w:val="center"/>
                  </w:pPr>
                  <w:r>
                    <w:t xml:space="preserve">[-0.017, -0.008]</w:t>
                  </w:r>
                </w:p>
              </w:tc>
              <w:tc>
                <w:tcPr/>
                <w:p>
                  <w:pPr>
                    <w:pStyle w:val="Compact"/>
                    <w:jc w:val="left"/>
                    <w:jc w:val="center"/>
                  </w:pPr>
                  <w:r>
                    <w:t xml:space="preserve">1</w:t>
                  </w:r>
                </w:p>
              </w:tc>
            </w:tr>
            <w:tr>
              <w:tc>
                <w:tcPr/>
                <w:p>
                  <w:pPr>
                    <w:pStyle w:val="Compact"/>
                    <w:jc w:val="left"/>
                    <w:jc w:val="center"/>
                  </w:pPr>
                  <w:r>
                    <w:t xml:space="preserve">2-week vs. 1-week</w:t>
                  </w:r>
                </w:p>
              </w:tc>
              <w:tc>
                <w:tcPr/>
                <w:p>
                  <w:pPr>
                    <w:pStyle w:val="Compact"/>
                    <w:jc w:val="left"/>
                    <w:jc w:val="center"/>
                  </w:pPr>
                  <w:r>
                    <w:t xml:space="preserve">-0.02</w:t>
                  </w:r>
                </w:p>
              </w:tc>
              <w:tc>
                <w:tcPr/>
                <w:p>
                  <w:pPr>
                    <w:pStyle w:val="Compact"/>
                    <w:jc w:val="left"/>
                    <w:jc w:val="center"/>
                  </w:pPr>
                  <w:r>
                    <w:t xml:space="preserve">[-0.026, -0.015]</w:t>
                  </w:r>
                </w:p>
              </w:tc>
              <w:tc>
                <w:tcPr/>
                <w:p>
                  <w:pPr>
                    <w:pStyle w:val="Compact"/>
                    <w:jc w:val="left"/>
                    <w:jc w:val="center"/>
                  </w:pPr>
                  <w:r>
                    <w:t xml:space="preserve">1</w:t>
                  </w:r>
                </w:p>
              </w:tc>
            </w:tr>
            <w:tr>
              <w:tc>
                <w:tcPr/>
                <w:p>
                  <w:pPr>
                    <w:pStyle w:val="Compact"/>
                    <w:jc w:val="left"/>
                    <w:jc w:val="center"/>
                  </w:pPr>
                  <w:r>
                    <w:t xml:space="preserve"> </w:t>
                  </w:r>
                  <w:r>
                    <w:t xml:space="preserve">Median auROC differences less than 0 indicate the more lagged model, on average, performed worse than the more immediate model (e.g., 1-day lag - no lag, 3-day lag - 1-day lag). Bayesian CI represents the range of values where there is a 95% probability that the true auROC difference lies within that range. Probability indicates the posterior probability that this difference is smaller than 0 (i.e., the models are performing differently).</w:t>
                  </w:r>
                </w:p>
              </w:tc>
              <w:tc>
                <w:tcPr/>
                <w:p>
                  <w:pPr>
                    <w:pStyle w:val="Compact"/>
                  </w:pPr>
                </w:p>
              </w:tc>
              <w:tc>
                <w:tcPr/>
                <w:p>
                  <w:pPr>
                    <w:pStyle w:val="Compact"/>
                  </w:pPr>
                </w:p>
              </w:tc>
              <w:tc>
                <w:tcPr/>
                <w:p>
                  <w:pPr>
                    <w:pStyle w:val="Compact"/>
                  </w:pPr>
                </w:p>
              </w:tc>
            </w:tr>
          </w:tbl>
          <w:bookmarkEnd w:id="46"/>
          <w:p/>
        </w:tc>
      </w:tr>
    </w:tbl>
    <w:p>
      <w:pPr>
        <w:pStyle w:val="BodyText"/>
      </w:pPr>
      <w:r>
        <w:rPr>
          <w:vertAlign w:val="subscript"/>
        </w:rPr>
        <w:t xml:space="preserve">Source:</w:t>
      </w:r>
      <w:r>
        <w:rPr>
          <w:vertAlign w:val="subscript"/>
        </w:rPr>
        <w:t xml:space="preserve"> </w:t>
      </w:r>
      <w:hyperlink r:id="rId47">
        <w:r>
          <w:rPr>
            <w:rStyle w:val="Hyperlink"/>
            <w:vertAlign w:val="subscript"/>
          </w:rPr>
          <w:t xml:space="preserve">Make All Tables for Main Manuscript</w:t>
        </w:r>
      </w:hyperlink>
    </w:p>
    <w:bookmarkEnd w:id="48"/>
    <w:bookmarkStart w:id="51" w:name="fairness-analyses-1"/>
    <w:p>
      <w:pPr>
        <w:pStyle w:val="Heading2"/>
      </w:pPr>
      <w:r>
        <w:t xml:space="preserve">Fairness Analyses</w:t>
      </w:r>
    </w:p>
    <w:p>
      <w:pPr>
        <w:pStyle w:val="FirstParagraph"/>
      </w:pPr>
      <w:hyperlink w:anchor="tbl-fairness">
        <w:r>
          <w:rPr>
            <w:rStyle w:val="Hyperlink"/>
          </w:rPr>
          <w:t xml:space="preserve">Table 3</w:t>
        </w:r>
      </w:hyperlink>
      <w:r>
        <w:t xml:space="preserve"> </w:t>
      </w:r>
      <w:r>
        <w:t xml:space="preserve">presents the median difference in auROC, 95% Bayesian CI, and posterior probability that the auROC difference was smaller than 0 for the three fairness contrasts: race/ethnicity (non-White and/or Hispanic;</w:t>
      </w:r>
      <w:r>
        <w:t xml:space="preserve"> </w:t>
      </w:r>
      <w:r>
        <w:rPr>
          <w:i/>
          <w:iCs/>
        </w:rPr>
        <w:t xml:space="preserve">N</w:t>
      </w:r>
      <w:r>
        <w:t xml:space="preserve"> </w:t>
      </w:r>
      <w:r>
        <w:t xml:space="preserve">= 20 vs. Non-Hispanic White;</w:t>
      </w:r>
      <w:r>
        <w:t xml:space="preserve"> </w:t>
      </w:r>
      <w:r>
        <w:rPr>
          <w:i/>
          <w:iCs/>
        </w:rPr>
        <w:t xml:space="preserve">N</w:t>
      </w:r>
      <w:r>
        <w:t xml:space="preserve"> </w:t>
      </w:r>
      <w:r>
        <w:t xml:space="preserve">= 131), sex at birth (female;</w:t>
      </w:r>
      <w:r>
        <w:t xml:space="preserve"> </w:t>
      </w:r>
      <w:r>
        <w:rPr>
          <w:i/>
          <w:iCs/>
        </w:rPr>
        <w:t xml:space="preserve">N</w:t>
      </w:r>
      <w:r>
        <w:t xml:space="preserve"> </w:t>
      </w:r>
      <w:r>
        <w:t xml:space="preserve">= 74 vs. male;</w:t>
      </w:r>
      <w:r>
        <w:t xml:space="preserve"> </w:t>
      </w:r>
      <w:r>
        <w:rPr>
          <w:i/>
          <w:iCs/>
        </w:rPr>
        <w:t xml:space="preserve">N</w:t>
      </w:r>
      <w:r>
        <w:t xml:space="preserve"> </w:t>
      </w:r>
      <w:r>
        <w:t xml:space="preserve">= 77), and income (below poverty line;</w:t>
      </w:r>
      <w:r>
        <w:t xml:space="preserve"> </w:t>
      </w:r>
      <w:r>
        <w:rPr>
          <w:i/>
          <w:iCs/>
        </w:rPr>
        <w:t xml:space="preserve">N</w:t>
      </w:r>
      <w:r>
        <w:t xml:space="preserve"> </w:t>
      </w:r>
      <w:r>
        <w:t xml:space="preserve">= 49 vs. above poverty line;</w:t>
      </w:r>
      <w:r>
        <w:t xml:space="preserve"> </w:t>
      </w:r>
      <w:r>
        <w:rPr>
          <w:i/>
          <w:iCs/>
        </w:rPr>
        <w:t xml:space="preserve">N</w:t>
      </w:r>
      <w:r>
        <w:t xml:space="preserve"> </w:t>
      </w:r>
      <w:r>
        <w:t xml:space="preserve">= 102). Median auROC differences less than 0 indicate the model, on average, performed worse for the non-advantaged group (female, non-White and/or Hispanic, below poverty line) compared to the advantaged group (male, non-Hispanic White, and above poverty line). In</w:t>
      </w:r>
      <w:r>
        <w:t xml:space="preserve"> </w:t>
      </w:r>
      <w:hyperlink w:anchor="tbl-fairness">
        <w:r>
          <w:rPr>
            <w:rStyle w:val="Hyperlink"/>
          </w:rPr>
          <w:t xml:space="preserve">Table 3</w:t>
        </w:r>
      </w:hyperlink>
      <w:r>
        <w:t xml:space="preserve"> </w:t>
      </w:r>
      <w:r>
        <w:t xml:space="preserve">we present fairness analyses for our baseline model (no lag) and for our longest lagged model (2-week lag), as this is likely the most clinically useful lagged model for providing advanced warning of lapse risk. Fairness analyses for all five models are available in the supplement.</w:t>
      </w:r>
    </w:p>
    <w:p>
      <w:pPr>
        <w:pStyle w:val="BodyText"/>
      </w:pPr>
      <w:r>
        <w:t xml:space="preserve">There was strong evidence (probabilities &gt; .84) that our models performed worse for the non-advantaged groups compared to the advantaged groups. On average, across all five models, there was a median decrease in auROC of 0.13 (range 0.13-0.17) for participants who were non-White and/or Hispanic compared to participants who were non-Hispanic White. On average, across all five models, there was a median decrease in auROC of 0.05 (range 0.04-0.10) for female participants compared to male participants. On average, across all five models, there was a median decrease in auROC of 0.02 (range 0.01-0.04) for participants below the federal poverty line compared to participants above the federal poverty line.</w:t>
      </w:r>
    </w:p>
    <w:p>
      <w:pPr>
        <w:pStyle w:val="BodyText"/>
      </w:pPr>
      <w:r>
        <w:t xml:space="preserve">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tbl>
      <w:tblPr>
        <w:tblStyle w:val="Table"/>
        <w:tblW w:type="pct" w:w="5000"/>
        <w:tblLayout w:type="fixed"/>
        <w:tblLook w:firstRow="0" w:lastRow="0" w:firstColumn="0" w:lastColumn="0" w:noHBand="0" w:noVBand="0" w:val="0000"/>
      </w:tblPr>
      <w:tblGrid>
        <w:gridCol w:w="7920"/>
      </w:tblGrid>
      <w:tr>
        <w:tc>
          <w:tcPr/>
          <w:bookmarkStart w:id="49" w:name="tbl-fairness"/>
          <w:p>
            <w:pPr>
              <w:jc w:val="center"/>
            </w:pPr>
            <w:pPr>
              <w:jc w:val="left"/>
              <w:spacing w:before="200"/>
              <w:pStyle w:val="ImageCaption"/>
            </w:pPr>
            <w:r>
              <w:t xml:space="preserve">Table 3: Median difference in auROC, 95% Bayesian credible interval (CI), and posterior probability that that the auROC difference was smaller than 0 for fairness contrasts for the no lag and 2-week lagged models.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Fairness Contrasts (No Lag)</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jc w:val="left"/>
                    <w:jc w:val="center"/>
                  </w:pPr>
                  <w:r>
                    <w:t xml:space="preserve">female vs. male</w:t>
                  </w:r>
                </w:p>
              </w:tc>
              <w:tc>
                <w:tcPr/>
                <w:p>
                  <w:pPr>
                    <w:pStyle w:val="Compact"/>
                    <w:jc w:val="left"/>
                    <w:jc w:val="center"/>
                  </w:pPr>
                  <w:r>
                    <w:t xml:space="preserve">-0.043</w:t>
                  </w:r>
                </w:p>
              </w:tc>
              <w:tc>
                <w:tcPr/>
                <w:p>
                  <w:pPr>
                    <w:pStyle w:val="Compact"/>
                    <w:jc w:val="left"/>
                    <w:jc w:val="center"/>
                  </w:pPr>
                  <w:r>
                    <w:t xml:space="preserve">[-0.059, -0.028]</w:t>
                  </w:r>
                </w:p>
              </w:tc>
              <w:tc>
                <w:tcPr/>
                <w:p>
                  <w:pPr>
                    <w:pStyle w:val="Compact"/>
                    <w:jc w:val="left"/>
                    <w:jc w:val="center"/>
                  </w:pPr>
                  <w:r>
                    <w:t xml:space="preserve">1</w:t>
                  </w:r>
                </w:p>
              </w:tc>
            </w:tr>
            <w:tr>
              <w:tc>
                <w:tcPr/>
                <w:p>
                  <w:pPr>
                    <w:pStyle w:val="Compact"/>
                    <w:jc w:val="left"/>
                    <w:jc w:val="center"/>
                  </w:pPr>
                  <w:r>
                    <w:t xml:space="preserve">non-White and/or Hispanic vs. non-Hispanic White</w:t>
                  </w:r>
                </w:p>
              </w:tc>
              <w:tc>
                <w:tcPr/>
                <w:p>
                  <w:pPr>
                    <w:pStyle w:val="Compact"/>
                    <w:jc w:val="left"/>
                    <w:jc w:val="center"/>
                  </w:pPr>
                  <w:r>
                    <w:t xml:space="preserve">-0.131</w:t>
                  </w:r>
                </w:p>
              </w:tc>
              <w:tc>
                <w:tcPr/>
                <w:p>
                  <w:pPr>
                    <w:pStyle w:val="Compact"/>
                    <w:jc w:val="left"/>
                    <w:jc w:val="center"/>
                  </w:pPr>
                  <w:r>
                    <w:t xml:space="preserve">[-0.222, -0.057]</w:t>
                  </w:r>
                </w:p>
              </w:tc>
              <w:tc>
                <w:tcPr/>
                <w:p>
                  <w:pPr>
                    <w:pStyle w:val="Compact"/>
                    <w:jc w:val="left"/>
                    <w:jc w:val="center"/>
                  </w:pPr>
                  <w:r>
                    <w:t xml:space="preserve">0.999</w:t>
                  </w:r>
                </w:p>
              </w:tc>
            </w:tr>
            <w:tr>
              <w:tc>
                <w:tcPr/>
                <w:p>
                  <w:pPr>
                    <w:pStyle w:val="Compact"/>
                    <w:jc w:val="left"/>
                    <w:jc w:val="center"/>
                  </w:pPr>
                  <w:r>
                    <w:t xml:space="preserve">below poverty line vs. above poverty line</w:t>
                  </w:r>
                </w:p>
              </w:tc>
              <w:tc>
                <w:tcPr/>
                <w:p>
                  <w:pPr>
                    <w:pStyle w:val="Compact"/>
                    <w:jc w:val="left"/>
                    <w:jc w:val="center"/>
                  </w:pPr>
                  <w:r>
                    <w:t xml:space="preserve">-0.012</w:t>
                  </w:r>
                </w:p>
              </w:tc>
              <w:tc>
                <w:tcPr/>
                <w:p>
                  <w:pPr>
                    <w:pStyle w:val="Compact"/>
                    <w:jc w:val="left"/>
                    <w:jc w:val="center"/>
                  </w:pPr>
                  <w:r>
                    <w:t xml:space="preserve">[-0.033, 0.007]</w:t>
                  </w:r>
                </w:p>
              </w:tc>
              <w:tc>
                <w:tcPr/>
                <w:p>
                  <w:pPr>
                    <w:pStyle w:val="Compact"/>
                    <w:jc w:val="left"/>
                    <w:jc w:val="center"/>
                  </w:pPr>
                  <w:r>
                    <w:t xml:space="preserve">0.848</w:t>
                  </w:r>
                </w:p>
              </w:tc>
            </w:tr>
            <w:tr>
              <w:tc>
                <w:tcPr/>
                <w:p>
                  <w:pPr>
                    <w:pStyle w:val="Compact"/>
                    <w:jc w:val="left"/>
                    <w:jc w:val="center"/>
                  </w:pPr>
                  <w:r>
                    <w:t xml:space="preserve">Fairness Contrasts (2-week Lag)</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jc w:val="left"/>
                    <w:jc w:val="center"/>
                  </w:pPr>
                  <w:r>
                    <w:t xml:space="preserve">female vs. male</w:t>
                  </w:r>
                </w:p>
              </w:tc>
              <w:tc>
                <w:tcPr/>
                <w:p>
                  <w:pPr>
                    <w:pStyle w:val="Compact"/>
                    <w:jc w:val="left"/>
                    <w:jc w:val="center"/>
                  </w:pPr>
                  <w:r>
                    <w:t xml:space="preserve">-0.098</w:t>
                  </w:r>
                </w:p>
              </w:tc>
              <w:tc>
                <w:tcPr/>
                <w:p>
                  <w:pPr>
                    <w:pStyle w:val="Compact"/>
                    <w:jc w:val="left"/>
                    <w:jc w:val="center"/>
                  </w:pPr>
                  <w:r>
                    <w:t xml:space="preserve">[-0.125, -0.073]</w:t>
                  </w:r>
                </w:p>
              </w:tc>
              <w:tc>
                <w:tcPr/>
                <w:p>
                  <w:pPr>
                    <w:pStyle w:val="Compact"/>
                    <w:jc w:val="left"/>
                    <w:jc w:val="center"/>
                  </w:pPr>
                  <w:r>
                    <w:t xml:space="preserve">1</w:t>
                  </w:r>
                </w:p>
              </w:tc>
            </w:tr>
            <w:tr>
              <w:tc>
                <w:tcPr/>
                <w:p>
                  <w:pPr>
                    <w:pStyle w:val="Compact"/>
                    <w:jc w:val="left"/>
                    <w:jc w:val="center"/>
                  </w:pPr>
                  <w:r>
                    <w:t xml:space="preserve">non-White and/or Hispanic vs. non-Hispanic White</w:t>
                  </w:r>
                </w:p>
              </w:tc>
              <w:tc>
                <w:tcPr/>
                <w:p>
                  <w:pPr>
                    <w:pStyle w:val="Compact"/>
                    <w:jc w:val="left"/>
                    <w:jc w:val="center"/>
                  </w:pPr>
                  <w:r>
                    <w:t xml:space="preserve">-0.13</w:t>
                  </w:r>
                </w:p>
              </w:tc>
              <w:tc>
                <w:tcPr/>
                <w:p>
                  <w:pPr>
                    <w:pStyle w:val="Compact"/>
                    <w:jc w:val="left"/>
                    <w:jc w:val="center"/>
                  </w:pPr>
                  <w:r>
                    <w:t xml:space="preserve">[-0.208, -0.058]</w:t>
                  </w:r>
                </w:p>
              </w:tc>
              <w:tc>
                <w:tcPr/>
                <w:p>
                  <w:pPr>
                    <w:pStyle w:val="Compact"/>
                    <w:jc w:val="left"/>
                    <w:jc w:val="center"/>
                  </w:pPr>
                  <w:r>
                    <w:t xml:space="preserve">0.998</w:t>
                  </w:r>
                </w:p>
              </w:tc>
            </w:tr>
            <w:tr>
              <w:tc>
                <w:tcPr/>
                <w:p>
                  <w:pPr>
                    <w:pStyle w:val="Compact"/>
                    <w:jc w:val="left"/>
                    <w:jc w:val="center"/>
                  </w:pPr>
                  <w:r>
                    <w:t xml:space="preserve">below poverty line vs. above poverty line</w:t>
                  </w:r>
                </w:p>
              </w:tc>
              <w:tc>
                <w:tcPr/>
                <w:p>
                  <w:pPr>
                    <w:pStyle w:val="Compact"/>
                    <w:jc w:val="left"/>
                    <w:jc w:val="center"/>
                  </w:pPr>
                  <w:r>
                    <w:t xml:space="preserve">-0.039</w:t>
                  </w:r>
                </w:p>
              </w:tc>
              <w:tc>
                <w:tcPr/>
                <w:p>
                  <w:pPr>
                    <w:pStyle w:val="Compact"/>
                    <w:jc w:val="left"/>
                    <w:jc w:val="center"/>
                  </w:pPr>
                  <w:r>
                    <w:t xml:space="preserve">[-0.073, -0.008]</w:t>
                  </w:r>
                </w:p>
              </w:tc>
              <w:tc>
                <w:tcPr/>
                <w:p>
                  <w:pPr>
                    <w:pStyle w:val="Compact"/>
                    <w:jc w:val="left"/>
                    <w:jc w:val="center"/>
                  </w:pPr>
                  <w:r>
                    <w:t xml:space="preserve">0.98</w:t>
                  </w:r>
                </w:p>
              </w:tc>
            </w:tr>
            <w:tr>
              <w:tc>
                <w:tcPr/>
                <w:p>
                  <w:pPr>
                    <w:pStyle w:val="Compact"/>
                    <w:jc w:val="left"/>
                    <w:jc w:val="center"/>
                  </w:pPr>
                  <w:r>
                    <w:t xml:space="preserve"> </w:t>
                  </w:r>
                  <w:r>
                    <w:t xml:space="preserve">Median auROC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auROC difference lies within that range. Probability indicates the posterior probability that this difference is smaller than 0 (i.e., the models are performing differently for fairness subgroups).</w:t>
                  </w:r>
                </w:p>
              </w:tc>
              <w:tc>
                <w:tcPr/>
                <w:p>
                  <w:pPr>
                    <w:pStyle w:val="Compact"/>
                  </w:pPr>
                </w:p>
              </w:tc>
              <w:tc>
                <w:tcPr/>
                <w:p>
                  <w:pPr>
                    <w:pStyle w:val="Compact"/>
                  </w:pPr>
                </w:p>
              </w:tc>
              <w:tc>
                <w:tcPr/>
                <w:p>
                  <w:pPr>
                    <w:pStyle w:val="Compact"/>
                  </w:pPr>
                </w:p>
              </w:tc>
            </w:tr>
          </w:tbl>
          <w:bookmarkEnd w:id="49"/>
          <w:p/>
        </w:tc>
      </w:tr>
    </w:tbl>
    <w:p>
      <w:pPr>
        <w:pStyle w:val="BodyText"/>
      </w:pPr>
      <w:r>
        <w:rPr>
          <w:vertAlign w:val="subscript"/>
        </w:rPr>
        <w:t xml:space="preserve">Source:</w:t>
      </w:r>
      <w:r>
        <w:rPr>
          <w:vertAlign w:val="subscript"/>
        </w:rPr>
        <w:t xml:space="preserve"> </w:t>
      </w:r>
      <w:hyperlink r:id="rId50">
        <w:r>
          <w:rPr>
            <w:rStyle w:val="Hyperlink"/>
            <w:vertAlign w:val="subscript"/>
          </w:rPr>
          <w:t xml:space="preserve">Make All Tables for Main Manuscript</w:t>
        </w:r>
      </w:hyperlink>
    </w:p>
    <w:bookmarkEnd w:id="51"/>
    <w:bookmarkStart w:id="57" w:name="model-calibration-1"/>
    <w:p>
      <w:pPr>
        <w:pStyle w:val="Heading2"/>
      </w:pPr>
      <w:r>
        <w:t xml:space="preserve">Model Calibration</w:t>
      </w:r>
    </w:p>
    <w:p>
      <w:pPr>
        <w:pStyle w:val="FirstParagraph"/>
      </w:pPr>
      <w:r>
        <w:t xml:space="preserve">The raw probabilities produced by our final models were not well calibrated. Consequently, we used Platt scaling to improve calibration. Platt scaling showed excellent improvement to the no lag model with a Brier score of .043. Calibration also improved probability accuracy for the 2-week lagged model with a Brier score of .063. For comparison, raw probability scores yielded Brier scores of .071 and .077 for the no lag and 2-week lagged models, respectively.</w:t>
      </w:r>
    </w:p>
    <w:p>
      <w:pPr>
        <w:pStyle w:val="BodyText"/>
      </w:pPr>
      <w:hyperlink w:anchor="fig-cal">
        <w:r>
          <w:rPr>
            <w:rStyle w:val="Hyperlink"/>
          </w:rPr>
          <w:t xml:space="preserve">Figure 3</w:t>
        </w:r>
      </w:hyperlink>
      <w:r>
        <w:t xml:space="preserve"> </w:t>
      </w:r>
      <w:r>
        <w:t xml:space="preserve">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and Brier scores for all 5 models are available in the supplement.</w:t>
      </w:r>
    </w:p>
    <w:tbl>
      <w:tblPr>
        <w:tblStyle w:val="Table"/>
        <w:tblW w:type="pct" w:w="5000"/>
        <w:tblLayout w:type="fixed"/>
        <w:tblLook w:firstRow="0" w:lastRow="0" w:firstColumn="0" w:lastColumn="0" w:noHBand="0" w:noVBand="0" w:val="0000"/>
      </w:tblPr>
      <w:tblGrid>
        <w:gridCol w:w="7920"/>
      </w:tblGrid>
      <w:tr>
        <w:tc>
          <w:tcPr/>
          <w:bookmarkStart w:id="55" w:name="fig-cal"/>
          <w:p>
            <w:pPr>
              <w:pStyle w:val="Compact"/>
              <w:jc w:val="center"/>
            </w:pPr>
            <w:r>
              <w:drawing>
                <wp:inline>
                  <wp:extent cx="5334000" cy="5334000"/>
                  <wp:effectExtent b="0" l="0" r="0" t="0"/>
                  <wp:docPr descr="" title="" id="53" name="Picture"/>
                  <a:graphic>
                    <a:graphicData uri="http://schemas.openxmlformats.org/drawingml/2006/picture">
                      <pic:pic>
                        <pic:nvPicPr>
                          <pic:cNvPr descr="index_files/figure-docx/notebooks-mak_figures-fig-cal-output-1.png" id="54" name="Picture"/>
                          <pic:cNvPicPr>
                            <a:picLocks noChangeArrowheads="1" noChangeAspect="1"/>
                          </pic:cNvPicPr>
                        </pic:nvPicPr>
                        <pic:blipFill>
                          <a:blip r:embed="rId5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Calibration plots of raw and calibrated lapse probabilities for the baseline (no lag) and 2-week lagged models.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bookmarkEnd w:id="55"/>
        </w:tc>
      </w:tr>
    </w:tbl>
    <w:p>
      <w:pPr>
        <w:pStyle w:val="BodyText"/>
      </w:pPr>
      <w:r>
        <w:rPr>
          <w:vertAlign w:val="subscript"/>
        </w:rPr>
        <w:t xml:space="preserve">Source:</w:t>
      </w:r>
      <w:r>
        <w:rPr>
          <w:vertAlign w:val="subscript"/>
        </w:rPr>
        <w:t xml:space="preserve"> </w:t>
      </w:r>
      <w:hyperlink r:id="rId56">
        <w:r>
          <w:rPr>
            <w:rStyle w:val="Hyperlink"/>
            <w:vertAlign w:val="subscript"/>
          </w:rPr>
          <w:t xml:space="preserve">Make All Figures for Main Manuscript</w:t>
        </w:r>
      </w:hyperlink>
    </w:p>
    <w:bookmarkEnd w:id="57"/>
    <w:bookmarkStart w:id="63" w:name="feature-importance"/>
    <w:p>
      <w:pPr>
        <w:pStyle w:val="Heading2"/>
      </w:pPr>
      <w:r>
        <w:t xml:space="preserve">Feature Importance</w:t>
      </w:r>
    </w:p>
    <w:p>
      <w:pPr>
        <w:pStyle w:val="FirstParagraph"/>
      </w:pPr>
      <w:r>
        <w:t xml:space="preserve">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 A plot of global feature importance as a function of lag time is available in the supplement. These findings were also consistent across demographic subgroups (plots of global feature importance by demographic group are available for the no lag and 2-week lagged models in the supplement).</w:t>
      </w:r>
    </w:p>
    <w:p>
      <w:pPr>
        <w:pStyle w:val="BodyText"/>
      </w:pPr>
      <w:r>
        <w:t xml:space="preserve">Local importance describes how important a feature category was for individual predictions. In the immediate model, past/future self-reported stressful events emerged as the most important feature category on most days, despite having a relatively small influence on predictions at the global level. Future efficacy was the second most important feature category, followed by past use. In the 2-week lagged model, past use remained the most important feature category (i.e., it produced the highest Shapley value for the greatest number of individuals on the most days). Past/future risky situations also remained among the top feature categories. However, valence/arousal additionally emerged as a competing top feature category (a pattern not observed in the immediate model).</w:t>
      </w:r>
      <w:r>
        <w:t xml:space="preserve"> </w:t>
      </w:r>
      <w:hyperlink w:anchor="fig-4">
        <w:r>
          <w:rPr>
            <w:rStyle w:val="Hyperlink"/>
          </w:rPr>
          <w:t xml:space="preserve">Figure 4</w:t>
        </w:r>
      </w:hyperlink>
      <w:r>
        <w:t xml:space="preserve"> </w:t>
      </w:r>
      <w:r>
        <w:t xml:space="preserve">shows the relative global and local ranking of feature categories for the no lag and 2-week lagged models.</w:t>
      </w:r>
    </w:p>
    <w:tbl>
      <w:tblPr>
        <w:tblStyle w:val="Table"/>
        <w:tblW w:type="pct" w:w="5000"/>
        <w:tblLayout w:type="fixed"/>
        <w:tblLook w:firstRow="0" w:lastRow="0" w:firstColumn="0" w:lastColumn="0" w:noHBand="0" w:noVBand="0" w:val="0000"/>
      </w:tblPr>
      <w:tblGrid>
        <w:gridCol w:w="7920"/>
      </w:tblGrid>
      <w:tr>
        <w:tc>
          <w:tcPr/>
          <w:bookmarkStart w:id="61" w:name="fig-4"/>
          <w:p>
            <w:pPr>
              <w:pStyle w:val="Compact"/>
              <w:jc w:val="center"/>
            </w:pPr>
            <w:r>
              <w:drawing>
                <wp:inline>
                  <wp:extent cx="5334000" cy="2667000"/>
                  <wp:effectExtent b="0" l="0" r="0" t="0"/>
                  <wp:docPr descr="" title="" id="59" name="Picture"/>
                  <a:graphic>
                    <a:graphicData uri="http://schemas.openxmlformats.org/drawingml/2006/picture">
                      <pic:pic>
                        <pic:nvPicPr>
                          <pic:cNvPr descr="index_files/figure-docx/notebooks-mak_figures-fig-4-output-1.png" id="60" name="Picture"/>
                          <pic:cNvPicPr>
                            <a:picLocks noChangeArrowheads="1" noChangeAspect="1"/>
                          </pic:cNvPicPr>
                        </pic:nvPicPr>
                        <pic:blipFill>
                          <a:blip r:embed="rId5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Global (mean |Shapley value|) and local (proportion of days as top feature) feature importance for feature categories for the no lag and 2-week lagged models. Feature categories are ordered by their aggregate global importance. The importance of each feature category for each model is displayed separately by color.</w:t>
            </w:r>
          </w:p>
          <w:bookmarkEnd w:id="61"/>
        </w:tc>
      </w:tr>
    </w:tbl>
    <w:p>
      <w:pPr>
        <w:pStyle w:val="BodyText"/>
      </w:pPr>
      <w:r>
        <w:rPr>
          <w:vertAlign w:val="subscript"/>
        </w:rPr>
        <w:t xml:space="preserve">Source:</w:t>
      </w:r>
      <w:r>
        <w:rPr>
          <w:vertAlign w:val="subscript"/>
        </w:rPr>
        <w:t xml:space="preserve"> </w:t>
      </w:r>
      <w:hyperlink r:id="rId62">
        <w:r>
          <w:rPr>
            <w:rStyle w:val="Hyperlink"/>
            <w:vertAlign w:val="subscript"/>
          </w:rPr>
          <w:t xml:space="preserve">Make All Figures for Main Manuscript</w:t>
        </w:r>
      </w:hyperlink>
    </w:p>
    <w:bookmarkEnd w:id="63"/>
    <w:bookmarkEnd w:id="64"/>
    <w:bookmarkStart w:id="72" w:name="discussion"/>
    <w:p>
      <w:pPr>
        <w:pStyle w:val="Heading1"/>
      </w:pPr>
      <w:r>
        <w:t xml:space="preserve">Discussion</w:t>
      </w:r>
    </w:p>
    <w:bookmarkStart w:id="65" w:name="model-evaluation-and-comparisons"/>
    <w:p>
      <w:pPr>
        <w:pStyle w:val="Heading2"/>
      </w:pPr>
      <w:r>
        <w:t xml:space="preserve">Model Evaluation and Comparisons</w:t>
      </w:r>
    </w:p>
    <w:p>
      <w:pPr>
        <w:pStyle w:val="FirstParagraph"/>
      </w:pPr>
      <w:r>
        <w:t xml:space="preserve">All the models that we evaluated performed exceptionally well. The no lag model, which predicts the probability of an immediate (i.e., within 24 hours) lapse back to alcohol use, had a .91 median posterior probability for auROC. Our 2-week lagged model, which made the most distal predictions, had a .85 median posterior probability for auROC, suggesting lagged models can be used to shift a 24-hour prediction window meaningfully into the future.</w:t>
      </w:r>
    </w:p>
    <w:p>
      <w:pPr>
        <w:pStyle w:val="BodyText"/>
      </w:pPr>
      <w:r>
        <w:t xml:space="preserve">Across models (no lag, 1 day, 3 days, 1 week, and 2 weeks), model performance systematically decreased as models predicted further into the future. All lagged models had lower performance compared to the no lag baseline model and to the preceding adjacent lag model. This is unsurprising given what we know about prediction and substance use. Many important relapse risk factors are fluctuating processes that can first emerge and/or change day-by-day, if not more frequently. As lag time increases, features become less proximal to the start of the prediction window. Still, we wish to emphasize that our lowest auROC (.85) is still quite good, and the benefit of advanced notice (i.e., 2 weeks) likely outweighs the modest cost to model performance.</w:t>
      </w:r>
    </w:p>
    <w:p>
      <w:pPr>
        <w:pStyle w:val="BodyText"/>
      </w:pPr>
      <w:r>
        <w:t xml:space="preserve">Collectively, these results suggest we can achieve clinically meaningful performance up to two weeks out. Our rigorous resampling methods (grouped, nested, k-fold cross-validation) make us confident that these are valid estimates of how our models would perform with new individuals. Furthermore, it should be noted that both the no lag and 2-week lagged models can be combined in a complementary fashion that allows both for highly accurate immediate lapse prediction and advanced warning about future lapse risk.</w:t>
      </w:r>
    </w:p>
    <w:bookmarkEnd w:id="65"/>
    <w:bookmarkStart w:id="66" w:name="model-fairness"/>
    <w:p>
      <w:pPr>
        <w:pStyle w:val="Heading2"/>
      </w:pPr>
      <w:r>
        <w:t xml:space="preserve">Model Fairness</w:t>
      </w:r>
    </w:p>
    <w:p>
      <w:pPr>
        <w:pStyle w:val="FirstParagraph"/>
      </w:pPr>
      <w:r>
        <w:t xml:space="preserve">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w:t>
      </w:r>
      <w:r>
        <w:t xml:space="preserve"> </w:t>
      </w:r>
      <w:r>
        <w:t xml:space="preserve">[41]</w:t>
      </w:r>
      <w:r>
        <w:t xml:space="preserve">. In this 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pPr>
        <w:pStyle w:val="BodyText"/>
      </w:pPr>
      <w:r>
        <w:t xml:space="preserve">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Pr>
          <w:i/>
          <w:iCs/>
        </w:rPr>
        <w:t xml:space="preserve">N</w:t>
      </w:r>
      <w:r>
        <w:t xml:space="preserve"> </w:t>
      </w:r>
      <w:r>
        <w:t xml:space="preserve">= 20, 13%). Individuals below the poverty line were also underrepresented, though to a lesser degree (</w:t>
      </w:r>
      <w:r>
        <w:rPr>
          <w:i/>
          <w:iCs/>
        </w:rPr>
        <w:t xml:space="preserve">N</w:t>
      </w:r>
      <w:r>
        <w:t xml:space="preserve"> </w:t>
      </w:r>
      <w:r>
        <w:t xml:space="preserve">=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pPr>
        <w:pStyle w:val="BodyText"/>
      </w:pPr>
      <w:r>
        <w:t xml:space="preserve">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w:t>
      </w:r>
      <w:r>
        <w:t xml:space="preserve"> </w:t>
      </w:r>
      <w:r>
        <w:t xml:space="preserve">[25]</w:t>
      </w:r>
      <w:r>
        <w:t xml:space="preserve">. In a separate project, we developed a national recruitment method that enabled us to recruit for racial, ethnic and income diversity while also focusing on much needed diversity across geographic location (e.g., rural vs. urban;</w:t>
      </w:r>
      <w:r>
        <w:t xml:space="preserve"> </w:t>
      </w:r>
      <w:r>
        <w:t xml:space="preserve">[20]</w:t>
      </w:r>
      <w:r>
        <w:t xml:space="preserve">). We expect geographic diversity in the training data may also be crucial to develop fair models because the features that predict lapse in urban and suburban settings may differ from those that predict lapse in rural environments. If rural participants are not used to train models, the implementation of these models may compound existing disparities in SUD treatment in these communities</w:t>
      </w:r>
      <w:r>
        <w:t xml:space="preserve"> </w:t>
      </w:r>
      <w:r>
        <w:t xml:space="preserve">[42,43]</w:t>
      </w:r>
      <w:r>
        <w:t xml:space="preserve">.</w:t>
      </w:r>
    </w:p>
    <w:p>
      <w:pPr>
        <w:pStyle w:val="BodyText"/>
      </w:pPr>
      <w:r>
        <w:t xml:space="preserve">Future research can also explore potential computational solutions to mitigate performance disparities that emerge when subgroups are poorly represented in available training data. For example, training data from under-represented subgroups could be up-sampled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w:t>
      </w:r>
      <w:r>
        <w:t xml:space="preserve"> </w:t>
      </w:r>
      <w:r>
        <w:t xml:space="preserve">[44–47]</w:t>
      </w:r>
      <w:r>
        <w:t xml:space="preserve"> </w:t>
      </w:r>
      <w:r>
        <w:t xml:space="preserve">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w:t>
      </w:r>
      <w:r>
        <w:t xml:space="preserve"> </w:t>
      </w:r>
      <w:r>
        <w:t xml:space="preserve">[48]</w:t>
      </w:r>
      <w:r>
        <w:t xml:space="preserve">. Such models may mitigate issues of unfairness to a large degree because they will weigh the individual’s own data more heavily than group level estimates over time as more data accrue.</w:t>
      </w:r>
    </w:p>
    <w:p>
      <w:pPr>
        <w:pStyle w:val="BodyText"/>
      </w:pPr>
      <w:r>
        <w:t xml:space="preserve">Of note, problems with model fairness can emerge even when subgroups are well-represented in the training data. Our models performed less well for women compared to men despite the fact that women were well-represented in the training data (</w:t>
      </w:r>
      <w:r>
        <w:rPr>
          <w:i/>
          <w:iCs/>
        </w:rPr>
        <w:t xml:space="preserve">N</w:t>
      </w:r>
      <w:r>
        <w:t xml:space="preserve"> </w:t>
      </w:r>
      <w:r>
        <w:t xml:space="preserve">= 74, 49%). Instead, this differential performance may have resulted from more fundamental problems with the features available to the model. We chose our EMA items using domain expertise from decades of research on the factors that predict relapse. However, prior to the 1993 National Institute of Health Revitalization Act</w:t>
      </w:r>
      <w:r>
        <w:t xml:space="preserve"> </w:t>
      </w:r>
      <w:r>
        <w:t xml:space="preserve">[49]</w:t>
      </w:r>
      <w:r>
        <w:t xml:space="preserve"> </w:t>
      </w:r>
      <w:r>
        <w:t xml:space="preserve">that mandated the inclusion of minorities and women in research, women were mostly excluded from substance use treatment research due to their childbearing potential</w:t>
      </w:r>
      <w:r>
        <w:t xml:space="preserve"> </w:t>
      </w:r>
      <w:r>
        <w:t xml:space="preserve">[50]</w:t>
      </w:r>
      <w:r>
        <w:t xml:space="preserve">.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w:t>
      </w:r>
      <w:r>
        <w:t xml:space="preserve"> </w:t>
      </w:r>
      <w:r>
        <w:t xml:space="preserve">[51]</w:t>
      </w:r>
      <w:r>
        <w:t xml:space="preserve">, hormonal changes</w:t>
      </w:r>
      <w:r>
        <w:t xml:space="preserve"> </w:t>
      </w:r>
      <w:r>
        <w:t xml:space="preserve">[52]</w:t>
      </w:r>
      <w:r>
        <w:t xml:space="preserve">), and other groups under-represented in the literature before we can fully address these performance disparities.</w:t>
      </w:r>
    </w:p>
    <w:p>
      <w:pPr>
        <w:pStyle w:val="BodyText"/>
      </w:pPr>
      <w:r>
        <w:t xml:space="preserve">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w:t>
      </w:r>
      <w:r>
        <w:t xml:space="preserve"> </w:t>
      </w:r>
      <w:r>
        <w:t xml:space="preserve">[53–55]</w:t>
      </w:r>
      <w:r>
        <w:t xml:space="preserve">)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w:t>
      </w:r>
      <w:r>
        <w:t xml:space="preserve"> </w:t>
      </w:r>
      <w:r>
        <w:t xml:space="preserve">[56]</w:t>
      </w:r>
      <w:r>
        <w:t xml:space="preserve"> </w:t>
      </w:r>
      <w:r>
        <w:t xml:space="preserve">can be applied to models that perform well to bootstrap the identification of new lapse risk constructs based on these novel features.</w:t>
      </w:r>
    </w:p>
    <w:p>
      <w:pPr>
        <w:pStyle w:val="BodyText"/>
      </w:pPr>
      <w:r>
        <w:t xml:space="preserve">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w:t>
      </w:r>
      <w:r>
        <w:t xml:space="preserve"> </w:t>
      </w:r>
      <w:r>
        <w:t xml:space="preserve">[57]</w:t>
      </w:r>
      <w:r>
        <w:t xml:space="preserve">) may feel less trusting in disclosing substance use</w:t>
      </w:r>
      <w:r>
        <w:t xml:space="preserve"> </w:t>
      </w:r>
      <w:r>
        <w:t xml:space="preserve">[58]</w:t>
      </w:r>
      <w:r>
        <w:t xml:space="preserve">.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bookmarkEnd w:id="66"/>
    <w:bookmarkStart w:id="67" w:name="calibration"/>
    <w:p>
      <w:pPr>
        <w:pStyle w:val="Heading2"/>
      </w:pPr>
      <w:r>
        <w:t xml:space="preserve">Calibration</w:t>
      </w:r>
    </w:p>
    <w:p>
      <w:pPr>
        <w:pStyle w:val="FirstParagraph"/>
      </w:pPr>
      <w:r>
        <w:t xml:space="preserve">After applying Platt scaling to our predicted probabilities, our models were generally well calibrated with increasing monotonic relationships between calibrated model output and lapse event 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pPr>
        <w:pStyle w:val="BodyText"/>
      </w:pPr>
      <w:r>
        <w:t xml:space="preserve">This pattern may not necessarily be problematic. Research suggests that people often struggle to interpret probabilistic feedback, especially when it’s provided in raw numerical form</w:t>
      </w:r>
      <w:r>
        <w:t xml:space="preserve"> </w:t>
      </w:r>
      <w:r>
        <w:t xml:space="preserve">[59–61]</w:t>
      </w:r>
      <w:r>
        <w:t xml:space="preserve">.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as long as the relationship between predicted probabilities and the observed event rate is monotonic.</w:t>
      </w:r>
    </w:p>
    <w:bookmarkEnd w:id="67"/>
    <w:bookmarkStart w:id="68" w:name="feature-importance-1"/>
    <w:p>
      <w:pPr>
        <w:pStyle w:val="Heading2"/>
      </w:pPr>
      <w:r>
        <w:t xml:space="preserve">Feature importance</w:t>
      </w:r>
    </w:p>
    <w:p>
      <w:pPr>
        <w:pStyle w:val="FirstParagraph"/>
      </w:pPr>
      <w:r>
        <w:t xml:space="preserve">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w:t>
      </w:r>
      <w:r>
        <w:t xml:space="preserve"> </w:t>
      </w:r>
      <w:r>
        <w:t xml:space="preserve">[9]</w:t>
      </w:r>
      <w:r>
        <w:t xml:space="preserve">).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pPr>
        <w:pStyle w:val="BodyText"/>
      </w:pPr>
      <w: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shorter periods of time such that their current self-efficacy does not strongly predict abstinence success even two weeks into the future. In fact, craving and risky situations become as important as self-efficacy when predicting 2-week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be encouraged to take a</w:t>
      </w:r>
      <w:r>
        <w:t xml:space="preserve"> </w:t>
      </w:r>
      <w:r>
        <w:t xml:space="preserve">“one day at a time”</w:t>
      </w:r>
      <w:r>
        <w:t xml:space="preserve"> </w:t>
      </w:r>
      <w:r>
        <w:t xml:space="preserve">mindset). Self-efficacy may become a more stable predictor of future abstinence success after longer periods of recovery, but our sample was limited to participants in early recovery (&lt;= 8 weeks of abstinence at intake).</w:t>
      </w:r>
    </w:p>
    <w:p>
      <w:pPr>
        <w:pStyle w:val="BodyText"/>
      </w:pPr>
      <w:r>
        <w:t xml:space="preserve">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2-week lagged lapses. Lapses may provide</w:t>
      </w:r>
      <w:r>
        <w:t xml:space="preserve"> </w:t>
      </w:r>
      <w:r>
        <w:t xml:space="preserve">“teachable moments”</w:t>
      </w:r>
      <w:r>
        <w:t xml:space="preserve"> </w:t>
      </w:r>
      <w:r>
        <w:t xml:space="preserve">that can be used to reinforce recovery motivation, better understand risks, and develop skills to address those risks</w:t>
      </w:r>
      <w:r>
        <w:t xml:space="preserve"> </w:t>
      </w:r>
      <w:r>
        <w:t xml:space="preserve">[11]</w:t>
      </w:r>
      <w:r>
        <w:t xml:space="preserve">. Conversely, lapses should not be ignored because they remain strong predictors of further use.</w:t>
      </w:r>
    </w:p>
    <w:p>
      <w:pPr>
        <w:pStyle w:val="BodyText"/>
      </w:pPr>
      <w:r>
        <w:t xml:space="preserve">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Alternatively or additionally, people may also be better 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pPr>
        <w:pStyle w:val="BodyText"/>
      </w:pPr>
      <w:r>
        <w:t xml:space="preserve">We were also surprised that stressful events, pleasant events, and affective state features did not make more important contributions to predictions across models. These constructs are highlighted in numerous theories about addiction and relapse</w:t>
      </w:r>
      <w:r>
        <w:t xml:space="preserve"> </w:t>
      </w:r>
      <w:r>
        <w:t xml:space="preserve">[9,10,62]</w:t>
      </w:r>
      <w:r>
        <w:t xml:space="preserve"> </w:t>
      </w:r>
      <w:r>
        <w:t xml:space="preserve">and represent targets for intervention in many existing treatments</w:t>
      </w:r>
      <w:r>
        <w:t xml:space="preserve"> </w:t>
      </w:r>
      <w:r>
        <w:t xml:space="preserve">[18,63–65]</w:t>
      </w:r>
      <w:r>
        <w:t xml:space="preserve">.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w:t>
      </w:r>
      <w:r>
        <w:t xml:space="preserve"> </w:t>
      </w:r>
      <w:r>
        <w:t xml:space="preserve">[56]</w:t>
      </w:r>
      <w:r>
        <w:t xml:space="preserve">. Alternatively, we may need to more carefully consider the nuanced roles that these constructs play (e.g., within the context of individual coping strategies, social support or environmental factors) in the return to alcohol use during recovery</w:t>
      </w:r>
      <w:r>
        <w:t xml:space="preserve"> </w:t>
      </w:r>
      <w:r>
        <w:t xml:space="preserve">[66]</w:t>
      </w:r>
      <w:r>
        <w:t xml:space="preserve">.</w:t>
      </w:r>
    </w:p>
    <w:p>
      <w:pPr>
        <w:pStyle w:val="BodyText"/>
      </w:pPr>
      <w:r>
        <w:t xml:space="preserve">Our local feature importance approach, where we calculated the proportion of observations for which each feature category had the highest Shapley value, showed that although past use was the most influential feature overall, it was the top feature on only a subset of days (less than 20% of days in the immediate model and less than 30% in the 2-week lagged model). In fact, past alcohol use fell to the third most important feature for the no-lag model. This is not surprising, as lapses were relatively infrequent (7.6-7.7% of observations), and nearly half of participants did not report any lapses during the study.</w:t>
      </w:r>
    </w:p>
    <w:p>
      <w:pPr>
        <w:pStyle w:val="BodyText"/>
      </w:pPr>
      <w:r>
        <w:t xml:space="preserve">Our examination of local feature importance also revealed new important features. In both models, past/future stressful events emerged as an important feature. The fact this did not show up as an important global feature could indicate several things. First, it could be that stressful events are important for predicting lapses for a subset of individuals, but not for others. Second, stress may have a strong impact on some high-risk days but little to no effect on most other days. Finally, as mentioned earlier, it is possible that the influence of stress may overlap with related constructs. In all of these situations, the global Shapley value would be diluted, but stress could still emerge as a highly important predictor in specific contexts or for particular individuals. In the 2-week lagged model, valence/arousal emerged as an important feature. This was somewhat surprising, given that these states can fluctuate rapidly. Their importance in the 2-week lagged predictions, but not in the immediate predictions, may suggest that changes in valence and arousal reflect a vulnerability to lapse that accumulates over time, rather than immediately triggering a lapse.</w:t>
      </w:r>
    </w:p>
    <w:p>
      <w:pPr>
        <w:pStyle w:val="BodyText"/>
      </w:pPr>
      <w:r>
        <w:t xml:space="preserve">Our local importance analyses highlight a potential limitation in the interpretability of global feature importance. Global feature importance may be biased toward features that exhibit infrequent but very large Shapley values, potentially overstating the importance of predictors that are strongly associated with the outcome but occur in only a small subset of observations. In contrast, individuals may more often benefit from recovery recommendations that focus on managing stress (e.g., guided relaxation), increasing abstinence confidence (e.g., reflecting on recent successes), and coping with risky situations (e.g., trigger mapping).</w:t>
      </w:r>
    </w:p>
    <w:p>
      <w:pPr>
        <w:pStyle w:val="BodyText"/>
      </w:pPr>
      <w:r>
        <w:t xml:space="preserve">Finally, this approach showed that while some features have low average importance (across all individuals and observations), they can be highly important on certain days for certain individuals. Thus, this approach more closely aligns with our precision-guided goal of understanding which risk factor is most influential for a specific individual at a specific moment. In the context of recovery, where lapses are important but relatively infrequent events, features other than past use will, in most cases, represent more clinically meaningful targets for intervention.</w:t>
      </w:r>
    </w:p>
    <w:bookmarkEnd w:id="68"/>
    <w:bookmarkStart w:id="69" w:name="X40ab624ebf83813907a18dba36edd4d1d14a553"/>
    <w:p>
      <w:pPr>
        <w:pStyle w:val="Heading2"/>
      </w:pPr>
      <w:r>
        <w:t xml:space="preserve">Additional Limitations and Future Directions</w:t>
      </w:r>
    </w:p>
    <w:p>
      <w:pPr>
        <w:pStyle w:val="FirstParagraph"/>
      </w:pPr>
      <w:r>
        <w:t xml:space="preserve">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pPr>
        <w:pStyle w:val="BodyText"/>
      </w:pPr>
      <w:r>
        <w:t xml:space="preserve">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the user when they report stressful events. Similarly, the RMSS can encourage (and explicitly support) the user to reflect on recent past successes and/or skills they have developed when their self-efficacy is low.</w:t>
      </w:r>
    </w:p>
    <w:p>
      <w:pPr>
        <w:pStyle w:val="BodyText"/>
      </w:pPr>
      <w:r>
        <w:t xml:space="preserve">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supports take time to set up, highlighting the value of this lagged 2-week model.</w:t>
      </w:r>
    </w:p>
    <w:p>
      <w:pPr>
        <w:pStyle w:val="BodyText"/>
      </w:pPr>
      <w:r>
        <w:t xml:space="preserve">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w:t>
      </w:r>
      <w:r>
        <w:t xml:space="preserve"> </w:t>
      </w:r>
      <w:r>
        <w:t xml:space="preserve">[67]</w:t>
      </w:r>
      <w:r>
        <w:t xml:space="preserve">.</w:t>
      </w:r>
    </w:p>
    <w:p>
      <w:pPr>
        <w:pStyle w:val="BodyText"/>
      </w:pPr>
      <w:r>
        <w:t xml:space="preserve">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w:t>
      </w:r>
      <w:r>
        <w:t xml:space="preserve"> </w:t>
      </w:r>
      <w:r>
        <w:t xml:space="preserve">[20]</w:t>
      </w:r>
      <w:r>
        <w:t xml:space="preserve">. These data will allow us to train models with longer lags and to better evaluate the impact of data loss on model performance because lag time can be increased substantially with proportionally less data loss given 52 weeks of labeled observations per participant.</w:t>
      </w:r>
    </w:p>
    <w:p>
      <w:pPr>
        <w:pStyle w:val="BodyText"/>
      </w:pPr>
      <w:r>
        <w:t xml:space="preserve">While the number of individual observations (i.e., # prediction timepoints per participant X # participants) was sufficient to train models with low bias, low variance and overall high performance, the relatively small number of unique participants remains an important limitation of this study. Successful machine learning models must generalize well to new data (i.e. new observations among new individuals). Our analyses only speak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pPr>
        <w:pStyle w:val="BodyText"/>
      </w:pPr>
      <w:r>
        <w:t xml:space="preserve">Our models predicted goal-inconsistent alcohol use. In our sample, in which all participants had a goal of abstinence, goal-inconsistent use was a homogeneous, observable behavior (i.e., any alcohol use). However, not all individuals in recovery choose complete abstinence. It remains an open question whether our predictors of goal-inconsistent use would generalize to alternative recovery goals (e.g., moderation). Future studies could allow individuals to self-define goal-inconsistent use (e.g., drinking on a weekday or drinking more than planned) and train models in samples with diverse recovery goals.</w:t>
      </w:r>
    </w:p>
    <w:p>
      <w:pPr>
        <w:pStyle w:val="BodyText"/>
      </w:pPr>
      <w:r>
        <w:t xml:space="preserve">Additionally, our use of features from 4x daily EMA as model inputs may raise concerns about measurement burden. We confirmed that participants can comply with such EMA schedules over this time period and that they find it acceptable given its potential benefits to them</w:t>
      </w:r>
      <w:r>
        <w:t xml:space="preserve"> </w:t>
      </w:r>
      <w:r>
        <w:t xml:space="preserve">[19,see also 68]</w:t>
      </w:r>
      <w:r>
        <w:t xml:space="preserve">. However, frequent daily surveys may become too burdensome within an RMSS intended for use over many, many months to years for long-term continuing care. We have begun to address this concern by training no lag models with fewer EMAs (1x daily) and have found comparable performance</w:t>
      </w:r>
      <w:r>
        <w:t xml:space="preserve"> </w:t>
      </w:r>
      <w:r>
        <w:t xml:space="preserve">[48]</w:t>
      </w:r>
      <w:r>
        <w:t xml:space="preserve">. Additionally, reinforcement learning could potentially be used for adaptive EMA sampling. For example, each day the algorithm could make a decision to send out an EMA or not based on inferred latent states of the individual based on previous EMA responses and predicted probability of lapse.</w:t>
      </w:r>
    </w:p>
    <w:p>
      <w:pPr>
        <w:pStyle w:val="BodyText"/>
      </w:pPr>
      <w:r>
        <w:t xml:space="preserve">We have also begun to explore how we can supplement our models with data from lower burden sensing methods. Geolocation, which can be passively sensed, could compliment EMA well</w:t>
      </w:r>
      <w:r>
        <w:t xml:space="preserve"> </w:t>
      </w:r>
      <w:r>
        <w:t xml:space="preserve">[69]</w:t>
      </w:r>
      <w:r>
        <w:t xml:space="preserve">.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w:t>
      </w:r>
      <w:r>
        <w:t xml:space="preserve"> </w:t>
      </w:r>
      <w:r>
        <w:t xml:space="preserve">[70,71]</w:t>
      </w:r>
      <w:r>
        <w:t xml:space="preserve"> </w:t>
      </w:r>
      <w:r>
        <w:t xml:space="preserve">or collected from the user directly (e.g., self-evaluated riskiness of a given location)</w:t>
      </w:r>
      <w:r>
        <w:t xml:space="preserve"> </w:t>
      </w:r>
      <w:r>
        <w:t xml:space="preserve">[20]</w:t>
      </w:r>
      <w:r>
        <w:t xml:space="preserve">.</w:t>
      </w:r>
    </w:p>
    <w:p>
      <w:pPr>
        <w:pStyle w:val="BodyText"/>
      </w:pPr>
      <w:r>
        <w:t xml:space="preserve">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models and found preliminary evidence to suggest that they may outperform traditional population-level machine learning models</w:t>
      </w:r>
      <w:r>
        <w:t xml:space="preserve"> </w:t>
      </w:r>
      <w:r>
        <w:t xml:space="preserve">[48]</w:t>
      </w:r>
      <w:r>
        <w:t xml:space="preserve">. However, in another recent study, population-level models well outperformed person-specific models for predicting various outcomes, including alcohol use and binge drinking</w:t>
      </w:r>
      <w:r>
        <w:t xml:space="preserve"> </w:t>
      </w:r>
      <w:r>
        <w:t xml:space="preserve">[72]</w:t>
      </w:r>
      <w:r>
        <w:t xml:space="preserve">. Thus, the benefit of individualized models above and beyond population models remains an empirical question and is something we plan to continue to pursue in future work.</w:t>
      </w:r>
    </w:p>
    <w:bookmarkEnd w:id="69"/>
    <w:bookmarkStart w:id="70" w:name="conclusions"/>
    <w:p>
      <w:pPr>
        <w:pStyle w:val="Heading2"/>
      </w:pPr>
      <w:r>
        <w:t xml:space="preserve">Conclusions</w:t>
      </w:r>
    </w:p>
    <w:p>
      <w:pPr>
        <w:pStyle w:val="FirstParagraph"/>
      </w:pPr>
      <w:r>
        <w:t xml:space="preserve">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bookmarkEnd w:id="70"/>
    <w:bookmarkStart w:id="71" w:name="acknowledgments"/>
    <w:p>
      <w:pPr>
        <w:pStyle w:val="Heading2"/>
      </w:pPr>
      <w:r>
        <w:t xml:space="preserve">Acknowledgments</w:t>
      </w:r>
    </w:p>
    <w:p>
      <w:pPr>
        <w:pStyle w:val="FirstParagraph"/>
      </w:pPr>
      <w:r>
        <w:t xml:space="preserve">This research was supported by grants from the National Institute on Alcohol Abuse and Alcoholism (NIAAA; R01 AA024391 to John J. Curtin) and the National Institute on Drug Abuse (NIDA; R01 DA047315 to John J. Curtin). The authors wish to thank Susan E. Wanta for her role as the project administrator.</w:t>
      </w:r>
    </w:p>
    <w:bookmarkEnd w:id="71"/>
    <w:bookmarkEnd w:id="72"/>
    <w:bookmarkStart w:id="196" w:name="references"/>
    <w:p>
      <w:pPr>
        <w:pStyle w:val="Heading1"/>
      </w:pPr>
      <w:r>
        <w:t xml:space="preserve">References</w:t>
      </w:r>
    </w:p>
    <w:bookmarkStart w:id="195" w:name="refs"/>
    <w:bookmarkStart w:id="74" w:name="ref-mclellanDrugDependenceChronic2000"/>
    <w:p>
      <w:pPr>
        <w:pStyle w:val="Bibliography"/>
      </w:pPr>
      <w:r>
        <w:t xml:space="preserve">1.</w:t>
      </w:r>
      <w:r>
        <w:t xml:space="preserve"> </w:t>
      </w:r>
      <w:r>
        <w:t xml:space="preserve">	</w:t>
      </w:r>
      <w:r>
        <w:t xml:space="preserve">McLellan AT, Lewis DC, O’Brien CP, Kleber HD. Drug dependence, a chronic medical illness: Implications for treatment, insurance, and outcomes evaluation. JAMA. 2000;284: 1689–1695. doi:</w:t>
      </w:r>
      <w:hyperlink r:id="rId73">
        <w:r>
          <w:rPr>
            <w:rStyle w:val="Hyperlink"/>
          </w:rPr>
          <w:t xml:space="preserve">10.1001/jama.284.13.1689</w:t>
        </w:r>
      </w:hyperlink>
    </w:p>
    <w:bookmarkEnd w:id="74"/>
    <w:bookmarkStart w:id="76" w:name="ref-dennisManagingAddictionChronic2007"/>
    <w:p>
      <w:pPr>
        <w:pStyle w:val="Bibliography"/>
      </w:pPr>
      <w:r>
        <w:t xml:space="preserve">2.</w:t>
      </w:r>
      <w:r>
        <w:t xml:space="preserve"> </w:t>
      </w:r>
      <w:r>
        <w:t xml:space="preserve">	</w:t>
      </w:r>
      <w:r>
        <w:t xml:space="preserve">Dennis M, Scott CK.</w:t>
      </w:r>
      <w:r>
        <w:t xml:space="preserve"> </w:t>
      </w:r>
      <w:hyperlink r:id="rId75">
        <w:r>
          <w:rPr>
            <w:rStyle w:val="Hyperlink"/>
          </w:rPr>
          <w:t xml:space="preserve">Managing</w:t>
        </w:r>
        <w:r>
          <w:rPr>
            <w:rStyle w:val="Hyperlink"/>
          </w:rPr>
          <w:t xml:space="preserve"> </w:t>
        </w:r>
        <w:r>
          <w:rPr>
            <w:rStyle w:val="Hyperlink"/>
          </w:rPr>
          <w:t xml:space="preserve">Addiction</w:t>
        </w:r>
        <w:r>
          <w:rPr>
            <w:rStyle w:val="Hyperlink"/>
          </w:rPr>
          <w:t xml:space="preserve"> </w:t>
        </w:r>
        <w:r>
          <w:rPr>
            <w:rStyle w:val="Hyperlink"/>
          </w:rPr>
          <w:t xml:space="preserve">as a</w:t>
        </w:r>
        <w:r>
          <w:rPr>
            <w:rStyle w:val="Hyperlink"/>
          </w:rPr>
          <w:t xml:space="preserve"> </w:t>
        </w:r>
        <w:r>
          <w:rPr>
            <w:rStyle w:val="Hyperlink"/>
          </w:rPr>
          <w:t xml:space="preserve">Chronic Condition</w:t>
        </w:r>
      </w:hyperlink>
      <w:r>
        <w:t xml:space="preserve">. Addiction Science &amp; Clinical Practice. 2007;4: 45–55.</w:t>
      </w:r>
      <w:r>
        <w:t xml:space="preserve"> </w:t>
      </w:r>
    </w:p>
    <w:bookmarkEnd w:id="76"/>
    <w:bookmarkStart w:id="77" w:name="X28b8f85e424928e66706a578d6053e0308d1105"/>
    <w:p>
      <w:pPr>
        <w:pStyle w:val="Bibliography"/>
      </w:pPr>
      <w:r>
        <w:t xml:space="preserve">3.</w:t>
      </w:r>
      <w:r>
        <w:t xml:space="preserve"> </w:t>
      </w:r>
      <w:r>
        <w:t xml:space="preserve">	</w:t>
      </w:r>
      <w:r>
        <w:t xml:space="preserve">Substance Abuse and Mental Health Services Administration. 2024</w:t>
      </w:r>
      <w:r>
        <w:t xml:space="preserve"> </w:t>
      </w:r>
      <w:r>
        <w:t xml:space="preserve">NSDUH Detailed Tables</w:t>
      </w:r>
      <w:r>
        <w:t xml:space="preserve"> </w:t>
      </w:r>
      <w:r>
        <w:t xml:space="preserve"> </w:t>
      </w:r>
      <w:r>
        <w:t xml:space="preserve">CBHSQ Data</w:t>
      </w:r>
      <w:r>
        <w:t xml:space="preserve">. https://www.samhsa.gov/data/report/2024-nsduh-detailed-tables;</w:t>
      </w:r>
      <w:r>
        <w:t xml:space="preserve"> </w:t>
      </w:r>
    </w:p>
    <w:bookmarkEnd w:id="77"/>
    <w:bookmarkStart w:id="78" w:name="ref-hedegaardDrugOverdoseDeaths2021"/>
    <w:p>
      <w:pPr>
        <w:pStyle w:val="Bibliography"/>
      </w:pPr>
      <w:r>
        <w:t xml:space="preserve">4.</w:t>
      </w:r>
      <w:r>
        <w:t xml:space="preserve"> </w:t>
      </w:r>
      <w:r>
        <w:t xml:space="preserve">	</w:t>
      </w:r>
      <w:r>
        <w:t xml:space="preserve">Hedegaard H, Miniño AM, Spencer MR, Warner M. Drug overdose deaths in the</w:t>
      </w:r>
      <w:r>
        <w:t xml:space="preserve"> </w:t>
      </w:r>
      <w:r>
        <w:t xml:space="preserve">United States</w:t>
      </w:r>
      <w:r>
        <w:t xml:space="preserve">, 1999–2020. 2021.</w:t>
      </w:r>
      <w:r>
        <w:t xml:space="preserve"> </w:t>
      </w:r>
    </w:p>
    <w:bookmarkEnd w:id="78"/>
    <w:bookmarkStart w:id="79" w:name="X21d9bc577093464d5d051ef6477b67710b39313"/>
    <w:p>
      <w:pPr>
        <w:pStyle w:val="Bibliography"/>
      </w:pPr>
      <w:r>
        <w:t xml:space="preserve">5.</w:t>
      </w:r>
      <w:r>
        <w:t xml:space="preserve"> </w:t>
      </w:r>
      <w:r>
        <w:t xml:space="preserve">	</w:t>
      </w:r>
      <w:r>
        <w:t xml:space="preserve">Centers for Disease Control and Prevention (CDC). Annual</w:t>
      </w:r>
      <w:r>
        <w:t xml:space="preserve"> </w:t>
      </w:r>
      <w:r>
        <w:t xml:space="preserve">Average</w:t>
      </w:r>
      <w:r>
        <w:t xml:space="preserve"> </w:t>
      </w:r>
      <w:r>
        <w:t xml:space="preserve">for</w:t>
      </w:r>
      <w:r>
        <w:t xml:space="preserve"> </w:t>
      </w:r>
      <w:r>
        <w:t xml:space="preserve">United States</w:t>
      </w:r>
      <w:r>
        <w:t xml:space="preserve"> </w:t>
      </w:r>
      <w:r>
        <w:t xml:space="preserve">2011–2015</w:t>
      </w:r>
      <w:r>
        <w:t xml:space="preserve"> </w:t>
      </w:r>
      <w:r>
        <w:t xml:space="preserve">Alcohol-Attributable Deaths Due</w:t>
      </w:r>
      <w:r>
        <w:t xml:space="preserve"> </w:t>
      </w:r>
      <w:r>
        <w:t xml:space="preserve">to</w:t>
      </w:r>
      <w:r>
        <w:t xml:space="preserve"> </w:t>
      </w:r>
      <w:r>
        <w:t xml:space="preserve">Excessive Alcohol Use</w:t>
      </w:r>
      <w:r>
        <w:t xml:space="preserve">,</w:t>
      </w:r>
      <w:r>
        <w:t xml:space="preserve"> </w:t>
      </w:r>
      <w:r>
        <w:t xml:space="preserve">All Ages</w:t>
      </w:r>
      <w:r>
        <w:t xml:space="preserve">. 2022 Alcohol Related Disease Impact (ARDI) Application Website. https://nccd.cdc.gov/DPH_ARDI/Default/Default.aspx;</w:t>
      </w:r>
      <w:r>
        <w:t xml:space="preserve"> </w:t>
      </w:r>
    </w:p>
    <w:bookmarkEnd w:id="79"/>
    <w:bookmarkStart w:id="81" w:name="ref-wagnerImprovingChronicIllness2001"/>
    <w:p>
      <w:pPr>
        <w:pStyle w:val="Bibliography"/>
      </w:pPr>
      <w:r>
        <w:t xml:space="preserve">6.</w:t>
      </w:r>
      <w:r>
        <w:t xml:space="preserve"> </w:t>
      </w:r>
      <w:r>
        <w:t xml:space="preserve">	</w:t>
      </w:r>
      <w:r>
        <w:t xml:space="preserve">Wagner EH, Austin BT, Davis C, Hindmarsh M, Schaefer J, Bonomi A. Improving</w:t>
      </w:r>
      <w:r>
        <w:t xml:space="preserve"> </w:t>
      </w:r>
      <w:r>
        <w:t xml:space="preserve">Chronic Illness Care</w:t>
      </w:r>
      <w:r>
        <w:t xml:space="preserve">:</w:t>
      </w:r>
      <w:r>
        <w:t xml:space="preserve"> </w:t>
      </w:r>
      <w:r>
        <w:t xml:space="preserve">Translating Evidence Into Action</w:t>
      </w:r>
      <w:r>
        <w:t xml:space="preserve">. Health Affairs. 2001;20: 64–78. doi:</w:t>
      </w:r>
      <w:hyperlink r:id="rId80">
        <w:r>
          <w:rPr>
            <w:rStyle w:val="Hyperlink"/>
          </w:rPr>
          <w:t xml:space="preserve">10.1377/hlthaff.20.6.64</w:t>
        </w:r>
      </w:hyperlink>
    </w:p>
    <w:bookmarkEnd w:id="81"/>
    <w:bookmarkStart w:id="83" w:name="X01387e434119cf09c116d0feeabab9f278d40e3"/>
    <w:p>
      <w:pPr>
        <w:pStyle w:val="Bibliography"/>
      </w:pPr>
      <w:r>
        <w:t xml:space="preserve">7.</w:t>
      </w:r>
      <w:r>
        <w:t xml:space="preserve"> </w:t>
      </w:r>
      <w:r>
        <w:t xml:space="preserve">	</w:t>
      </w:r>
      <w:r>
        <w:t xml:space="preserve">Stanojlović M, Davidson L. Targeting the</w:t>
      </w:r>
      <w:r>
        <w:t xml:space="preserve"> </w:t>
      </w:r>
      <w:r>
        <w:t xml:space="preserve">Barriers</w:t>
      </w:r>
      <w:r>
        <w:t xml:space="preserve"> </w:t>
      </w:r>
      <w:r>
        <w:t xml:space="preserve">in the</w:t>
      </w:r>
      <w:r>
        <w:t xml:space="preserve"> </w:t>
      </w:r>
      <w:r>
        <w:t xml:space="preserve">Substance Use Disorder Continuum</w:t>
      </w:r>
      <w:r>
        <w:t xml:space="preserve"> </w:t>
      </w:r>
      <w:r>
        <w:t xml:space="preserve">of</w:t>
      </w:r>
      <w:r>
        <w:t xml:space="preserve"> </w:t>
      </w:r>
      <w:r>
        <w:t xml:space="preserve">Care With Peer Recovery Support</w:t>
      </w:r>
      <w:r>
        <w:t xml:space="preserve">. Substance Abuse: Research and Treatment. 2021;15: 1178221820976988. doi:</w:t>
      </w:r>
      <w:hyperlink r:id="rId82">
        <w:r>
          <w:rPr>
            <w:rStyle w:val="Hyperlink"/>
          </w:rPr>
          <w:t xml:space="preserve">10.1177/1178221820976988</w:t>
        </w:r>
      </w:hyperlink>
    </w:p>
    <w:bookmarkEnd w:id="83"/>
    <w:bookmarkStart w:id="85" w:name="ref-sociasAdoptingCascadeCare2016"/>
    <w:p>
      <w:pPr>
        <w:pStyle w:val="Bibliography"/>
      </w:pPr>
      <w:r>
        <w:t xml:space="preserve">8.</w:t>
      </w:r>
      <w:r>
        <w:t xml:space="preserve"> </w:t>
      </w:r>
      <w:r>
        <w:t xml:space="preserve">	</w:t>
      </w:r>
      <w:r>
        <w:t xml:space="preserve">Socías ME, Volkow N, Wood E. Adopting the</w:t>
      </w:r>
      <w:r>
        <w:t xml:space="preserve"> </w:t>
      </w:r>
      <w:r>
        <w:t xml:space="preserve">“cascade of care”</w:t>
      </w:r>
      <w:r>
        <w:t xml:space="preserve"> </w:t>
      </w:r>
      <w:r>
        <w:t xml:space="preserve">framework: An opportunity to close the implementation gap in addiction care? Addiction. 2016;111: 2079–2081. doi:</w:t>
      </w:r>
      <w:hyperlink r:id="rId84">
        <w:r>
          <w:rPr>
            <w:rStyle w:val="Hyperlink"/>
          </w:rPr>
          <w:t xml:space="preserve">10.1111/add.13479</w:t>
        </w:r>
      </w:hyperlink>
    </w:p>
    <w:bookmarkEnd w:id="85"/>
    <w:bookmarkStart w:id="86" w:name="X0900e084d2d8751b94683f82b04534ea811d54e"/>
    <w:p>
      <w:pPr>
        <w:pStyle w:val="Bibliography"/>
      </w:pPr>
      <w:r>
        <w:t xml:space="preserve">9.</w:t>
      </w:r>
      <w:r>
        <w:t xml:space="preserve"> </w:t>
      </w:r>
      <w:r>
        <w:t xml:space="preserve">	</w:t>
      </w:r>
      <w:r>
        <w:t xml:space="preserve">Marlatt GA, Gordon JR, editors. Relapse</w:t>
      </w:r>
      <w:r>
        <w:t xml:space="preserve"> </w:t>
      </w:r>
      <w:r>
        <w:t xml:space="preserve">Prevention</w:t>
      </w:r>
      <w:r>
        <w:t xml:space="preserve">:</w:t>
      </w:r>
      <w:r>
        <w:t xml:space="preserve"> </w:t>
      </w:r>
      <w:r>
        <w:t xml:space="preserve">Maintenance Strategies</w:t>
      </w:r>
      <w:r>
        <w:t xml:space="preserve"> </w:t>
      </w:r>
      <w:r>
        <w:t xml:space="preserve">in the</w:t>
      </w:r>
      <w:r>
        <w:t xml:space="preserve"> </w:t>
      </w:r>
      <w:r>
        <w:t xml:space="preserve">Treatment</w:t>
      </w:r>
      <w:r>
        <w:t xml:space="preserve"> </w:t>
      </w:r>
      <w:r>
        <w:t xml:space="preserve">of</w:t>
      </w:r>
      <w:r>
        <w:t xml:space="preserve"> </w:t>
      </w:r>
      <w:r>
        <w:t xml:space="preserve">Addictive Behaviors</w:t>
      </w:r>
      <w:r>
        <w:t xml:space="preserve">. First edition. New York: The Guilford Press; 1985.</w:t>
      </w:r>
      <w:r>
        <w:t xml:space="preserve"> </w:t>
      </w:r>
    </w:p>
    <w:bookmarkEnd w:id="86"/>
    <w:bookmarkStart w:id="88" w:name="X4446e184b7dd55a61fd406499f32542fdcf24b5"/>
    <w:p>
      <w:pPr>
        <w:pStyle w:val="Bibliography"/>
      </w:pPr>
      <w:r>
        <w:t xml:space="preserve">10.</w:t>
      </w:r>
      <w:r>
        <w:t xml:space="preserve"> </w:t>
      </w:r>
      <w:r>
        <w:t xml:space="preserve">	</w:t>
      </w:r>
      <w:r>
        <w:t xml:space="preserve">Witkiewitz K, Marlatt GA. Relapse prevention for alcohol and drug problems:</w:t>
      </w:r>
      <w:r>
        <w:t xml:space="preserve"> </w:t>
      </w:r>
      <w:r>
        <w:t xml:space="preserve">That</w:t>
      </w:r>
      <w:r>
        <w:t xml:space="preserve"> </w:t>
      </w:r>
      <w:r>
        <w:t xml:space="preserve">was zen, this is tao. American Psychologist. 2004;59: 224–235. doi:</w:t>
      </w:r>
      <w:hyperlink r:id="rId87">
        <w:r>
          <w:rPr>
            <w:rStyle w:val="Hyperlink"/>
          </w:rPr>
          <w:t xml:space="preserve">10.1037/0003-066X.59.4.224</w:t>
        </w:r>
      </w:hyperlink>
    </w:p>
    <w:bookmarkEnd w:id="88"/>
    <w:bookmarkStart w:id="90" w:name="X254a0f87701f835b5365990b3eba45be7dca59c"/>
    <w:p>
      <w:pPr>
        <w:pStyle w:val="Bibliography"/>
      </w:pPr>
      <w:r>
        <w:t xml:space="preserve">11.</w:t>
      </w:r>
      <w:r>
        <w:t xml:space="preserve"> </w:t>
      </w:r>
      <w:r>
        <w:t xml:space="preserve">	</w:t>
      </w:r>
      <w:r>
        <w:t xml:space="preserve">Witkiewitz K, Marlatt GA. Modeling the complexity of post-treatment drinking:</w:t>
      </w:r>
      <w:r>
        <w:t xml:space="preserve"> </w:t>
      </w:r>
      <w:r>
        <w:t xml:space="preserve">It</w:t>
      </w:r>
      <w:r>
        <w:t xml:space="preserve">’s a rocky road to relapse. Clinical Psychology Review. 2007;27: 724–738. doi:</w:t>
      </w:r>
      <w:hyperlink r:id="rId89">
        <w:r>
          <w:rPr>
            <w:rStyle w:val="Hyperlink"/>
          </w:rPr>
          <w:t xml:space="preserve">10.1016/j.cpr.2007.01.002</w:t>
        </w:r>
      </w:hyperlink>
    </w:p>
    <w:bookmarkEnd w:id="90"/>
    <w:bookmarkStart w:id="92" w:name="ref-brandonRelapseRelapsePrevention2007"/>
    <w:p>
      <w:pPr>
        <w:pStyle w:val="Bibliography"/>
      </w:pPr>
      <w:r>
        <w:t xml:space="preserve">12.</w:t>
      </w:r>
      <w:r>
        <w:t xml:space="preserve"> </w:t>
      </w:r>
      <w:r>
        <w:t xml:space="preserve">	</w:t>
      </w:r>
      <w:r>
        <w:t xml:space="preserve">Brandon TH, Vidrine JI, Litvin EB. Relapse and relapse prevention. Annual Review of Clinical Psychology. 2007;3: 257–284. doi:</w:t>
      </w:r>
      <w:hyperlink r:id="rId91">
        <w:r>
          <w:rPr>
            <w:rStyle w:val="Hyperlink"/>
          </w:rPr>
          <w:t xml:space="preserve">10.1146/annurev.clinpsy.3.022806.091455</w:t>
        </w:r>
      </w:hyperlink>
    </w:p>
    <w:bookmarkEnd w:id="92"/>
    <w:bookmarkStart w:id="94" w:name="ref-bickmanAchievingPrecisionMental2016"/>
    <w:p>
      <w:pPr>
        <w:pStyle w:val="Bibliography"/>
      </w:pPr>
      <w:r>
        <w:t xml:space="preserve">13.</w:t>
      </w:r>
      <w:r>
        <w:t xml:space="preserve"> </w:t>
      </w:r>
      <w:r>
        <w:t xml:space="preserve">	</w:t>
      </w:r>
      <w:r>
        <w:t xml:space="preserve">Bickman L, Lyon AR, Wolpert M. Achieving</w:t>
      </w:r>
      <w:r>
        <w:t xml:space="preserve"> </w:t>
      </w:r>
      <w:r>
        <w:t xml:space="preserve">Precision Mental Health</w:t>
      </w:r>
      <w:r>
        <w:t xml:space="preserve"> </w:t>
      </w:r>
      <w:r>
        <w:t xml:space="preserve">through</w:t>
      </w:r>
      <w:r>
        <w:t xml:space="preserve"> </w:t>
      </w:r>
      <w:r>
        <w:t xml:space="preserve">Effective Assessment</w:t>
      </w:r>
      <w:r>
        <w:t xml:space="preserve">,</w:t>
      </w:r>
      <w:r>
        <w:t xml:space="preserve"> </w:t>
      </w:r>
      <w:r>
        <w:t xml:space="preserve">Monitoring</w:t>
      </w:r>
      <w:r>
        <w:t xml:space="preserve">, and</w:t>
      </w:r>
      <w:r>
        <w:t xml:space="preserve"> </w:t>
      </w:r>
      <w:r>
        <w:t xml:space="preserve">Feedback Processes</w:t>
      </w:r>
      <w:r>
        <w:t xml:space="preserve">. Administration and Policy in Mental Health and Mental Health Services Research. 2016;43: 271–276. doi:</w:t>
      </w:r>
      <w:hyperlink r:id="rId93">
        <w:r>
          <w:rPr>
            <w:rStyle w:val="Hyperlink"/>
          </w:rPr>
          <w:t xml:space="preserve">10.1007/s10488-016-0718-5</w:t>
        </w:r>
      </w:hyperlink>
    </w:p>
    <w:bookmarkEnd w:id="94"/>
    <w:bookmarkStart w:id="96" w:name="ref-derubeisHistoryCurrentStatus2019"/>
    <w:p>
      <w:pPr>
        <w:pStyle w:val="Bibliography"/>
      </w:pPr>
      <w:r>
        <w:t xml:space="preserve">14.</w:t>
      </w:r>
      <w:r>
        <w:t xml:space="preserve"> </w:t>
      </w:r>
      <w:r>
        <w:t xml:space="preserve">	</w:t>
      </w:r>
      <w:r>
        <w:t xml:space="preserve">DeRubeis RJ. The history, current status, and possible future of precision mental health. Behaviour Research and Therapy. 2019;123: 103506. doi:</w:t>
      </w:r>
      <w:hyperlink r:id="rId95">
        <w:r>
          <w:rPr>
            <w:rStyle w:val="Hyperlink"/>
          </w:rPr>
          <w:t xml:space="preserve">10.1016/j.brat.2019.103506</w:t>
        </w:r>
      </w:hyperlink>
    </w:p>
    <w:bookmarkEnd w:id="96"/>
    <w:bookmarkStart w:id="98" w:name="X79dffb24bc183d6bf6fe142dbf048fe8e5a5dd0"/>
    <w:p>
      <w:pPr>
        <w:pStyle w:val="Bibliography"/>
      </w:pPr>
      <w:r>
        <w:t xml:space="preserve">15.</w:t>
      </w:r>
      <w:r>
        <w:t xml:space="preserve"> </w:t>
      </w:r>
      <w:r>
        <w:t xml:space="preserve">	</w:t>
      </w:r>
      <w:r>
        <w:t xml:space="preserve">Kranzler HR, McKay JR. Personalized</w:t>
      </w:r>
      <w:r>
        <w:t xml:space="preserve"> </w:t>
      </w:r>
      <w:r>
        <w:t xml:space="preserve">Treatment</w:t>
      </w:r>
      <w:r>
        <w:t xml:space="preserve"> </w:t>
      </w:r>
      <w:r>
        <w:t xml:space="preserve">of</w:t>
      </w:r>
      <w:r>
        <w:t xml:space="preserve"> </w:t>
      </w:r>
      <w:r>
        <w:t xml:space="preserve">Alcohol Dependence</w:t>
      </w:r>
      <w:r>
        <w:t xml:space="preserve">. Current Psychiatry Reports. 2012;14: 486–493. doi:</w:t>
      </w:r>
      <w:hyperlink r:id="rId97">
        <w:r>
          <w:rPr>
            <w:rStyle w:val="Hyperlink"/>
          </w:rPr>
          <w:t xml:space="preserve">10.1007/s11920-012-0296-5</w:t>
        </w:r>
      </w:hyperlink>
    </w:p>
    <w:bookmarkEnd w:id="98"/>
    <w:bookmarkStart w:id="100" w:name="ref-mohrPersonalSensingUnderstanding2017"/>
    <w:p>
      <w:pPr>
        <w:pStyle w:val="Bibliography"/>
      </w:pPr>
      <w:r>
        <w:t xml:space="preserve">16.</w:t>
      </w:r>
      <w:r>
        <w:t xml:space="preserve"> </w:t>
      </w:r>
      <w:r>
        <w:t xml:space="preserve">	</w:t>
      </w:r>
      <w:r>
        <w:t xml:space="preserve">Mohr DC, Zhang M, Schueller SM. Personal</w:t>
      </w:r>
      <w:r>
        <w:t xml:space="preserve"> </w:t>
      </w:r>
      <w:r>
        <w:t xml:space="preserve">Sensing</w:t>
      </w:r>
      <w:r>
        <w:t xml:space="preserve">:</w:t>
      </w:r>
      <w:r>
        <w:t xml:space="preserve"> </w:t>
      </w:r>
      <w:r>
        <w:t xml:space="preserve">Understanding Mental Health Using Ubiquitous Sensors</w:t>
      </w:r>
      <w:r>
        <w:t xml:space="preserve"> </w:t>
      </w:r>
      <w:r>
        <w:t xml:space="preserve">and</w:t>
      </w:r>
      <w:r>
        <w:t xml:space="preserve"> </w:t>
      </w:r>
      <w:r>
        <w:t xml:space="preserve">Machine Learning</w:t>
      </w:r>
      <w:r>
        <w:t xml:space="preserve">. Annual Review of Clinical Psychology. 2017;13: 23–47. doi:</w:t>
      </w:r>
      <w:hyperlink r:id="rId99">
        <w:r>
          <w:rPr>
            <w:rStyle w:val="Hyperlink"/>
          </w:rPr>
          <w:t xml:space="preserve">10.1146/annurev-clinpsy-032816-044949</w:t>
        </w:r>
      </w:hyperlink>
    </w:p>
    <w:bookmarkEnd w:id="100"/>
    <w:bookmarkStart w:id="101" w:name="X76c131a5b0a374a6ad1e33cf8e2c0563392269f"/>
    <w:p>
      <w:pPr>
        <w:pStyle w:val="Bibliography"/>
      </w:pPr>
      <w:r>
        <w:t xml:space="preserve">17.</w:t>
      </w:r>
      <w:r>
        <w:t xml:space="preserve"> </w:t>
      </w:r>
      <w:r>
        <w:t xml:space="preserve">	</w:t>
      </w:r>
      <w:r>
        <w:t xml:space="preserve">Hastie T, Tibshirani R, Friedman JH. The elements of statistical learning: Data mining, inference, and prediction. 2nd ed. New York, NY: Springer; 2009.</w:t>
      </w:r>
      <w:r>
        <w:t xml:space="preserve"> </w:t>
      </w:r>
    </w:p>
    <w:bookmarkEnd w:id="101"/>
    <w:bookmarkStart w:id="102" w:name="X6c5adf42984d4dcd96717e3e06f47f768bdce11"/>
    <w:p>
      <w:pPr>
        <w:pStyle w:val="Bibliography"/>
      </w:pPr>
      <w:r>
        <w:t xml:space="preserve">18.</w:t>
      </w:r>
      <w:r>
        <w:t xml:space="preserve"> </w:t>
      </w:r>
      <w:r>
        <w:t xml:space="preserve">	</w:t>
      </w:r>
      <w:r>
        <w:t xml:space="preserve">Bowen S, Chawla N, Grow J, Marlatt GA. Mindfulness-</w:t>
      </w:r>
      <w:r>
        <w:t xml:space="preserve">Based Relapse Prevention</w:t>
      </w:r>
      <w:r>
        <w:t xml:space="preserve"> </w:t>
      </w:r>
      <w:r>
        <w:t xml:space="preserve">for</w:t>
      </w:r>
      <w:r>
        <w:t xml:space="preserve"> </w:t>
      </w:r>
      <w:r>
        <w:t xml:space="preserve">Addictive Behaviors</w:t>
      </w:r>
      <w:r>
        <w:t xml:space="preserve">:</w:t>
      </w:r>
      <w:r>
        <w:t xml:space="preserve"> </w:t>
      </w:r>
      <w:r>
        <w:t xml:space="preserve">A Clinician</w:t>
      </w:r>
      <w:r>
        <w:t xml:space="preserve">’s</w:t>
      </w:r>
      <w:r>
        <w:t xml:space="preserve"> </w:t>
      </w:r>
      <w:r>
        <w:t xml:space="preserve">Guide</w:t>
      </w:r>
      <w:r>
        <w:t xml:space="preserve">. Second edition. New York: The Guilford Press; 2021.</w:t>
      </w:r>
      <w:r>
        <w:t xml:space="preserve"> </w:t>
      </w:r>
    </w:p>
    <w:bookmarkEnd w:id="102"/>
    <w:bookmarkStart w:id="104" w:name="Xb35ee182d565575e339a0170868456c1684f821"/>
    <w:p>
      <w:pPr>
        <w:pStyle w:val="Bibliography"/>
      </w:pPr>
      <w:r>
        <w:t xml:space="preserve">19.</w:t>
      </w:r>
      <w:r>
        <w:t xml:space="preserve"> </w:t>
      </w:r>
      <w:r>
        <w:t xml:space="preserve">	</w:t>
      </w:r>
      <w:r>
        <w:t xml:space="preserve">Wyant K, Moshontz H, Ward SB, Fronk GE, Curtin JJ. Acceptability of</w:t>
      </w:r>
      <w:r>
        <w:t xml:space="preserve"> </w:t>
      </w:r>
      <w:r>
        <w:t xml:space="preserve">Personal Sensing Among People With Alcohol Use Disorder</w:t>
      </w:r>
      <w:r>
        <w:t xml:space="preserve">:</w:t>
      </w:r>
      <w:r>
        <w:t xml:space="preserve"> </w:t>
      </w:r>
      <w:r>
        <w:t xml:space="preserve">Observational Study</w:t>
      </w:r>
      <w:r>
        <w:t xml:space="preserve">. JMIR mHealth and uHealth. 2023;11: e41833. doi:</w:t>
      </w:r>
      <w:hyperlink r:id="rId103">
        <w:r>
          <w:rPr>
            <w:rStyle w:val="Hyperlink"/>
          </w:rPr>
          <w:t xml:space="preserve">10.2196/41833</w:t>
        </w:r>
      </w:hyperlink>
    </w:p>
    <w:bookmarkEnd w:id="104"/>
    <w:bookmarkStart w:id="106" w:name="X1f44e09282148d362bdacfce67d6a56b1cf06db"/>
    <w:p>
      <w:pPr>
        <w:pStyle w:val="Bibliography"/>
      </w:pPr>
      <w:r>
        <w:t xml:space="preserve">20.</w:t>
      </w:r>
      <w:r>
        <w:t xml:space="preserve"> </w:t>
      </w:r>
      <w:r>
        <w:t xml:space="preserve">	</w:t>
      </w:r>
      <w:r>
        <w:t xml:space="preserve">Moshontz H, Colmenares AJ, Fronk GE, Sant’Ana SJ, Wyant K, Wanta SE, et al. Prospective</w:t>
      </w:r>
      <w:r>
        <w:t xml:space="preserve"> </w:t>
      </w:r>
      <w:r>
        <w:t xml:space="preserve">Prediction</w:t>
      </w:r>
      <w:r>
        <w:t xml:space="preserve"> </w:t>
      </w:r>
      <w:r>
        <w:t xml:space="preserve">of</w:t>
      </w:r>
      <w:r>
        <w:t xml:space="preserve"> </w:t>
      </w:r>
      <w:r>
        <w:t xml:space="preserve">Lapses</w:t>
      </w:r>
      <w:r>
        <w:t xml:space="preserve"> </w:t>
      </w:r>
      <w:r>
        <w:t xml:space="preserve">in</w:t>
      </w:r>
      <w:r>
        <w:t xml:space="preserve"> </w:t>
      </w:r>
      <w:r>
        <w:t xml:space="preserve">Opioid Use Disorder</w:t>
      </w:r>
      <w:r>
        <w:t xml:space="preserve">:</w:t>
      </w:r>
      <w:r>
        <w:t xml:space="preserve"> </w:t>
      </w:r>
      <w:r>
        <w:t xml:space="preserve">Protocol</w:t>
      </w:r>
      <w:r>
        <w:t xml:space="preserve"> </w:t>
      </w:r>
      <w:r>
        <w:t xml:space="preserve">for a</w:t>
      </w:r>
      <w:r>
        <w:t xml:space="preserve"> </w:t>
      </w:r>
      <w:r>
        <w:t xml:space="preserve">Personal Sensing Study</w:t>
      </w:r>
      <w:r>
        <w:t xml:space="preserve">. JMIR Research Protocols. 2021;10: e29563. doi:</w:t>
      </w:r>
      <w:hyperlink r:id="rId105">
        <w:r>
          <w:rPr>
            <w:rStyle w:val="Hyperlink"/>
          </w:rPr>
          <w:t xml:space="preserve">10.2196/29563</w:t>
        </w:r>
      </w:hyperlink>
    </w:p>
    <w:bookmarkEnd w:id="106"/>
    <w:bookmarkStart w:id="108" w:name="ref-wyantMachineLearningModels2024"/>
    <w:p>
      <w:pPr>
        <w:pStyle w:val="Bibliography"/>
      </w:pPr>
      <w:r>
        <w:t xml:space="preserve">21.</w:t>
      </w:r>
      <w:r>
        <w:t xml:space="preserve"> </w:t>
      </w:r>
      <w:r>
        <w:t xml:space="preserve">	</w:t>
      </w:r>
      <w:r>
        <w:t xml:space="preserve">Wyant K, Sant’Ana SJK, Fronk G, Curtin JJ. Machine learning models for temporally precise lapse prediction in alcohol use disorder. Psychopathology and Clinical Science. 2024. doi:</w:t>
      </w:r>
      <w:hyperlink r:id="rId107">
        <w:r>
          <w:rPr>
            <w:rStyle w:val="Hyperlink"/>
          </w:rPr>
          <w:t xml:space="preserve">10.31234/osf.io/cgsf7</w:t>
        </w:r>
      </w:hyperlink>
    </w:p>
    <w:bookmarkEnd w:id="108"/>
    <w:bookmarkStart w:id="109" w:name="X34be55f2a2ff67a14e7206627bb93b426490c87"/>
    <w:p>
      <w:pPr>
        <w:pStyle w:val="Bibliography"/>
      </w:pPr>
      <w:r>
        <w:t xml:space="preserve">22.</w:t>
      </w:r>
      <w:r>
        <w:t xml:space="preserve"> </w:t>
      </w:r>
      <w:r>
        <w:t xml:space="preserve">	</w:t>
      </w:r>
      <w:r>
        <w:t xml:space="preserve">Lundberg SM, Lee S-I. A unified approach to interpreting model predictions. Proceedings of the 31st</w:t>
      </w:r>
      <w:r>
        <w:t xml:space="preserve"> </w:t>
      </w:r>
      <w:r>
        <w:t xml:space="preserve">International Conference</w:t>
      </w:r>
      <w:r>
        <w:t xml:space="preserve"> </w:t>
      </w:r>
      <w:r>
        <w:t xml:space="preserve">on</w:t>
      </w:r>
      <w:r>
        <w:t xml:space="preserve"> </w:t>
      </w:r>
      <w:r>
        <w:t xml:space="preserve">Neural Information Processing Systems</w:t>
      </w:r>
      <w:r>
        <w:t xml:space="preserve">. Red Hook, NY, USA: Curran Associates Inc.; 2017. pp. 4768–4777.</w:t>
      </w:r>
      <w:r>
        <w:t xml:space="preserve"> </w:t>
      </w:r>
    </w:p>
    <w:bookmarkEnd w:id="109"/>
    <w:bookmarkStart w:id="111" w:name="Xd4c1d027f60920f356af6131267e679804e946e"/>
    <w:p>
      <w:pPr>
        <w:pStyle w:val="Bibliography"/>
      </w:pPr>
      <w:r>
        <w:t xml:space="preserve">23.</w:t>
      </w:r>
      <w:r>
        <w:t xml:space="preserve"> </w:t>
      </w:r>
      <w:r>
        <w:t xml:space="preserve">	</w:t>
      </w:r>
      <w:r>
        <w:t xml:space="preserve">Soyster PD, Ashlock L, Fisher AJ. Pooled and person-specific machine learning models for predicting future alcohol consumption, craving, and wanting to drink:</w:t>
      </w:r>
      <w:r>
        <w:t xml:space="preserve"> </w:t>
      </w:r>
      <w:r>
        <w:t xml:space="preserve">A</w:t>
      </w:r>
      <w:r>
        <w:t xml:space="preserve"> </w:t>
      </w:r>
      <w:r>
        <w:t xml:space="preserve">demonstration of parallel utility. Psychology of Addictive Behaviors: Journal of the Society of Psychologists in Addictive Behaviors. 2022;36: 296–306. doi:</w:t>
      </w:r>
      <w:hyperlink r:id="rId110">
        <w:r>
          <w:rPr>
            <w:rStyle w:val="Hyperlink"/>
          </w:rPr>
          <w:t xml:space="preserve">10.1037/adb0000666</w:t>
        </w:r>
      </w:hyperlink>
    </w:p>
    <w:bookmarkEnd w:id="111"/>
    <w:bookmarkStart w:id="113" w:name="ref-waltersUsingMachineLearning2021"/>
    <w:p>
      <w:pPr>
        <w:pStyle w:val="Bibliography"/>
      </w:pPr>
      <w:r>
        <w:t xml:space="preserve">24.</w:t>
      </w:r>
      <w:r>
        <w:t xml:space="preserve"> </w:t>
      </w:r>
      <w:r>
        <w:t xml:space="preserve">	</w:t>
      </w:r>
      <w:r>
        <w:t xml:space="preserve">Walters ST, Businelle MS, Suchting R, Li X, Hébert ET, Mun E-Y. Using machine learning to identify predictors of imminent drinking and create tailored messages for at-risk drinkers experiencing homelessness. Journal of Substance Abuse Treatment. 2021;127: 108417. doi:</w:t>
      </w:r>
      <w:hyperlink r:id="rId112">
        <w:r>
          <w:rPr>
            <w:rStyle w:val="Hyperlink"/>
          </w:rPr>
          <w:t xml:space="preserve">10.1016/j.jsat.2021.108417</w:t>
        </w:r>
      </w:hyperlink>
    </w:p>
    <w:bookmarkEnd w:id="113"/>
    <w:bookmarkStart w:id="114" w:name="X0f0fab553d46f8852e582400eb2e6c745146f48"/>
    <w:p>
      <w:pPr>
        <w:pStyle w:val="Bibliography"/>
      </w:pPr>
      <w:r>
        <w:t xml:space="preserve">25.</w:t>
      </w:r>
      <w:r>
        <w:t xml:space="preserve"> </w:t>
      </w:r>
      <w:r>
        <w:t xml:space="preserve">	</w:t>
      </w:r>
      <w:r>
        <w:t xml:space="preserve">Wyant K, Sant’Ana SJ, Punturieri CE, Yu J, Fronk GE, Maggard CM, et al.</w:t>
      </w:r>
      <w:r>
        <w:t xml:space="preserve"> Maximizing engagement, trust, and clinical benefit of</w:t>
      </w:r>
      <w:r>
        <w:t xml:space="preserve"> </w:t>
      </w:r>
      <w:r>
        <w:t xml:space="preserve">AI-generated</w:t>
      </w:r>
      <w:r>
        <w:t xml:space="preserve"> </w:t>
      </w:r>
      <w:r>
        <w:t xml:space="preserve">recovery monitoring and support messages for alcohol use disorder:</w:t>
      </w:r>
      <w:r>
        <w:t xml:space="preserve"> </w:t>
      </w:r>
      <w:r>
        <w:t xml:space="preserve">Protocol</w:t>
      </w:r>
      <w:r>
        <w:t xml:space="preserve"> </w:t>
      </w:r>
      <w:r>
        <w:t xml:space="preserve">for an optimization study. under review.</w:t>
      </w:r>
      <w:r>
        <w:t xml:space="preserve"> </w:t>
      </w:r>
    </w:p>
    <w:bookmarkEnd w:id="114"/>
    <w:bookmarkStart w:id="116" w:name="ref-pinedoCurrentReexaminationRacial2019"/>
    <w:p>
      <w:pPr>
        <w:pStyle w:val="Bibliography"/>
      </w:pPr>
      <w:r>
        <w:t xml:space="preserve">26.</w:t>
      </w:r>
      <w:r>
        <w:t xml:space="preserve"> </w:t>
      </w:r>
      <w:r>
        <w:t xml:space="preserve">	</w:t>
      </w:r>
      <w:r>
        <w:t xml:space="preserve">Pinedo M. A current re-examination of racial/ethnic disparities in the use of substance abuse treatment:</w:t>
      </w:r>
      <w:r>
        <w:t xml:space="preserve"> </w:t>
      </w:r>
      <w:r>
        <w:t xml:space="preserve">Do</w:t>
      </w:r>
      <w:r>
        <w:t xml:space="preserve"> </w:t>
      </w:r>
      <w:r>
        <w:t xml:space="preserve">disparities persist? Drug and Alcohol Dependence. 2019;202: 162–167. doi:</w:t>
      </w:r>
      <w:hyperlink r:id="rId115">
        <w:r>
          <w:rPr>
            <w:rStyle w:val="Hyperlink"/>
          </w:rPr>
          <w:t xml:space="preserve">10.1016/j.drugalcdep.2019.05.017</w:t>
        </w:r>
      </w:hyperlink>
    </w:p>
    <w:bookmarkEnd w:id="116"/>
    <w:bookmarkStart w:id="118" w:name="ref-kilaruIncidenceTreatmentOpioid2020"/>
    <w:p>
      <w:pPr>
        <w:pStyle w:val="Bibliography"/>
      </w:pPr>
      <w:r>
        <w:t xml:space="preserve">27.</w:t>
      </w:r>
      <w:r>
        <w:t xml:space="preserve"> </w:t>
      </w:r>
      <w:r>
        <w:t xml:space="preserve">	</w:t>
      </w:r>
      <w:r>
        <w:t xml:space="preserve">Kilaru AS, Xiong A, Lowenstein M, Meisel ZF, Perrone J, Khatri U, et al. Incidence of</w:t>
      </w:r>
      <w:r>
        <w:t xml:space="preserve"> </w:t>
      </w:r>
      <w:r>
        <w:t xml:space="preserve">Treatment</w:t>
      </w:r>
      <w:r>
        <w:t xml:space="preserve"> </w:t>
      </w:r>
      <w:r>
        <w:t xml:space="preserve">for</w:t>
      </w:r>
      <w:r>
        <w:t xml:space="preserve"> </w:t>
      </w:r>
      <w:r>
        <w:t xml:space="preserve">Opioid Use Disorder Following Nonfatal Overdose</w:t>
      </w:r>
      <w:r>
        <w:t xml:space="preserve"> </w:t>
      </w:r>
      <w:r>
        <w:t xml:space="preserve">in</w:t>
      </w:r>
      <w:r>
        <w:t xml:space="preserve"> </w:t>
      </w:r>
      <w:r>
        <w:t xml:space="preserve">Commercially Insured Patients</w:t>
      </w:r>
      <w:r>
        <w:t xml:space="preserve">. JAMA Network Open. 2020;3: e205852. doi:</w:t>
      </w:r>
      <w:hyperlink r:id="rId117">
        <w:r>
          <w:rPr>
            <w:rStyle w:val="Hyperlink"/>
          </w:rPr>
          <w:t xml:space="preserve">10.1001/jamanetworkopen.2020.5852</w:t>
        </w:r>
      </w:hyperlink>
    </w:p>
    <w:bookmarkEnd w:id="118"/>
    <w:bookmarkStart w:id="120" w:name="ref-olfsonHealthcareCoverageService2022"/>
    <w:p>
      <w:pPr>
        <w:pStyle w:val="Bibliography"/>
      </w:pPr>
      <w:r>
        <w:t xml:space="preserve">28.</w:t>
      </w:r>
      <w:r>
        <w:t xml:space="preserve"> </w:t>
      </w:r>
      <w:r>
        <w:t xml:space="preserve">	</w:t>
      </w:r>
      <w:r>
        <w:t xml:space="preserve">Olfson M, Mauro C, Wall MM, Choi CJ, Barry CL, Mojtabai R. Healthcare coverage and service access for low-income adults with substance use disorders. Journal of Substance Abuse Treatment. 2022;137: 108710. doi:</w:t>
      </w:r>
      <w:hyperlink r:id="rId119">
        <w:r>
          <w:rPr>
            <w:rStyle w:val="Hyperlink"/>
          </w:rPr>
          <w:t xml:space="preserve">10.1016/j.jsat.2021.108710</w:t>
        </w:r>
      </w:hyperlink>
    </w:p>
    <w:bookmarkEnd w:id="120"/>
    <w:bookmarkStart w:id="122" w:name="Xa203ab3abd150ead1a7854a9fa5726c8a273f52"/>
    <w:p>
      <w:pPr>
        <w:pStyle w:val="Bibliography"/>
      </w:pPr>
      <w:r>
        <w:t xml:space="preserve">29.</w:t>
      </w:r>
      <w:r>
        <w:t xml:space="preserve"> </w:t>
      </w:r>
      <w:r>
        <w:t xml:space="preserve">	</w:t>
      </w:r>
      <w:r>
        <w:t xml:space="preserve">Greenfield SF, Brooks AJ, Gordon SM, Green CA, Kropp F, McHugh RK, et al. Substance abuse treatment entry, retention, and outcome in women:</w:t>
      </w:r>
      <w:r>
        <w:t xml:space="preserve"> </w:t>
      </w:r>
      <w:r>
        <w:t xml:space="preserve">A</w:t>
      </w:r>
      <w:r>
        <w:t xml:space="preserve"> </w:t>
      </w:r>
      <w:r>
        <w:t xml:space="preserve">review of the literature. Drug and Alcohol Dependence. 2007;86: 1–21. doi:</w:t>
      </w:r>
      <w:hyperlink r:id="rId121">
        <w:r>
          <w:rPr>
            <w:rStyle w:val="Hyperlink"/>
          </w:rPr>
          <w:t xml:space="preserve">10.1016/j.drugalcdep.2006.05.012</w:t>
        </w:r>
      </w:hyperlink>
    </w:p>
    <w:bookmarkEnd w:id="122"/>
    <w:bookmarkStart w:id="123" w:name="ref-hsiehSampleSizeTables1989"/>
    <w:p>
      <w:pPr>
        <w:pStyle w:val="Bibliography"/>
      </w:pPr>
      <w:r>
        <w:t xml:space="preserve">30.</w:t>
      </w:r>
      <w:r>
        <w:t xml:space="preserve"> </w:t>
      </w:r>
      <w:r>
        <w:t xml:space="preserve">	</w:t>
      </w:r>
      <w:r>
        <w:t xml:space="preserve">Hsieh F. Sample size tables for logistic regression. Statistics in Medicine. 1989;8: 795–802.</w:t>
      </w:r>
      <w:r>
        <w:t xml:space="preserve"> </w:t>
      </w:r>
    </w:p>
    <w:bookmarkEnd w:id="123"/>
    <w:bookmarkStart w:id="124" w:name="ref-derogatislBriefSymptomInventory"/>
    <w:p>
      <w:pPr>
        <w:pStyle w:val="Bibliography"/>
      </w:pPr>
      <w:r>
        <w:t xml:space="preserve">31.</w:t>
      </w:r>
      <w:r>
        <w:t xml:space="preserve"> </w:t>
      </w:r>
      <w:r>
        <w:t xml:space="preserve">	</w:t>
      </w:r>
      <w:r>
        <w:t xml:space="preserve">Derogatis, L.R. Brief</w:t>
      </w:r>
      <w:r>
        <w:t xml:space="preserve"> </w:t>
      </w:r>
      <w:r>
        <w:t xml:space="preserve">Symptom Inventory</w:t>
      </w:r>
      <w:r>
        <w:t xml:space="preserve"> </w:t>
      </w:r>
      <w:r>
        <w:t xml:space="preserve">18 -</w:t>
      </w:r>
      <w:r>
        <w:t xml:space="preserve"> </w:t>
      </w:r>
      <w:r>
        <w:t xml:space="preserve">Administration</w:t>
      </w:r>
      <w:r>
        <w:t xml:space="preserve">, scoring, and procedures manual. Minneapolis: NCS Pearson; 2000.</w:t>
      </w:r>
      <w:r>
        <w:t xml:space="preserve"> </w:t>
      </w:r>
    </w:p>
    <w:bookmarkEnd w:id="124"/>
    <w:bookmarkStart w:id="126" w:name="X2d30c84041d97351f676569bf3de3da0c8a9d6d"/>
    <w:p>
      <w:pPr>
        <w:pStyle w:val="Bibliography"/>
      </w:pPr>
      <w:r>
        <w:t xml:space="preserve">32.</w:t>
      </w:r>
      <w:r>
        <w:t xml:space="preserve"> </w:t>
      </w:r>
      <w:r>
        <w:t xml:space="preserve">	</w:t>
      </w:r>
      <w:r>
        <w:t xml:space="preserve">WHO ASSIST Working Group.</w:t>
      </w:r>
      <w:r>
        <w:t xml:space="preserve"> </w:t>
      </w:r>
      <w:hyperlink r:id="rId125">
        <w:r>
          <w:rPr>
            <w:rStyle w:val="Hyperlink"/>
          </w:rPr>
          <w:t xml:space="preserve">The</w:t>
        </w:r>
        <w:r>
          <w:rPr>
            <w:rStyle w:val="Hyperlink"/>
          </w:rPr>
          <w:t xml:space="preserve"> </w:t>
        </w:r>
        <w:r>
          <w:rPr>
            <w:rStyle w:val="Hyperlink"/>
          </w:rPr>
          <w:t xml:space="preserve">Alcohol</w:t>
        </w:r>
        <w:r>
          <w:rPr>
            <w:rStyle w:val="Hyperlink"/>
          </w:rPr>
          <w:t xml:space="preserve">,</w:t>
        </w:r>
        <w:r>
          <w:rPr>
            <w:rStyle w:val="Hyperlink"/>
          </w:rPr>
          <w:t xml:space="preserve"> </w:t>
        </w:r>
        <w:r>
          <w:rPr>
            <w:rStyle w:val="Hyperlink"/>
          </w:rPr>
          <w:t xml:space="preserve">Smoking</w:t>
        </w:r>
        <w:r>
          <w:rPr>
            <w:rStyle w:val="Hyperlink"/>
          </w:rPr>
          <w:t xml:space="preserve"> </w:t>
        </w:r>
        <w:r>
          <w:rPr>
            <w:rStyle w:val="Hyperlink"/>
          </w:rPr>
          <w:t xml:space="preserve">and</w:t>
        </w:r>
        <w:r>
          <w:rPr>
            <w:rStyle w:val="Hyperlink"/>
          </w:rPr>
          <w:t xml:space="preserve"> </w:t>
        </w:r>
        <w:r>
          <w:rPr>
            <w:rStyle w:val="Hyperlink"/>
          </w:rPr>
          <w:t xml:space="preserve">Substance Involvement Screening Test</w:t>
        </w:r>
        <w:r>
          <w:rPr>
            <w:rStyle w:val="Hyperlink"/>
          </w:rPr>
          <w:t xml:space="preserve"> </w:t>
        </w:r>
        <w:r>
          <w:rPr>
            <w:rStyle w:val="Hyperlink"/>
          </w:rPr>
          <w:t xml:space="preserve">(</w:t>
        </w:r>
        <w:r>
          <w:rPr>
            <w:rStyle w:val="Hyperlink"/>
          </w:rPr>
          <w:t xml:space="preserve">ASSIST</w:t>
        </w:r>
        <w:r>
          <w:rPr>
            <w:rStyle w:val="Hyperlink"/>
          </w:rPr>
          <w:t xml:space="preserve">): Development, reliability and feasibility</w:t>
        </w:r>
      </w:hyperlink>
      <w:r>
        <w:t xml:space="preserve">. Addiction (Abingdon, England). 2002;97: 1183–1194.</w:t>
      </w:r>
      <w:r>
        <w:t xml:space="preserve"> </w:t>
      </w:r>
    </w:p>
    <w:bookmarkEnd w:id="126"/>
    <w:bookmarkStart w:id="127" w:name="ref-kuhnTidymodelsCollectionPackages2020"/>
    <w:p>
      <w:pPr>
        <w:pStyle w:val="Bibliography"/>
      </w:pPr>
      <w:r>
        <w:t xml:space="preserve">33.</w:t>
      </w:r>
      <w:r>
        <w:t xml:space="preserve"> </w:t>
      </w:r>
      <w:r>
        <w:t xml:space="preserve">	</w:t>
      </w:r>
      <w:r>
        <w:t xml:space="preserve">Kuhn M, Wickham H. Tidymodels: A collection of packages for modeling and machine learning using tidyverse principles. 2020.</w:t>
      </w:r>
      <w:r>
        <w:t xml:space="preserve"> </w:t>
      </w:r>
    </w:p>
    <w:bookmarkEnd w:id="127"/>
    <w:bookmarkStart w:id="128" w:name="Xa93a98d1ce255982a5ea923c39451c32053b2a2"/>
    <w:p>
      <w:pPr>
        <w:pStyle w:val="Bibliography"/>
      </w:pPr>
      <w:r>
        <w:t xml:space="preserve">34.</w:t>
      </w:r>
      <w:r>
        <w:t xml:space="preserve"> </w:t>
      </w:r>
      <w:r>
        <w:t xml:space="preserve">	</w:t>
      </w:r>
      <w:r>
        <w:t xml:space="preserve">Kuhn M. Tidyposterior:</w:t>
      </w:r>
      <w:r>
        <w:t xml:space="preserve"> </w:t>
      </w:r>
      <w:r>
        <w:t xml:space="preserve">Bayesian Analysis</w:t>
      </w:r>
      <w:r>
        <w:t xml:space="preserve"> </w:t>
      </w:r>
      <w:r>
        <w:t xml:space="preserve">to</w:t>
      </w:r>
      <w:r>
        <w:t xml:space="preserve"> </w:t>
      </w:r>
      <w:r>
        <w:t xml:space="preserve">Compare Models</w:t>
      </w:r>
      <w:r>
        <w:t xml:space="preserve"> </w:t>
      </w:r>
      <w:r>
        <w:t xml:space="preserve">using</w:t>
      </w:r>
      <w:r>
        <w:t xml:space="preserve"> </w:t>
      </w:r>
      <w:r>
        <w:t xml:space="preserve">Resampling Statistics</w:t>
      </w:r>
      <w:r>
        <w:t xml:space="preserve">. 2022.</w:t>
      </w:r>
      <w:r>
        <w:t xml:space="preserve"> </w:t>
      </w:r>
    </w:p>
    <w:bookmarkEnd w:id="128"/>
    <w:bookmarkStart w:id="129" w:name="ref-goodrichRstanarmBayesianApplied2023"/>
    <w:p>
      <w:pPr>
        <w:pStyle w:val="Bibliography"/>
      </w:pPr>
      <w:r>
        <w:t xml:space="preserve">35.</w:t>
      </w:r>
      <w:r>
        <w:t xml:space="preserve"> </w:t>
      </w:r>
      <w:r>
        <w:t xml:space="preserve">	</w:t>
      </w:r>
      <w:r>
        <w:t xml:space="preserve">Goodrich B, Gabry J, Ali I, Brilleman S. Rstanarm:</w:t>
      </w:r>
      <w:r>
        <w:t xml:space="preserve"> </w:t>
      </w:r>
      <w:r>
        <w:t xml:space="preserve">Bayesian Applied Regression Modeling</w:t>
      </w:r>
      <w:r>
        <w:t xml:space="preserve"> </w:t>
      </w:r>
      <w:r>
        <w:t xml:space="preserve">via</w:t>
      </w:r>
      <w:r>
        <w:t xml:space="preserve"> </w:t>
      </w:r>
      <w:r>
        <w:t xml:space="preserve">Stan</w:t>
      </w:r>
      <w:r>
        <w:t xml:space="preserve">. 2023.</w:t>
      </w:r>
      <w:r>
        <w:t xml:space="preserve"> </w:t>
      </w:r>
    </w:p>
    <w:bookmarkEnd w:id="129"/>
    <w:bookmarkStart w:id="131" w:name="ref-chtc"/>
    <w:p>
      <w:pPr>
        <w:pStyle w:val="Bibliography"/>
      </w:pPr>
      <w:r>
        <w:t xml:space="preserve">36.</w:t>
      </w:r>
      <w:r>
        <w:t xml:space="preserve"> </w:t>
      </w:r>
      <w:r>
        <w:t xml:space="preserve">	</w:t>
      </w:r>
      <w:r>
        <w:t xml:space="preserve">Center for High Throughput Computing. Center for high throughput computing. Center for High Throughput Computing; 2006. doi:</w:t>
      </w:r>
      <w:hyperlink r:id="rId130">
        <w:r>
          <w:rPr>
            <w:rStyle w:val="Hyperlink"/>
          </w:rPr>
          <w:t xml:space="preserve">10.21231/GNT1-HW21</w:t>
        </w:r>
      </w:hyperlink>
    </w:p>
    <w:bookmarkEnd w:id="131"/>
    <w:bookmarkStart w:id="133" w:name="ref-kuhnAppliedPredictiveModeling2018"/>
    <w:p>
      <w:pPr>
        <w:pStyle w:val="Bibliography"/>
      </w:pPr>
      <w:r>
        <w:t xml:space="preserve">37.</w:t>
      </w:r>
      <w:r>
        <w:t xml:space="preserve"> </w:t>
      </w:r>
      <w:r>
        <w:t xml:space="preserve">	</w:t>
      </w:r>
      <w:r>
        <w:t xml:space="preserve">Kuhn M, Johnson K. Applied</w:t>
      </w:r>
      <w:r>
        <w:t xml:space="preserve"> </w:t>
      </w:r>
      <w:r>
        <w:t xml:space="preserve">Predictive Modeling</w:t>
      </w:r>
      <w:r>
        <w:t xml:space="preserve">. 1st ed. 2013, Corr. 2nd printing 2018 edition. New York: Springer; 2018. doi:</w:t>
      </w:r>
      <w:hyperlink r:id="rId132">
        <w:r>
          <w:rPr>
            <w:rStyle w:val="Hyperlink"/>
          </w:rPr>
          <w:t xml:space="preserve">10.1007/978-1-4614-6849-3</w:t>
        </w:r>
      </w:hyperlink>
    </w:p>
    <w:bookmarkEnd w:id="133"/>
    <w:bookmarkStart w:id="134" w:name="X93e79e1a5ab79bb153842a6d1ed7d5e5cb3185f"/>
    <w:p>
      <w:pPr>
        <w:pStyle w:val="Bibliography"/>
      </w:pPr>
      <w:r>
        <w:t xml:space="preserve">38.</w:t>
      </w:r>
      <w:r>
        <w:t xml:space="preserve"> </w:t>
      </w:r>
      <w:r>
        <w:t xml:space="preserve">	</w:t>
      </w:r>
      <w:r>
        <w:t xml:space="preserve">RStudio Team.</w:t>
      </w:r>
      <w:r>
        <w:t xml:space="preserve"> </w:t>
      </w:r>
      <w:r>
        <w:t xml:space="preserve">RStudio</w:t>
      </w:r>
      <w:r>
        <w:t xml:space="preserve">:</w:t>
      </w:r>
      <w:r>
        <w:t xml:space="preserve"> </w:t>
      </w:r>
      <w:r>
        <w:t xml:space="preserve">Integrated Development</w:t>
      </w:r>
      <w:r>
        <w:t xml:space="preserve"> </w:t>
      </w:r>
      <w:r>
        <w:t xml:space="preserve">for</w:t>
      </w:r>
      <w:r>
        <w:t xml:space="preserve"> </w:t>
      </w:r>
      <w:r>
        <w:t xml:space="preserve">R</w:t>
      </w:r>
      <w:r>
        <w:t xml:space="preserve">. Boston, MA: RStudio, Inc; 2020.</w:t>
      </w:r>
      <w:r>
        <w:t xml:space="preserve"> </w:t>
      </w:r>
    </w:p>
    <w:bookmarkEnd w:id="134"/>
    <w:bookmarkStart w:id="135" w:name="ref-gabryPriorDistributionsRstanarm2023"/>
    <w:p>
      <w:pPr>
        <w:pStyle w:val="Bibliography"/>
      </w:pPr>
      <w:r>
        <w:t xml:space="preserve">39.</w:t>
      </w:r>
      <w:r>
        <w:t xml:space="preserve"> </w:t>
      </w:r>
      <w:r>
        <w:t xml:space="preserve">	</w:t>
      </w:r>
      <w:r>
        <w:t xml:space="preserve">Gabry J, Goodrich B. Prior</w:t>
      </w:r>
      <w:r>
        <w:t xml:space="preserve"> </w:t>
      </w:r>
      <w:r>
        <w:t xml:space="preserve">Distributions</w:t>
      </w:r>
      <w:r>
        <w:t xml:space="preserve"> </w:t>
      </w:r>
      <w:r>
        <w:t xml:space="preserve">for rstanarm</w:t>
      </w:r>
      <w:r>
        <w:t xml:space="preserve"> </w:t>
      </w:r>
      <w:r>
        <w:t xml:space="preserve">Models</w:t>
      </w:r>
      <w:r>
        <w:t xml:space="preserve">. CRAN R-Project. https://cran.r-project.org/web/packages/rstanarm/vignettes/priors.html; 2023.</w:t>
      </w:r>
      <w:r>
        <w:t xml:space="preserve"> </w:t>
      </w:r>
    </w:p>
    <w:bookmarkEnd w:id="135"/>
    <w:bookmarkStart w:id="136" w:name="ref-plattProbabilisticOutputsSupport1999"/>
    <w:p>
      <w:pPr>
        <w:pStyle w:val="Bibliography"/>
      </w:pPr>
      <w:r>
        <w:t xml:space="preserve">40.</w:t>
      </w:r>
      <w:r>
        <w:t xml:space="preserve"> </w:t>
      </w:r>
      <w:r>
        <w:t xml:space="preserve">	</w:t>
      </w:r>
      <w:r>
        <w:t xml:space="preserve">Platt J. Probabilistic outputs for support vector machines and comparisons to regularized likelihood methods. Advances in large margin classifiers. MIT Press; 1999. pp. 61–74.</w:t>
      </w:r>
      <w:r>
        <w:t xml:space="preserve"> </w:t>
      </w:r>
    </w:p>
    <w:bookmarkEnd w:id="136"/>
    <w:bookmarkStart w:id="138" w:name="ref-veinotGoodIntentionsAre2018"/>
    <w:p>
      <w:pPr>
        <w:pStyle w:val="Bibliography"/>
      </w:pPr>
      <w:r>
        <w:t xml:space="preserve">41.</w:t>
      </w:r>
      <w:r>
        <w:t xml:space="preserve"> </w:t>
      </w:r>
      <w:r>
        <w:t xml:space="preserve">	</w:t>
      </w:r>
      <w:r>
        <w:t xml:space="preserve">Veinot TC, Mitchell H, Ancker JS. Good intentions are not enough: How informatics interventions can worsen inequality. Journal of the American Medical Informatics Association: JAMIA. 2018;25: 1080–1088. doi:</w:t>
      </w:r>
      <w:hyperlink r:id="rId137">
        <w:r>
          <w:rPr>
            <w:rStyle w:val="Hyperlink"/>
          </w:rPr>
          <w:t xml:space="preserve">10.1093/jamia/ocy052</w:t>
        </w:r>
      </w:hyperlink>
    </w:p>
    <w:bookmarkEnd w:id="138"/>
    <w:bookmarkStart w:id="140" w:name="ref-leeUrbanRuralDisparities2023"/>
    <w:p>
      <w:pPr>
        <w:pStyle w:val="Bibliography"/>
      </w:pPr>
      <w:r>
        <w:t xml:space="preserve">42.</w:t>
      </w:r>
      <w:r>
        <w:t xml:space="preserve"> </w:t>
      </w:r>
      <w:r>
        <w:t xml:space="preserve">	</w:t>
      </w:r>
      <w:r>
        <w:t xml:space="preserve">Lee JH, Wheeler DC, Zimmerman EB, Hines AL, Chapman DA. Urban–</w:t>
      </w:r>
      <w:r>
        <w:t xml:space="preserve">Rural Disparities</w:t>
      </w:r>
      <w:r>
        <w:t xml:space="preserve"> </w:t>
      </w:r>
      <w:r>
        <w:t xml:space="preserve">in</w:t>
      </w:r>
      <w:r>
        <w:t xml:space="preserve"> </w:t>
      </w:r>
      <w:r>
        <w:t xml:space="preserve">Deaths</w:t>
      </w:r>
      <w:r>
        <w:t xml:space="preserve"> </w:t>
      </w:r>
      <w:r>
        <w:t xml:space="preserve">of</w:t>
      </w:r>
      <w:r>
        <w:t xml:space="preserve"> </w:t>
      </w:r>
      <w:r>
        <w:t xml:space="preserve">Despair</w:t>
      </w:r>
      <w:r>
        <w:t xml:space="preserve">:</w:t>
      </w:r>
      <w:r>
        <w:t xml:space="preserve"> </w:t>
      </w:r>
      <w:r>
        <w:t xml:space="preserve">A County-Level Analysis</w:t>
      </w:r>
      <w:r>
        <w:t xml:space="preserve"> </w:t>
      </w:r>
      <w:r>
        <w:t xml:space="preserve">2004–2016 in the</w:t>
      </w:r>
      <w:r>
        <w:t xml:space="preserve"> </w:t>
      </w:r>
      <w:r>
        <w:t xml:space="preserve">U</w:t>
      </w:r>
      <w:r>
        <w:t xml:space="preserve">.</w:t>
      </w:r>
      <w:r>
        <w:t xml:space="preserve">S</w:t>
      </w:r>
      <w:r>
        <w:t xml:space="preserve">. American journal of preventive medicine. 2023;64: 149–156. doi:</w:t>
      </w:r>
      <w:hyperlink r:id="rId139">
        <w:r>
          <w:rPr>
            <w:rStyle w:val="Hyperlink"/>
          </w:rPr>
          <w:t xml:space="preserve">10.1016/j.amepre.2022.08.022</w:t>
        </w:r>
      </w:hyperlink>
    </w:p>
    <w:bookmarkEnd w:id="140"/>
    <w:bookmarkStart w:id="142" w:name="Xaa720cc9c8d959b428cd2035783815a9cba15e0"/>
    <w:p>
      <w:pPr>
        <w:pStyle w:val="Bibliography"/>
      </w:pPr>
      <w:r>
        <w:t xml:space="preserve">43.</w:t>
      </w:r>
      <w:r>
        <w:t xml:space="preserve"> </w:t>
      </w:r>
      <w:r>
        <w:t xml:space="preserve">	</w:t>
      </w:r>
      <w:r>
        <w:t xml:space="preserve">Lister JJ, Weaver A, Ellis JD, Himle JA, Ledgerwood DM. A systematic review of rural-specific barriers to medication treatment for opioid use disorder in the</w:t>
      </w:r>
      <w:r>
        <w:t xml:space="preserve"> </w:t>
      </w:r>
      <w:r>
        <w:t xml:space="preserve">United States</w:t>
      </w:r>
      <w:r>
        <w:t xml:space="preserve">. The American Journal of Drug and Alcohol Abuse. 2020;46: 273–288. doi:</w:t>
      </w:r>
      <w:hyperlink r:id="rId141">
        <w:r>
          <w:rPr>
            <w:rStyle w:val="Hyperlink"/>
          </w:rPr>
          <w:t xml:space="preserve">10.1080/00952990.2019.1694536</w:t>
        </w:r>
      </w:hyperlink>
    </w:p>
    <w:bookmarkEnd w:id="142"/>
    <w:bookmarkStart w:id="144" w:name="ref-fisherDynamicModelPsychological2015"/>
    <w:p>
      <w:pPr>
        <w:pStyle w:val="Bibliography"/>
      </w:pPr>
      <w:r>
        <w:t xml:space="preserve">44.</w:t>
      </w:r>
      <w:r>
        <w:t xml:space="preserve"> </w:t>
      </w:r>
      <w:r>
        <w:t xml:space="preserve">	</w:t>
      </w:r>
      <w:r>
        <w:t xml:space="preserve">Fisher AJ. Toward a dynamic model of psychological assessment:</w:t>
      </w:r>
      <w:r>
        <w:t xml:space="preserve"> </w:t>
      </w:r>
      <w:r>
        <w:t xml:space="preserve">Implications</w:t>
      </w:r>
      <w:r>
        <w:t xml:space="preserve"> </w:t>
      </w:r>
      <w:r>
        <w:t xml:space="preserve">for personalized care. Journal of Consulting and Clinical Psychology. 2015;83: 825–836. doi:</w:t>
      </w:r>
      <w:hyperlink r:id="rId143">
        <w:r>
          <w:rPr>
            <w:rStyle w:val="Hyperlink"/>
          </w:rPr>
          <w:t xml:space="preserve">10.1037/ccp0000026</w:t>
        </w:r>
      </w:hyperlink>
    </w:p>
    <w:bookmarkEnd w:id="144"/>
    <w:bookmarkStart w:id="146" w:name="Xb70ed90433964dc3a7ede0ee8357d97241623cc"/>
    <w:p>
      <w:pPr>
        <w:pStyle w:val="Bibliography"/>
      </w:pPr>
      <w:r>
        <w:t xml:space="preserve">45.</w:t>
      </w:r>
      <w:r>
        <w:t xml:space="preserve"> </w:t>
      </w:r>
      <w:r>
        <w:t xml:space="preserve">	</w:t>
      </w:r>
      <w:r>
        <w:t xml:space="preserve">David SJ, Marshall AJ, Evanovich EK, Mumma GH. Intraindividual</w:t>
      </w:r>
      <w:r>
        <w:t xml:space="preserve"> </w:t>
      </w:r>
      <w:r>
        <w:t xml:space="preserve">Dynamic Network Analysis</w:t>
      </w:r>
      <w:r>
        <w:t xml:space="preserve"> </w:t>
      </w:r>
      <w:r>
        <w:t xml:space="preserve">-</w:t>
      </w:r>
      <w:r>
        <w:t xml:space="preserve"> </w:t>
      </w:r>
      <w:r>
        <w:t xml:space="preserve">Implications</w:t>
      </w:r>
      <w:r>
        <w:t xml:space="preserve"> </w:t>
      </w:r>
      <w:r>
        <w:t xml:space="preserve">for</w:t>
      </w:r>
      <w:r>
        <w:t xml:space="preserve"> </w:t>
      </w:r>
      <w:r>
        <w:t xml:space="preserve">Clinical Assessment</w:t>
      </w:r>
      <w:r>
        <w:t xml:space="preserve">. Journal of Psychopathology and Behavioral Assessment. 2018;40: 235–248. doi:</w:t>
      </w:r>
      <w:hyperlink r:id="rId145">
        <w:r>
          <w:rPr>
            <w:rStyle w:val="Hyperlink"/>
          </w:rPr>
          <w:t xml:space="preserve">10.1007/s10862-017-9632-8</w:t>
        </w:r>
      </w:hyperlink>
    </w:p>
    <w:bookmarkEnd w:id="146"/>
    <w:bookmarkStart w:id="148" w:name="Xc5cdea043ab663a81d5612c8b1e0f7c2b734aab"/>
    <w:p>
      <w:pPr>
        <w:pStyle w:val="Bibliography"/>
      </w:pPr>
      <w:r>
        <w:t xml:space="preserve">46.</w:t>
      </w:r>
      <w:r>
        <w:t xml:space="preserve"> </w:t>
      </w:r>
      <w:r>
        <w:t xml:space="preserve">	</w:t>
      </w:r>
      <w:r>
        <w:t xml:space="preserve">Roche MJ, Pincus AL, Rebar AL, Conroy DE, Ram N. Enriching</w:t>
      </w:r>
      <w:r>
        <w:t xml:space="preserve"> </w:t>
      </w:r>
      <w:r>
        <w:t xml:space="preserve">Psychological Assessment Using</w:t>
      </w:r>
      <w:r>
        <w:t xml:space="preserve"> </w:t>
      </w:r>
      <w:r>
        <w:t xml:space="preserve">a</w:t>
      </w:r>
      <w:r>
        <w:t xml:space="preserve"> </w:t>
      </w:r>
      <w:r>
        <w:t xml:space="preserve">Person-Specific Analysis</w:t>
      </w:r>
      <w:r>
        <w:t xml:space="preserve"> </w:t>
      </w:r>
      <w:r>
        <w:t xml:space="preserve">of</w:t>
      </w:r>
      <w:r>
        <w:t xml:space="preserve"> </w:t>
      </w:r>
      <w:r>
        <w:t xml:space="preserve">Interpersonal Processes</w:t>
      </w:r>
      <w:r>
        <w:t xml:space="preserve"> </w:t>
      </w:r>
      <w:r>
        <w:t xml:space="preserve">in</w:t>
      </w:r>
      <w:r>
        <w:t xml:space="preserve"> </w:t>
      </w:r>
      <w:r>
        <w:t xml:space="preserve">Daily Life</w:t>
      </w:r>
      <w:r>
        <w:t xml:space="preserve">. Assessment. 2014;21: 515–528. doi:</w:t>
      </w:r>
      <w:hyperlink r:id="rId147">
        <w:r>
          <w:rPr>
            <w:rStyle w:val="Hyperlink"/>
          </w:rPr>
          <w:t xml:space="preserve">10.1177/1073191114540320</w:t>
        </w:r>
      </w:hyperlink>
    </w:p>
    <w:bookmarkEnd w:id="148"/>
    <w:bookmarkStart w:id="150" w:name="X513fadbf866a4ddf9f29b63741ad369252b4800"/>
    <w:p>
      <w:pPr>
        <w:pStyle w:val="Bibliography"/>
      </w:pPr>
      <w:r>
        <w:t xml:space="preserve">47.</w:t>
      </w:r>
      <w:r>
        <w:t xml:space="preserve"> </w:t>
      </w:r>
      <w:r>
        <w:t xml:space="preserve">	</w:t>
      </w:r>
      <w:r>
        <w:t xml:space="preserve">Wright AGC, Hallquist MN, Stepp SD, Scott LN, Beeney JE, Lazarus SA, et al. Modeling</w:t>
      </w:r>
      <w:r>
        <w:t xml:space="preserve"> </w:t>
      </w:r>
      <w:r>
        <w:t xml:space="preserve">Heterogeneity</w:t>
      </w:r>
      <w:r>
        <w:t xml:space="preserve"> </w:t>
      </w:r>
      <w:r>
        <w:t xml:space="preserve">in</w:t>
      </w:r>
      <w:r>
        <w:t xml:space="preserve"> </w:t>
      </w:r>
      <w:r>
        <w:t xml:space="preserve">Momentary Interpersonal</w:t>
      </w:r>
      <w:r>
        <w:t xml:space="preserve"> </w:t>
      </w:r>
      <w:r>
        <w:t xml:space="preserve">and</w:t>
      </w:r>
      <w:r>
        <w:t xml:space="preserve"> </w:t>
      </w:r>
      <w:r>
        <w:t xml:space="preserve">Affective Dynamic Processes</w:t>
      </w:r>
      <w:r>
        <w:t xml:space="preserve"> </w:t>
      </w:r>
      <w:r>
        <w:t xml:space="preserve">in</w:t>
      </w:r>
      <w:r>
        <w:t xml:space="preserve"> </w:t>
      </w:r>
      <w:r>
        <w:t xml:space="preserve">Borderline Personality Disorder</w:t>
      </w:r>
      <w:r>
        <w:t xml:space="preserve">. Assessment. 2016;23: 484–495. doi:</w:t>
      </w:r>
      <w:hyperlink r:id="rId149">
        <w:r>
          <w:rPr>
            <w:rStyle w:val="Hyperlink"/>
          </w:rPr>
          <w:t xml:space="preserve">10.1177/1073191116653829</w:t>
        </w:r>
      </w:hyperlink>
    </w:p>
    <w:bookmarkEnd w:id="150"/>
    <w:bookmarkStart w:id="152" w:name="ref-pulickIdiographicLapsePrediction2025"/>
    <w:p>
      <w:pPr>
        <w:pStyle w:val="Bibliography"/>
      </w:pPr>
      <w:r>
        <w:t xml:space="preserve">48.</w:t>
      </w:r>
      <w:r>
        <w:t xml:space="preserve"> </w:t>
      </w:r>
      <w:r>
        <w:t xml:space="preserve">	</w:t>
      </w:r>
      <w:r>
        <w:t xml:space="preserve">Pulick E, Curtin J, Mintz Y. Idiographic</w:t>
      </w:r>
      <w:r>
        <w:t xml:space="preserve"> </w:t>
      </w:r>
      <w:r>
        <w:t xml:space="preserve">Lapse Prediction With State Space Modeling</w:t>
      </w:r>
      <w:r>
        <w:t xml:space="preserve">:</w:t>
      </w:r>
      <w:r>
        <w:t xml:space="preserve"> </w:t>
      </w:r>
      <w:r>
        <w:t xml:space="preserve">Algorithm Development</w:t>
      </w:r>
      <w:r>
        <w:t xml:space="preserve"> </w:t>
      </w:r>
      <w:r>
        <w:t xml:space="preserve">and</w:t>
      </w:r>
      <w:r>
        <w:t xml:space="preserve"> </w:t>
      </w:r>
      <w:r>
        <w:t xml:space="preserve">Validation Study</w:t>
      </w:r>
      <w:r>
        <w:t xml:space="preserve">. JMIR Formative Research. 2025;9: e73265. doi:</w:t>
      </w:r>
      <w:hyperlink r:id="rId151">
        <w:r>
          <w:rPr>
            <w:rStyle w:val="Hyperlink"/>
          </w:rPr>
          <w:t xml:space="preserve">10.2196/73265</w:t>
        </w:r>
      </w:hyperlink>
    </w:p>
    <w:bookmarkEnd w:id="152"/>
    <w:bookmarkStart w:id="153" w:name="ref-studiesNIHRevitalizationAct1994"/>
    <w:p>
      <w:pPr>
        <w:pStyle w:val="Bibliography"/>
      </w:pPr>
      <w:r>
        <w:t xml:space="preserve">49.</w:t>
      </w:r>
      <w:r>
        <w:t xml:space="preserve"> </w:t>
      </w:r>
      <w:r>
        <w:t xml:space="preserve">	</w:t>
      </w:r>
      <w:r>
        <w:t xml:space="preserve">Studies I of M(US)C on E and LIR to the I of W in C, Mastroianni AC, Faden R, Federman D.</w:t>
      </w:r>
      <w:r>
        <w:t xml:space="preserve"> </w:t>
      </w:r>
      <w:r>
        <w:t xml:space="preserve">NIH Revitalization Act</w:t>
      </w:r>
      <w:r>
        <w:t xml:space="preserve"> </w:t>
      </w:r>
      <w:r>
        <w:t xml:space="preserve">of 1993</w:t>
      </w:r>
      <w:r>
        <w:t xml:space="preserve"> </w:t>
      </w:r>
      <w:r>
        <w:t xml:space="preserve">Public Law</w:t>
      </w:r>
      <w:r>
        <w:t xml:space="preserve"> </w:t>
      </w:r>
      <w:r>
        <w:t xml:space="preserve">103-43. Women and</w:t>
      </w:r>
      <w:r>
        <w:t xml:space="preserve"> </w:t>
      </w:r>
      <w:r>
        <w:t xml:space="preserve">Health Research</w:t>
      </w:r>
      <w:r>
        <w:t xml:space="preserve">:</w:t>
      </w:r>
      <w:r>
        <w:t xml:space="preserve"> </w:t>
      </w:r>
      <w:r>
        <w:t xml:space="preserve">Ethical</w:t>
      </w:r>
      <w:r>
        <w:t xml:space="preserve"> </w:t>
      </w:r>
      <w:r>
        <w:t xml:space="preserve">and</w:t>
      </w:r>
      <w:r>
        <w:t xml:space="preserve"> </w:t>
      </w:r>
      <w:r>
        <w:t xml:space="preserve">Legal Issues</w:t>
      </w:r>
      <w:r>
        <w:t xml:space="preserve"> </w:t>
      </w:r>
      <w:r>
        <w:t xml:space="preserve">of</w:t>
      </w:r>
      <w:r>
        <w:t xml:space="preserve"> </w:t>
      </w:r>
      <w:r>
        <w:t xml:space="preserve">Including Women</w:t>
      </w:r>
      <w:r>
        <w:t xml:space="preserve"> </w:t>
      </w:r>
      <w:r>
        <w:t xml:space="preserve">in</w:t>
      </w:r>
      <w:r>
        <w:t xml:space="preserve"> </w:t>
      </w:r>
      <w:r>
        <w:t xml:space="preserve">Clinical Studies</w:t>
      </w:r>
      <w:r>
        <w:t xml:space="preserve">:</w:t>
      </w:r>
      <w:r>
        <w:t xml:space="preserve"> </w:t>
      </w:r>
      <w:r>
        <w:t xml:space="preserve">Volume I</w:t>
      </w:r>
      <w:r>
        <w:t xml:space="preserve">. National Academies Press (US); 1994.</w:t>
      </w:r>
      <w:r>
        <w:t xml:space="preserve"> </w:t>
      </w:r>
    </w:p>
    <w:bookmarkEnd w:id="153"/>
    <w:bookmarkStart w:id="155" w:name="ref-vannicelliEffectSexBias1984"/>
    <w:p>
      <w:pPr>
        <w:pStyle w:val="Bibliography"/>
      </w:pPr>
      <w:r>
        <w:t xml:space="preserve">50.</w:t>
      </w:r>
      <w:r>
        <w:t xml:space="preserve"> </w:t>
      </w:r>
      <w:r>
        <w:t xml:space="preserve">	</w:t>
      </w:r>
      <w:r>
        <w:t xml:space="preserve">Vannicelli M, Nash L. Effect of</w:t>
      </w:r>
      <w:r>
        <w:t xml:space="preserve"> </w:t>
      </w:r>
      <w:r>
        <w:t xml:space="preserve">Sex Bias</w:t>
      </w:r>
      <w:r>
        <w:t xml:space="preserve"> </w:t>
      </w:r>
      <w:r>
        <w:t xml:space="preserve">on</w:t>
      </w:r>
      <w:r>
        <w:t xml:space="preserve"> </w:t>
      </w:r>
      <w:r>
        <w:t xml:space="preserve">Women</w:t>
      </w:r>
      <w:r>
        <w:t xml:space="preserve">’s</w:t>
      </w:r>
      <w:r>
        <w:t xml:space="preserve"> </w:t>
      </w:r>
      <w:r>
        <w:t xml:space="preserve">Studies</w:t>
      </w:r>
      <w:r>
        <w:t xml:space="preserve"> </w:t>
      </w:r>
      <w:r>
        <w:t xml:space="preserve">on</w:t>
      </w:r>
      <w:r>
        <w:t xml:space="preserve"> </w:t>
      </w:r>
      <w:r>
        <w:t xml:space="preserve">Alcoholism</w:t>
      </w:r>
      <w:r>
        <w:t xml:space="preserve">. Alcoholism: Clinical and Experimental Research. 1984;8: 334–336. doi:</w:t>
      </w:r>
      <w:hyperlink r:id="rId154">
        <w:r>
          <w:rPr>
            <w:rStyle w:val="Hyperlink"/>
          </w:rPr>
          <w:t xml:space="preserve">10.1111/j.1530-0277.1984.tb05523.x</w:t>
        </w:r>
      </w:hyperlink>
    </w:p>
    <w:bookmarkEnd w:id="155"/>
    <w:bookmarkStart w:id="157" w:name="ref-walitzerGenderDifferencesAlcohol2006"/>
    <w:p>
      <w:pPr>
        <w:pStyle w:val="Bibliography"/>
      </w:pPr>
      <w:r>
        <w:t xml:space="preserve">51.</w:t>
      </w:r>
      <w:r>
        <w:t xml:space="preserve"> </w:t>
      </w:r>
      <w:r>
        <w:t xml:space="preserve">	</w:t>
      </w:r>
      <w:r>
        <w:t xml:space="preserve">Walitzer KS, Dearing RL. Gender differences in alcohol and substance use relapse. Clinical Psychology Review. 2006;26: 128–148. doi:</w:t>
      </w:r>
      <w:hyperlink r:id="rId156">
        <w:r>
          <w:rPr>
            <w:rStyle w:val="Hyperlink"/>
          </w:rPr>
          <w:t xml:space="preserve">10.1016/j.cpr.2005.11.003</w:t>
        </w:r>
      </w:hyperlink>
    </w:p>
    <w:bookmarkEnd w:id="157"/>
    <w:bookmarkStart w:id="159" w:name="ref-mchughSexGenderDifferences2018"/>
    <w:p>
      <w:pPr>
        <w:pStyle w:val="Bibliography"/>
      </w:pPr>
      <w:r>
        <w:t xml:space="preserve">52.</w:t>
      </w:r>
      <w:r>
        <w:t xml:space="preserve"> </w:t>
      </w:r>
      <w:r>
        <w:t xml:space="preserve">	</w:t>
      </w:r>
      <w:r>
        <w:t xml:space="preserve">McHugh RK, Votaw VR, Sugarman DE, Greenfield SF. Sex and gender differences in substance use disorders. Clinical Psychology Review. 2018;66: 12–23. doi:</w:t>
      </w:r>
      <w:hyperlink r:id="rId158">
        <w:r>
          <w:rPr>
            <w:rStyle w:val="Hyperlink"/>
          </w:rPr>
          <w:t xml:space="preserve">10.1016/j.cpr.2017.10.012</w:t>
        </w:r>
      </w:hyperlink>
    </w:p>
    <w:bookmarkEnd w:id="159"/>
    <w:bookmarkStart w:id="161" w:name="Xdd108b50209bad1fdcf1a9fcca4dd1d7d3b13e9"/>
    <w:p>
      <w:pPr>
        <w:pStyle w:val="Bibliography"/>
      </w:pPr>
      <w:r>
        <w:t xml:space="preserve">53.</w:t>
      </w:r>
      <w:r>
        <w:t xml:space="preserve"> </w:t>
      </w:r>
      <w:r>
        <w:t xml:space="preserve">	</w:t>
      </w:r>
      <w:r>
        <w:t xml:space="preserve">Tausczik YR, Pennebaker JW. The</w:t>
      </w:r>
      <w:r>
        <w:t xml:space="preserve"> </w:t>
      </w:r>
      <w:r>
        <w:t xml:space="preserve">Psychological Meaning</w:t>
      </w:r>
      <w:r>
        <w:t xml:space="preserve"> </w:t>
      </w:r>
      <w:r>
        <w:t xml:space="preserve">of</w:t>
      </w:r>
      <w:r>
        <w:t xml:space="preserve"> </w:t>
      </w:r>
      <w:r>
        <w:t xml:space="preserve">Words</w:t>
      </w:r>
      <w:r>
        <w:t xml:space="preserve">:</w:t>
      </w:r>
      <w:r>
        <w:t xml:space="preserve"> </w:t>
      </w:r>
      <w:r>
        <w:t xml:space="preserve">LIWC</w:t>
      </w:r>
      <w:r>
        <w:t xml:space="preserve"> </w:t>
      </w:r>
      <w:r>
        <w:t xml:space="preserve">and</w:t>
      </w:r>
      <w:r>
        <w:t xml:space="preserve"> </w:t>
      </w:r>
      <w:r>
        <w:t xml:space="preserve">Computerized Text Analysis Methods</w:t>
      </w:r>
      <w:r>
        <w:t xml:space="preserve">. Journal of Language and Social Psychology. 2010;29: 24–54. doi:</w:t>
      </w:r>
      <w:hyperlink r:id="rId160">
        <w:r>
          <w:rPr>
            <w:rStyle w:val="Hyperlink"/>
          </w:rPr>
          <w:t xml:space="preserve">10.1177/0261927X09351676</w:t>
        </w:r>
      </w:hyperlink>
    </w:p>
    <w:bookmarkEnd w:id="161"/>
    <w:bookmarkStart w:id="162" w:name="ref-bleiLatentDirichletAllocation2003"/>
    <w:p>
      <w:pPr>
        <w:pStyle w:val="Bibliography"/>
      </w:pPr>
      <w:r>
        <w:t xml:space="preserve">54.</w:t>
      </w:r>
      <w:r>
        <w:t xml:space="preserve"> </w:t>
      </w:r>
      <w:r>
        <w:t xml:space="preserve">	</w:t>
      </w:r>
      <w:r>
        <w:t xml:space="preserve">Blei DM, Ng AY, Jordan MI. Latent dirichlet allocation. J Mach Learn Res. 2003;3: 993–1022.</w:t>
      </w:r>
      <w:r>
        <w:t xml:space="preserve"> </w:t>
      </w:r>
    </w:p>
    <w:bookmarkEnd w:id="162"/>
    <w:bookmarkStart w:id="164" w:name="ref-devlinBERTPretrainingDeep2019"/>
    <w:p>
      <w:pPr>
        <w:pStyle w:val="Bibliography"/>
      </w:pPr>
      <w:r>
        <w:t xml:space="preserve">55.</w:t>
      </w:r>
      <w:r>
        <w:t xml:space="preserve"> </w:t>
      </w:r>
      <w:r>
        <w:t xml:space="preserve">	</w:t>
      </w:r>
      <w:r>
        <w:t xml:space="preserve">Devlin J, Chang M-W, Lee K, Toutanova K.</w:t>
      </w:r>
      <w:r>
        <w:t xml:space="preserve"> </w:t>
      </w:r>
      <w:r>
        <w:t xml:space="preserve">BERT</w:t>
      </w:r>
      <w:r>
        <w:t xml:space="preserve">:</w:t>
      </w:r>
      <w:r>
        <w:t xml:space="preserve"> </w:t>
      </w:r>
      <w:r>
        <w:t xml:space="preserve">Pre-training</w:t>
      </w:r>
      <w:r>
        <w:t xml:space="preserve"> </w:t>
      </w:r>
      <w:r>
        <w:t xml:space="preserve">of</w:t>
      </w:r>
      <w:r>
        <w:t xml:space="preserve"> </w:t>
      </w:r>
      <w:r>
        <w:t xml:space="preserve">Deep Bidirectional Transformers</w:t>
      </w:r>
      <w:r>
        <w:t xml:space="preserve"> </w:t>
      </w:r>
      <w:r>
        <w:t xml:space="preserve">for</w:t>
      </w:r>
      <w:r>
        <w:t xml:space="preserve"> </w:t>
      </w:r>
      <w:r>
        <w:t xml:space="preserve">Language Understanding</w:t>
      </w:r>
      <w:r>
        <w:t xml:space="preserve">. arXiv; 2019. doi:</w:t>
      </w:r>
      <w:hyperlink r:id="rId163">
        <w:r>
          <w:rPr>
            <w:rStyle w:val="Hyperlink"/>
          </w:rPr>
          <w:t xml:space="preserve">10.48550/arXiv.1810.04805</w:t>
        </w:r>
      </w:hyperlink>
    </w:p>
    <w:bookmarkEnd w:id="164"/>
    <w:bookmarkStart w:id="165" w:name="X0c0e928dd8ff101aa479012bffab8d24e8c0dcf"/>
    <w:p>
      <w:pPr>
        <w:pStyle w:val="Bibliography"/>
      </w:pPr>
      <w:r>
        <w:t xml:space="preserve">56.</w:t>
      </w:r>
      <w:r>
        <w:t xml:space="preserve"> </w:t>
      </w:r>
      <w:r>
        <w:t xml:space="preserve">	</w:t>
      </w:r>
      <w:r>
        <w:t xml:space="preserve">Molnar C. Interpretable</w:t>
      </w:r>
      <w:r>
        <w:t xml:space="preserve"> </w:t>
      </w:r>
      <w:r>
        <w:t xml:space="preserve">Machine Learning</w:t>
      </w:r>
      <w:r>
        <w:t xml:space="preserve">:</w:t>
      </w:r>
      <w:r>
        <w:t xml:space="preserve"> </w:t>
      </w:r>
      <w:r>
        <w:t xml:space="preserve">A Guide For Making Black Box Models Explainable</w:t>
      </w:r>
      <w:r>
        <w:t xml:space="preserve">. Munich, Germany: Independently published; 2022.</w:t>
      </w:r>
      <w:r>
        <w:t xml:space="preserve"> </w:t>
      </w:r>
    </w:p>
    <w:bookmarkEnd w:id="165"/>
    <w:bookmarkStart w:id="167" w:name="ref-meyersIntersectionGenderDrug2021"/>
    <w:p>
      <w:pPr>
        <w:pStyle w:val="Bibliography"/>
      </w:pPr>
      <w:r>
        <w:t xml:space="preserve">57.</w:t>
      </w:r>
      <w:r>
        <w:t xml:space="preserve"> </w:t>
      </w:r>
      <w:r>
        <w:t xml:space="preserve">	</w:t>
      </w:r>
      <w:r>
        <w:t xml:space="preserve">Meyers SA, Earnshaw VA, D’Ambrosio B, Courchesne N, Werb D, Smith LR. The intersection of gender and drug use-related stigma:</w:t>
      </w:r>
      <w:r>
        <w:t xml:space="preserve"> </w:t>
      </w:r>
      <w:r>
        <w:t xml:space="preserve">A</w:t>
      </w:r>
      <w:r>
        <w:t xml:space="preserve"> </w:t>
      </w:r>
      <w:r>
        <w:t xml:space="preserve">mixed methods systematic review and synthesis of the literature. Drug and Alcohol Dependence. 2021;223: 108706. doi:</w:t>
      </w:r>
      <w:hyperlink r:id="rId166">
        <w:r>
          <w:rPr>
            <w:rStyle w:val="Hyperlink"/>
          </w:rPr>
          <w:t xml:space="preserve">10.1016/j.drugalcdep.2021.108706</w:t>
        </w:r>
      </w:hyperlink>
    </w:p>
    <w:bookmarkEnd w:id="167"/>
    <w:bookmarkStart w:id="168" w:name="Xb55b40a3d7f46ba5e03427f7cd05843a1612710"/>
    <w:p>
      <w:pPr>
        <w:pStyle w:val="Bibliography"/>
      </w:pPr>
      <w:r>
        <w:t xml:space="preserve">58.</w:t>
      </w:r>
      <w:r>
        <w:t xml:space="preserve"> </w:t>
      </w:r>
      <w:r>
        <w:t xml:space="preserve">	</w:t>
      </w:r>
      <w:r>
        <w:t xml:space="preserve">Marwick AE, Boyd D. Privacy at the</w:t>
      </w:r>
      <w:r>
        <w:t xml:space="preserve"> </w:t>
      </w:r>
      <w:r>
        <w:t xml:space="preserve">Margins</w:t>
      </w:r>
      <w:r>
        <w:t xml:space="preserve"> </w:t>
      </w:r>
      <w:r>
        <w:t xml:space="preserve">Understanding Privacy</w:t>
      </w:r>
      <w:r>
        <w:t xml:space="preserve"> </w:t>
      </w:r>
      <w:r>
        <w:t xml:space="preserve">at the</w:t>
      </w:r>
      <w:r>
        <w:t xml:space="preserve"> </w:t>
      </w:r>
      <w:r>
        <w:t xml:space="preserve">Margins</w:t>
      </w:r>
      <w:r>
        <w:t xml:space="preserve">—</w:t>
      </w:r>
      <w:r>
        <w:t xml:space="preserve">Introduction</w:t>
      </w:r>
      <w:r>
        <w:t xml:space="preserve">. International Journal of Communication. 2018;12: 9.</w:t>
      </w:r>
      <w:r>
        <w:t xml:space="preserve"> </w:t>
      </w:r>
    </w:p>
    <w:bookmarkEnd w:id="168"/>
    <w:bookmarkStart w:id="170" w:name="ref-zikmund-fisherRightToolWhat2013"/>
    <w:p>
      <w:pPr>
        <w:pStyle w:val="Bibliography"/>
      </w:pPr>
      <w:r>
        <w:t xml:space="preserve">59.</w:t>
      </w:r>
      <w:r>
        <w:t xml:space="preserve"> </w:t>
      </w:r>
      <w:r>
        <w:t xml:space="preserve">	</w:t>
      </w:r>
      <w:r>
        <w:t xml:space="preserve">Zikmund-Fisher BJ. The right tool is what they need, not what we have: A taxonomy of appropriate levels of precision in patient risk communication. Medical care research and review: MCRR. 2013;70: 37S–49S. doi:</w:t>
      </w:r>
      <w:hyperlink r:id="rId169">
        <w:r>
          <w:rPr>
            <w:rStyle w:val="Hyperlink"/>
          </w:rPr>
          <w:t xml:space="preserve">10.1177/1077558712458541</w:t>
        </w:r>
      </w:hyperlink>
    </w:p>
    <w:bookmarkEnd w:id="170"/>
    <w:bookmarkStart w:id="172" w:name="ref-fagerlinMakingNumbersMatter2007"/>
    <w:p>
      <w:pPr>
        <w:pStyle w:val="Bibliography"/>
      </w:pPr>
      <w:r>
        <w:t xml:space="preserve">60.</w:t>
      </w:r>
      <w:r>
        <w:t xml:space="preserve"> </w:t>
      </w:r>
      <w:r>
        <w:t xml:space="preserve">	</w:t>
      </w:r>
      <w:r>
        <w:t xml:space="preserve">Fagerlin A, Ubel PA, Smith DM, Zikmund-Fisher BJ. Making numbers matter: Present and future research in risk communication. American Journal of Health Behavior. 2007;31 Suppl 1: S47–56. doi:</w:t>
      </w:r>
      <w:hyperlink r:id="rId171">
        <w:r>
          <w:rPr>
            <w:rStyle w:val="Hyperlink"/>
          </w:rPr>
          <w:t xml:space="preserve">10.5555/ajhb.2007.31.supp.S47</w:t>
        </w:r>
      </w:hyperlink>
    </w:p>
    <w:bookmarkEnd w:id="172"/>
    <w:bookmarkStart w:id="174" w:name="X13b53253f4b8775a58215d7e1d3c0adbd73e844"/>
    <w:p>
      <w:pPr>
        <w:pStyle w:val="Bibliography"/>
      </w:pPr>
      <w:r>
        <w:t xml:space="preserve">61.</w:t>
      </w:r>
      <w:r>
        <w:t xml:space="preserve"> </w:t>
      </w:r>
      <w:r>
        <w:t xml:space="preserve">	</w:t>
      </w:r>
      <w:r>
        <w:t xml:space="preserve">Zipkin DA, Umscheid CA, Keating NL, Allen E, Aung K, Beyth R, et al. Evidence-based risk communication: A systematic review. Annals of Internal Medicine. 2014;161: 270–280. doi:</w:t>
      </w:r>
      <w:hyperlink r:id="rId173">
        <w:r>
          <w:rPr>
            <w:rStyle w:val="Hyperlink"/>
          </w:rPr>
          <w:t xml:space="preserve">10.7326/M14-0295</w:t>
        </w:r>
      </w:hyperlink>
    </w:p>
    <w:bookmarkEnd w:id="174"/>
    <w:bookmarkStart w:id="176" w:name="Xa1b8899d52f2070e9a46165cf23fe2013b5e4a3"/>
    <w:p>
      <w:pPr>
        <w:pStyle w:val="Bibliography"/>
      </w:pPr>
      <w:r>
        <w:t xml:space="preserve">62.</w:t>
      </w:r>
      <w:r>
        <w:t xml:space="preserve"> </w:t>
      </w:r>
      <w:r>
        <w:t xml:space="preserve">	</w:t>
      </w:r>
      <w:r>
        <w:t xml:space="preserve">Rawson RA, Shoptaw SJ, Obert JL, McCann MJ, Hasson AL, Marinelli-Casey PJ, et al. An intensive outpatient approach for cocaine abuse treatment.</w:t>
      </w:r>
      <w:r>
        <w:t xml:space="preserve"> </w:t>
      </w:r>
      <w:r>
        <w:t xml:space="preserve">The Matrix</w:t>
      </w:r>
      <w:r>
        <w:t xml:space="preserve"> </w:t>
      </w:r>
      <w:r>
        <w:t xml:space="preserve">model. Journal of Substance Abuse Treatment. 1995;12: 117–127. doi:</w:t>
      </w:r>
      <w:hyperlink r:id="rId175">
        <w:r>
          <w:rPr>
            <w:rStyle w:val="Hyperlink"/>
          </w:rPr>
          <w:t xml:space="preserve">10.1016/0740-5472(94)00080-b</w:t>
        </w:r>
      </w:hyperlink>
    </w:p>
    <w:bookmarkEnd w:id="176"/>
    <w:bookmarkStart w:id="178" w:name="X1e16a8cc741ec7d68b9bde12ee2c181d9d36a93"/>
    <w:p>
      <w:pPr>
        <w:pStyle w:val="Bibliography"/>
      </w:pPr>
      <w:r>
        <w:t xml:space="preserve">63.</w:t>
      </w:r>
      <w:r>
        <w:t xml:space="preserve"> </w:t>
      </w:r>
      <w:r>
        <w:t xml:space="preserve">	</w:t>
      </w:r>
      <w:r>
        <w:t xml:space="preserve">McHugh RK, Hearon BA, Otto MW. Cognitive-</w:t>
      </w:r>
      <w:r>
        <w:t xml:space="preserve">Behavioral Therapy</w:t>
      </w:r>
      <w:r>
        <w:t xml:space="preserve"> </w:t>
      </w:r>
      <w:r>
        <w:t xml:space="preserve">for</w:t>
      </w:r>
      <w:r>
        <w:t xml:space="preserve"> </w:t>
      </w:r>
      <w:r>
        <w:t xml:space="preserve">Substance Use Disorders</w:t>
      </w:r>
      <w:r>
        <w:t xml:space="preserve">. The Psychiatric clinics of North America. 2010;33: 511–525. doi:</w:t>
      </w:r>
      <w:hyperlink r:id="rId177">
        <w:r>
          <w:rPr>
            <w:rStyle w:val="Hyperlink"/>
          </w:rPr>
          <w:t xml:space="preserve">10.1016/j.psc.2010.04.012</w:t>
        </w:r>
      </w:hyperlink>
    </w:p>
    <w:bookmarkEnd w:id="178"/>
    <w:bookmarkStart w:id="179" w:name="X0943ff04c0b05099bf4a8c8078db37e3463cff7"/>
    <w:p>
      <w:pPr>
        <w:pStyle w:val="Bibliography"/>
      </w:pPr>
      <w:r>
        <w:t xml:space="preserve">64.</w:t>
      </w:r>
      <w:r>
        <w:t xml:space="preserve"> </w:t>
      </w:r>
      <w:r>
        <w:t xml:space="preserve">	</w:t>
      </w:r>
      <w:r>
        <w:t xml:space="preserve">Liese BS, Beck AT. Cognitive-</w:t>
      </w:r>
      <w:r>
        <w:t xml:space="preserve">Behavioral Therapy</w:t>
      </w:r>
      <w:r>
        <w:t xml:space="preserve"> </w:t>
      </w:r>
      <w:r>
        <w:t xml:space="preserve">of</w:t>
      </w:r>
      <w:r>
        <w:t xml:space="preserve"> </w:t>
      </w:r>
      <w:r>
        <w:t xml:space="preserve">Addictive Disorders</w:t>
      </w:r>
      <w:r>
        <w:t xml:space="preserve">. First edition. New York: The Guilford Press; 2022.</w:t>
      </w:r>
      <w:r>
        <w:t xml:space="preserve"> </w:t>
      </w:r>
    </w:p>
    <w:bookmarkEnd w:id="179"/>
    <w:bookmarkStart w:id="180" w:name="X8e0e943878d1a2c3026b4a46f6c482e09849b94"/>
    <w:p>
      <w:pPr>
        <w:pStyle w:val="Bibliography"/>
      </w:pPr>
      <w:r>
        <w:t xml:space="preserve">65.</w:t>
      </w:r>
      <w:r>
        <w:t xml:space="preserve"> </w:t>
      </w:r>
      <w:r>
        <w:t xml:space="preserve">	</w:t>
      </w:r>
      <w:r>
        <w:t xml:space="preserve">Center for Substance Abuse Treatment. Counselor’s</w:t>
      </w:r>
      <w:r>
        <w:t xml:space="preserve"> </w:t>
      </w:r>
      <w:r>
        <w:t xml:space="preserve">Treatment Manual</w:t>
      </w:r>
      <w:r>
        <w:t xml:space="preserve">:</w:t>
      </w:r>
      <w:r>
        <w:t xml:space="preserve"> </w:t>
      </w:r>
      <w:r>
        <w:t xml:space="preserve">Matrix Intensive Outpatient Treatment</w:t>
      </w:r>
      <w:r>
        <w:t xml:space="preserve"> </w:t>
      </w:r>
      <w:r>
        <w:t xml:space="preserve">for</w:t>
      </w:r>
      <w:r>
        <w:t xml:space="preserve"> </w:t>
      </w:r>
      <w:r>
        <w:t xml:space="preserve">People With Stimulant Use Disorders</w:t>
      </w:r>
      <w:r>
        <w:t xml:space="preserve">. Rockville, MD:</w:t>
      </w:r>
      <w:r>
        <w:t xml:space="preserve"> </w:t>
      </w:r>
      <w:r>
        <w:t xml:space="preserve">Substance Abuse and Mental Health Services Administration</w:t>
      </w:r>
      <w:r>
        <w:t xml:space="preserve">; 2006.</w:t>
      </w:r>
      <w:r>
        <w:t xml:space="preserve"> </w:t>
      </w:r>
    </w:p>
    <w:bookmarkEnd w:id="180"/>
    <w:bookmarkStart w:id="182" w:name="ref-fronkStressAllostasisSubstance2020"/>
    <w:p>
      <w:pPr>
        <w:pStyle w:val="Bibliography"/>
      </w:pPr>
      <w:r>
        <w:t xml:space="preserve">66.</w:t>
      </w:r>
      <w:r>
        <w:t xml:space="preserve"> </w:t>
      </w:r>
      <w:r>
        <w:t xml:space="preserve">	</w:t>
      </w:r>
      <w:r>
        <w:t xml:space="preserve">Fronk GE, Sant’Ana SJ, Kaye JT, Curtin JJ. Stress</w:t>
      </w:r>
      <w:r>
        <w:t xml:space="preserve"> </w:t>
      </w:r>
      <w:r>
        <w:t xml:space="preserve">Allostasis</w:t>
      </w:r>
      <w:r>
        <w:t xml:space="preserve"> </w:t>
      </w:r>
      <w:r>
        <w:t xml:space="preserve">in</w:t>
      </w:r>
      <w:r>
        <w:t xml:space="preserve"> </w:t>
      </w:r>
      <w:r>
        <w:t xml:space="preserve">Substance Use Disorders</w:t>
      </w:r>
      <w:r>
        <w:t xml:space="preserve">:</w:t>
      </w:r>
      <w:r>
        <w:t xml:space="preserve"> </w:t>
      </w:r>
      <w:r>
        <w:t xml:space="preserve">Promise</w:t>
      </w:r>
      <w:r>
        <w:t xml:space="preserve">,</w:t>
      </w:r>
      <w:r>
        <w:t xml:space="preserve"> </w:t>
      </w:r>
      <w:r>
        <w:t xml:space="preserve">Progress</w:t>
      </w:r>
      <w:r>
        <w:t xml:space="preserve">, and</w:t>
      </w:r>
      <w:r>
        <w:t xml:space="preserve"> </w:t>
      </w:r>
      <w:r>
        <w:t xml:space="preserve">Emerging Priorities</w:t>
      </w:r>
      <w:r>
        <w:t xml:space="preserve"> </w:t>
      </w:r>
      <w:r>
        <w:t xml:space="preserve">in</w:t>
      </w:r>
      <w:r>
        <w:t xml:space="preserve"> </w:t>
      </w:r>
      <w:r>
        <w:t xml:space="preserve">Clinical Research</w:t>
      </w:r>
      <w:r>
        <w:t xml:space="preserve">. Annual Review of Clinical Psychology. 2020;16: 401–430. doi:</w:t>
      </w:r>
      <w:hyperlink r:id="rId181">
        <w:r>
          <w:rPr>
            <w:rStyle w:val="Hyperlink"/>
          </w:rPr>
          <w:t xml:space="preserve">10.1146/annurev-clinpsy-102419-125016</w:t>
        </w:r>
      </w:hyperlink>
    </w:p>
    <w:bookmarkEnd w:id="182"/>
    <w:bookmarkStart w:id="184" w:name="ref-wyantMaximizingEngagementTrust2025"/>
    <w:p>
      <w:pPr>
        <w:pStyle w:val="Bibliography"/>
      </w:pPr>
      <w:r>
        <w:t xml:space="preserve">67.</w:t>
      </w:r>
      <w:r>
        <w:t xml:space="preserve"> </w:t>
      </w:r>
      <w:r>
        <w:t xml:space="preserve">	</w:t>
      </w:r>
      <w:r>
        <w:t xml:space="preserve">Wyant K, Sant’Ana SJ, Punturieri CE, Yu J, Fronk GE, Maggard CM, et al. Maximizing</w:t>
      </w:r>
      <w:r>
        <w:t xml:space="preserve"> </w:t>
      </w:r>
      <w:r>
        <w:t xml:space="preserve">Engagement</w:t>
      </w:r>
      <w:r>
        <w:t xml:space="preserve">,</w:t>
      </w:r>
      <w:r>
        <w:t xml:space="preserve"> </w:t>
      </w:r>
      <w:r>
        <w:t xml:space="preserve">Trust</w:t>
      </w:r>
      <w:r>
        <w:t xml:space="preserve">, and</w:t>
      </w:r>
      <w:r>
        <w:t xml:space="preserve"> </w:t>
      </w:r>
      <w:r>
        <w:t xml:space="preserve">Clinical Benefit</w:t>
      </w:r>
      <w:r>
        <w:t xml:space="preserve"> </w:t>
      </w:r>
      <w:r>
        <w:t xml:space="preserve">of</w:t>
      </w:r>
      <w:r>
        <w:t xml:space="preserve"> </w:t>
      </w:r>
      <w:r>
        <w:t xml:space="preserve">AI-Generated Recovery Support Messages</w:t>
      </w:r>
      <w:r>
        <w:t xml:space="preserve"> </w:t>
      </w:r>
      <w:r>
        <w:t xml:space="preserve">for</w:t>
      </w:r>
      <w:r>
        <w:t xml:space="preserve"> </w:t>
      </w:r>
      <w:r>
        <w:t xml:space="preserve">Alcohol Use Disorder</w:t>
      </w:r>
      <w:r>
        <w:t xml:space="preserve">:</w:t>
      </w:r>
      <w:r>
        <w:t xml:space="preserve"> </w:t>
      </w:r>
      <w:r>
        <w:t xml:space="preserve">Protocol</w:t>
      </w:r>
      <w:r>
        <w:t xml:space="preserve"> </w:t>
      </w:r>
      <w:r>
        <w:t xml:space="preserve">for an</w:t>
      </w:r>
      <w:r>
        <w:t xml:space="preserve"> </w:t>
      </w:r>
      <w:r>
        <w:t xml:space="preserve">Optimization Study</w:t>
      </w:r>
      <w:r>
        <w:t xml:space="preserve">. JMIR Research Protocols. 2025;14: e81697. doi:</w:t>
      </w:r>
      <w:hyperlink r:id="rId183">
        <w:r>
          <w:rPr>
            <w:rStyle w:val="Hyperlink"/>
          </w:rPr>
          <w:t xml:space="preserve">10.2196/81697</w:t>
        </w:r>
      </w:hyperlink>
    </w:p>
    <w:bookmarkEnd w:id="184"/>
    <w:bookmarkStart w:id="186" w:name="X9dfa929848d202736296032659cec14e42606bb"/>
    <w:p>
      <w:pPr>
        <w:pStyle w:val="Bibliography"/>
      </w:pPr>
      <w:r>
        <w:t xml:space="preserve">68.</w:t>
      </w:r>
      <w:r>
        <w:t xml:space="preserve"> </w:t>
      </w:r>
      <w:r>
        <w:t xml:space="preserve">	</w:t>
      </w:r>
      <w:r>
        <w:t xml:space="preserve">Jones A, Remmerswaal D, Verveer I, Robinson E, Franken IHA, Wen CKF, et al. Compliance with ecological momentary assessment protocols in substance users: A meta-analysis. Addiction (Abingdon, England). 2019;114: 609–619. doi:</w:t>
      </w:r>
      <w:hyperlink r:id="rId185">
        <w:r>
          <w:rPr>
            <w:rStyle w:val="Hyperlink"/>
          </w:rPr>
          <w:t xml:space="preserve">10/gfsjzg</w:t>
        </w:r>
      </w:hyperlink>
    </w:p>
    <w:bookmarkEnd w:id="186"/>
    <w:bookmarkStart w:id="188" w:name="ref-baeLeveragingMobilePhone2023"/>
    <w:p>
      <w:pPr>
        <w:pStyle w:val="Bibliography"/>
      </w:pPr>
      <w:r>
        <w:t xml:space="preserve">69.</w:t>
      </w:r>
      <w:r>
        <w:t xml:space="preserve"> </w:t>
      </w:r>
      <w:r>
        <w:t xml:space="preserve">	</w:t>
      </w:r>
      <w:r>
        <w:t xml:space="preserve">Bae SW, Suffoletto B, Zhang T, Chung T, Ozolcer M, Islam MR, et al. Leveraging</w:t>
      </w:r>
      <w:r>
        <w:t xml:space="preserve"> </w:t>
      </w:r>
      <w:r>
        <w:t xml:space="preserve">Mobile Phone Sensors</w:t>
      </w:r>
      <w:r>
        <w:t xml:space="preserve">,</w:t>
      </w:r>
      <w:r>
        <w:t xml:space="preserve"> </w:t>
      </w:r>
      <w:r>
        <w:t xml:space="preserve">Machine Learning</w:t>
      </w:r>
      <w:r>
        <w:t xml:space="preserve"> </w:t>
      </w:r>
      <w:r>
        <w:t xml:space="preserve">and</w:t>
      </w:r>
      <w:r>
        <w:t xml:space="preserve"> </w:t>
      </w:r>
      <w:r>
        <w:t xml:space="preserve">Explainable Artificial Intelligence</w:t>
      </w:r>
      <w:r>
        <w:t xml:space="preserve"> </w:t>
      </w:r>
      <w:r>
        <w:t xml:space="preserve">to</w:t>
      </w:r>
      <w:r>
        <w:t xml:space="preserve"> </w:t>
      </w:r>
      <w:r>
        <w:t xml:space="preserve">Predict Imminent Same-Day Binge Drinking Events</w:t>
      </w:r>
      <w:r>
        <w:t xml:space="preserve"> </w:t>
      </w:r>
      <w:r>
        <w:t xml:space="preserve">to</w:t>
      </w:r>
      <w:r>
        <w:t xml:space="preserve"> </w:t>
      </w:r>
      <w:r>
        <w:t xml:space="preserve">Support Just-In-Time Adaptive Interventions</w:t>
      </w:r>
      <w:r>
        <w:t xml:space="preserve">:</w:t>
      </w:r>
      <w:r>
        <w:t xml:space="preserve"> </w:t>
      </w:r>
      <w:r>
        <w:t xml:space="preserve">A Feasibility Study</w:t>
      </w:r>
      <w:r>
        <w:t xml:space="preserve">. JMIR formative research. 2023. doi:</w:t>
      </w:r>
      <w:hyperlink r:id="rId187">
        <w:r>
          <w:rPr>
            <w:rStyle w:val="Hyperlink"/>
          </w:rPr>
          <w:t xml:space="preserve">10.2196/39862</w:t>
        </w:r>
      </w:hyperlink>
    </w:p>
    <w:bookmarkEnd w:id="188"/>
    <w:bookmarkStart w:id="190" w:name="ref-huangActivityIdentificationGPS2010"/>
    <w:p>
      <w:pPr>
        <w:pStyle w:val="Bibliography"/>
      </w:pPr>
      <w:r>
        <w:t xml:space="preserve">70.</w:t>
      </w:r>
      <w:r>
        <w:t xml:space="preserve"> </w:t>
      </w:r>
      <w:r>
        <w:t xml:space="preserve">	</w:t>
      </w:r>
      <w:r>
        <w:t xml:space="preserve">Huang L, Li Q, Yue Y. Activity identification from</w:t>
      </w:r>
      <w:r>
        <w:t xml:space="preserve"> </w:t>
      </w:r>
      <w:r>
        <w:t xml:space="preserve">GPS</w:t>
      </w:r>
      <w:r>
        <w:t xml:space="preserve"> </w:t>
      </w:r>
      <w:r>
        <w:t xml:space="preserve">trajectories using spatial temporal</w:t>
      </w:r>
      <w:r>
        <w:t xml:space="preserve"> </w:t>
      </w:r>
      <w:r>
        <w:t xml:space="preserve">POIs</w:t>
      </w:r>
      <w:r>
        <w:t xml:space="preserve">’ attractiveness. Proceedings of the 2nd</w:t>
      </w:r>
      <w:r>
        <w:t xml:space="preserve"> </w:t>
      </w:r>
      <w:r>
        <w:t xml:space="preserve">ACM SIGSPATIAL International Workshop</w:t>
      </w:r>
      <w:r>
        <w:t xml:space="preserve"> </w:t>
      </w:r>
      <w:r>
        <w:t xml:space="preserve">on</w:t>
      </w:r>
      <w:r>
        <w:t xml:space="preserve"> </w:t>
      </w:r>
      <w:r>
        <w:t xml:space="preserve">Location Based Social Networks</w:t>
      </w:r>
      <w:r>
        <w:t xml:space="preserve">. New York, NY, USA: Association for Computing Machinery; 2010. pp. 27–30. doi:</w:t>
      </w:r>
      <w:hyperlink r:id="rId189">
        <w:r>
          <w:rPr>
            <w:rStyle w:val="Hyperlink"/>
          </w:rPr>
          <w:t xml:space="preserve">10.1145/1867699.1867704</w:t>
        </w:r>
      </w:hyperlink>
    </w:p>
    <w:bookmarkEnd w:id="190"/>
    <w:bookmarkStart w:id="192" w:name="Xdcc3e6c1429a41e0448c7c169835e10027482a3"/>
    <w:p>
      <w:pPr>
        <w:pStyle w:val="Bibliography"/>
      </w:pPr>
      <w:r>
        <w:t xml:space="preserve">71.</w:t>
      </w:r>
      <w:r>
        <w:t xml:space="preserve"> </w:t>
      </w:r>
      <w:r>
        <w:t xml:space="preserve">	</w:t>
      </w:r>
      <w:r>
        <w:t xml:space="preserve">Xie K, Deng K, Zhou X. From trajectories to activities: A spatio-temporal join approach. Proceedings of the 2009</w:t>
      </w:r>
      <w:r>
        <w:t xml:space="preserve"> </w:t>
      </w:r>
      <w:r>
        <w:t xml:space="preserve">International Workshop</w:t>
      </w:r>
      <w:r>
        <w:t xml:space="preserve"> </w:t>
      </w:r>
      <w:r>
        <w:t xml:space="preserve">on</w:t>
      </w:r>
      <w:r>
        <w:t xml:space="preserve"> </w:t>
      </w:r>
      <w:r>
        <w:t xml:space="preserve">Location Based Social Networks</w:t>
      </w:r>
      <w:r>
        <w:t xml:space="preserve">. New York, NY, USA: Association for Computing Machinery; 2009. pp. 25–32. doi:</w:t>
      </w:r>
      <w:hyperlink r:id="rId191">
        <w:r>
          <w:rPr>
            <w:rStyle w:val="Hyperlink"/>
          </w:rPr>
          <w:t xml:space="preserve">10.1145/1629890.1629897</w:t>
        </w:r>
      </w:hyperlink>
    </w:p>
    <w:bookmarkEnd w:id="192"/>
    <w:bookmarkStart w:id="194" w:name="X3767008d16a8293168c856ccfc7bd4044275213"/>
    <w:p>
      <w:pPr>
        <w:pStyle w:val="Bibliography"/>
      </w:pPr>
      <w:r>
        <w:t xml:space="preserve">72.</w:t>
      </w:r>
      <w:r>
        <w:t xml:space="preserve"> </w:t>
      </w:r>
      <w:r>
        <w:t xml:space="preserve">	</w:t>
      </w:r>
      <w:r>
        <w:t xml:space="preserve">Leenaerts N, Soyster P, Ceccarini J, Sunaert S, Fisher A, Vrieze E. Person-specific and pooled prediction models for binge eating, alcohol use and binge drinking in bulimia nervosa and alcohol use disorder. Psychological Medicine. 2024;54: 2758–2773. doi:</w:t>
      </w:r>
      <w:hyperlink r:id="rId193">
        <w:r>
          <w:rPr>
            <w:rStyle w:val="Hyperlink"/>
          </w:rPr>
          <w:t xml:space="preserve">10.1017/S0033291724000862</w:t>
        </w:r>
      </w:hyperlink>
    </w:p>
    <w:bookmarkEnd w:id="194"/>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We also report median sensitivity, specificity, accuracy, and balanced accuracy at a single decision threshold (identified using Youden’s index) in a supplemental table. However, we caution against using classification in this intended application. A decision threshold is only necessary when a</w:t>
      </w:r>
      <w:r>
        <w:t xml:space="preserve"> </w:t>
      </w:r>
      <w:r>
        <w:t xml:space="preserve">“decision”</w:t>
      </w:r>
      <w:r>
        <w:t xml:space="preserve"> </w:t>
      </w:r>
      <w:r>
        <w:t xml:space="preserve">about whether to intervene must be made. We intend for our model’s predicted probabilities to be used to provide risk-relevant information to an individual 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52" Target="media/rId52.png"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hyperlink" Id="rId73" Target="https://doi.org/10.1001/jama.284.13.1689" TargetMode="External" /><Relationship Type="http://schemas.openxmlformats.org/officeDocument/2006/relationships/hyperlink" Id="rId117" Target="https://doi.org/10.1001/jamanetworkopen.2020.5852" TargetMode="External" /><Relationship Type="http://schemas.openxmlformats.org/officeDocument/2006/relationships/hyperlink" Id="rId132" Target="https://doi.org/10.1007/978-1-4614-6849-3" TargetMode="External" /><Relationship Type="http://schemas.openxmlformats.org/officeDocument/2006/relationships/hyperlink" Id="rId93" Target="https://doi.org/10.1007/s10488-016-0718-5" TargetMode="External" /><Relationship Type="http://schemas.openxmlformats.org/officeDocument/2006/relationships/hyperlink" Id="rId145" Target="https://doi.org/10.1007/s10862-017-9632-8" TargetMode="External" /><Relationship Type="http://schemas.openxmlformats.org/officeDocument/2006/relationships/hyperlink" Id="rId97" Target="https://doi.org/10.1007/s11920-012-0296-5" TargetMode="External" /><Relationship Type="http://schemas.openxmlformats.org/officeDocument/2006/relationships/hyperlink" Id="rId175" Target="https://doi.org/10.1016/0740-5472(94)00080-b" TargetMode="External" /><Relationship Type="http://schemas.openxmlformats.org/officeDocument/2006/relationships/hyperlink" Id="rId139" Target="https://doi.org/10.1016/j.amepre.2022.08.022" TargetMode="External" /><Relationship Type="http://schemas.openxmlformats.org/officeDocument/2006/relationships/hyperlink" Id="rId95" Target="https://doi.org/10.1016/j.brat.2019.103506" TargetMode="External" /><Relationship Type="http://schemas.openxmlformats.org/officeDocument/2006/relationships/hyperlink" Id="rId156" Target="https://doi.org/10.1016/j.cpr.2005.11.003" TargetMode="External" /><Relationship Type="http://schemas.openxmlformats.org/officeDocument/2006/relationships/hyperlink" Id="rId89" Target="https://doi.org/10.1016/j.cpr.2007.01.002" TargetMode="External" /><Relationship Type="http://schemas.openxmlformats.org/officeDocument/2006/relationships/hyperlink" Id="rId158" Target="https://doi.org/10.1016/j.cpr.2017.10.012" TargetMode="External" /><Relationship Type="http://schemas.openxmlformats.org/officeDocument/2006/relationships/hyperlink" Id="rId121" Target="https://doi.org/10.1016/j.drugalcdep.2006.05.012" TargetMode="External" /><Relationship Type="http://schemas.openxmlformats.org/officeDocument/2006/relationships/hyperlink" Id="rId115" Target="https://doi.org/10.1016/j.drugalcdep.2019.05.017" TargetMode="External" /><Relationship Type="http://schemas.openxmlformats.org/officeDocument/2006/relationships/hyperlink" Id="rId166" Target="https://doi.org/10.1016/j.drugalcdep.2021.108706" TargetMode="External" /><Relationship Type="http://schemas.openxmlformats.org/officeDocument/2006/relationships/hyperlink" Id="rId112" Target="https://doi.org/10.1016/j.jsat.2021.108417" TargetMode="External" /><Relationship Type="http://schemas.openxmlformats.org/officeDocument/2006/relationships/hyperlink" Id="rId119" Target="https://doi.org/10.1016/j.jsat.2021.108710" TargetMode="External" /><Relationship Type="http://schemas.openxmlformats.org/officeDocument/2006/relationships/hyperlink" Id="rId177" Target="https://doi.org/10.1016/j.psc.2010.04.012" TargetMode="External" /><Relationship Type="http://schemas.openxmlformats.org/officeDocument/2006/relationships/hyperlink" Id="rId193" Target="https://doi.org/10.1017/S0033291724000862" TargetMode="External" /><Relationship Type="http://schemas.openxmlformats.org/officeDocument/2006/relationships/hyperlink" Id="rId87" Target="https://doi.org/10.1037/0003-066X.59.4.224" TargetMode="External" /><Relationship Type="http://schemas.openxmlformats.org/officeDocument/2006/relationships/hyperlink" Id="rId110" Target="https://doi.org/10.1037/adb0000666" TargetMode="External" /><Relationship Type="http://schemas.openxmlformats.org/officeDocument/2006/relationships/hyperlink" Id="rId143" Target="https://doi.org/10.1037/ccp0000026" TargetMode="External" /><Relationship Type="http://schemas.openxmlformats.org/officeDocument/2006/relationships/hyperlink" Id="rId141" Target="https://doi.org/10.1080/00952990.2019.1694536" TargetMode="External" /><Relationship Type="http://schemas.openxmlformats.org/officeDocument/2006/relationships/hyperlink" Id="rId137" Target="https://doi.org/10.1093/jamia/ocy052" TargetMode="External" /><Relationship Type="http://schemas.openxmlformats.org/officeDocument/2006/relationships/hyperlink" Id="rId84" Target="https://doi.org/10.1111/add.13479" TargetMode="External" /><Relationship Type="http://schemas.openxmlformats.org/officeDocument/2006/relationships/hyperlink" Id="rId154" Target="https://doi.org/10.1111/j.1530-0277.1984.tb05523.x" TargetMode="External" /><Relationship Type="http://schemas.openxmlformats.org/officeDocument/2006/relationships/hyperlink" Id="rId191" Target="https://doi.org/10.1145/1629890.1629897" TargetMode="External" /><Relationship Type="http://schemas.openxmlformats.org/officeDocument/2006/relationships/hyperlink" Id="rId189" Target="https://doi.org/10.1145/1867699.1867704" TargetMode="External" /><Relationship Type="http://schemas.openxmlformats.org/officeDocument/2006/relationships/hyperlink" Id="rId99" Target="https://doi.org/10.1146/annurev-clinpsy-032816-044949" TargetMode="External" /><Relationship Type="http://schemas.openxmlformats.org/officeDocument/2006/relationships/hyperlink" Id="rId181" Target="https://doi.org/10.1146/annurev-clinpsy-102419-125016" TargetMode="External" /><Relationship Type="http://schemas.openxmlformats.org/officeDocument/2006/relationships/hyperlink" Id="rId91" Target="https://doi.org/10.1146/annurev.clinpsy.3.022806.091455" TargetMode="External" /><Relationship Type="http://schemas.openxmlformats.org/officeDocument/2006/relationships/hyperlink" Id="rId160" Target="https://doi.org/10.1177/0261927X09351676" TargetMode="External" /><Relationship Type="http://schemas.openxmlformats.org/officeDocument/2006/relationships/hyperlink" Id="rId147" Target="https://doi.org/10.1177/1073191114540320" TargetMode="External" /><Relationship Type="http://schemas.openxmlformats.org/officeDocument/2006/relationships/hyperlink" Id="rId149" Target="https://doi.org/10.1177/1073191116653829" TargetMode="External" /><Relationship Type="http://schemas.openxmlformats.org/officeDocument/2006/relationships/hyperlink" Id="rId169" Target="https://doi.org/10.1177/1077558712458541" TargetMode="External" /><Relationship Type="http://schemas.openxmlformats.org/officeDocument/2006/relationships/hyperlink" Id="rId82" Target="https://doi.org/10.1177/1178221820976988" TargetMode="External" /><Relationship Type="http://schemas.openxmlformats.org/officeDocument/2006/relationships/hyperlink" Id="rId80" Target="https://doi.org/10.1377/hlthaff.20.6.64" TargetMode="External" /><Relationship Type="http://schemas.openxmlformats.org/officeDocument/2006/relationships/hyperlink" Id="rId130" Target="https://doi.org/10.21231/GNT1-HW21" TargetMode="External" /><Relationship Type="http://schemas.openxmlformats.org/officeDocument/2006/relationships/hyperlink" Id="rId105" Target="https://doi.org/10.2196/29563" TargetMode="External" /><Relationship Type="http://schemas.openxmlformats.org/officeDocument/2006/relationships/hyperlink" Id="rId187" Target="https://doi.org/10.2196/39862" TargetMode="External" /><Relationship Type="http://schemas.openxmlformats.org/officeDocument/2006/relationships/hyperlink" Id="rId103" Target="https://doi.org/10.2196/41833" TargetMode="External" /><Relationship Type="http://schemas.openxmlformats.org/officeDocument/2006/relationships/hyperlink" Id="rId151" Target="https://doi.org/10.2196/73265" TargetMode="External" /><Relationship Type="http://schemas.openxmlformats.org/officeDocument/2006/relationships/hyperlink" Id="rId183" Target="https://doi.org/10.2196/81697" TargetMode="External" /><Relationship Type="http://schemas.openxmlformats.org/officeDocument/2006/relationships/hyperlink" Id="rId107" Target="https://doi.org/10.31234/osf.io/cgsf7" TargetMode="External" /><Relationship Type="http://schemas.openxmlformats.org/officeDocument/2006/relationships/hyperlink" Id="rId163" Target="https://doi.org/10.48550/arXiv.1810.04805" TargetMode="External" /><Relationship Type="http://schemas.openxmlformats.org/officeDocument/2006/relationships/hyperlink" Id="rId171" Target="https://doi.org/10.5555/ajhb.2007.31.supp.S47" TargetMode="External" /><Relationship Type="http://schemas.openxmlformats.org/officeDocument/2006/relationships/hyperlink" Id="rId173" Target="https://doi.org/10.7326/M14-0295" TargetMode="External" /><Relationship Type="http://schemas.openxmlformats.org/officeDocument/2006/relationships/hyperlink" Id="rId185" Target="https://doi.org/10/gfsjzg" TargetMode="External" /><Relationship Type="http://schemas.openxmlformats.org/officeDocument/2006/relationships/hyperlink" Id="rId12" Target="https://jjcurtin.github.io/study_lag/" TargetMode="External" /><Relationship Type="http://schemas.openxmlformats.org/officeDocument/2006/relationships/hyperlink" Id="rId9" Target="https://jjcurtin.github.io/study_lag/index.qmd.html" TargetMode="External" /><Relationship Type="http://schemas.openxmlformats.org/officeDocument/2006/relationships/hyperlink" Id="rId62" Target="https://jjcurtin.github.io/study_lag/notebooks\mak_figures-preview.html#cell-fig-4" TargetMode="External" /><Relationship Type="http://schemas.openxmlformats.org/officeDocument/2006/relationships/hyperlink" Id="rId56" Target="https://jjcurtin.github.io/study_lag/notebooks\mak_figures-preview.html#cell-fig-cal" TargetMode="External" /><Relationship Type="http://schemas.openxmlformats.org/officeDocument/2006/relationships/hyperlink" Id="rId24" Target="https://jjcurtin.github.io/study_lag/notebooks\mak_figures-preview.html#cell-fig-method" TargetMode="External" /><Relationship Type="http://schemas.openxmlformats.org/officeDocument/2006/relationships/hyperlink" Id="rId44" Target="https://jjcurtin.github.io/study_lag/notebooks\mak_figures-preview.html#cell-fig-pp" TargetMode="External" /><Relationship Type="http://schemas.openxmlformats.org/officeDocument/2006/relationships/hyperlink" Id="rId38" Target="https://jjcurtin.github.io/study_lag/notebooks\mak_tables-preview.html#cell-tbl-demohtml" TargetMode="External" /><Relationship Type="http://schemas.openxmlformats.org/officeDocument/2006/relationships/hyperlink" Id="rId50" Target="https://jjcurtin.github.io/study_lag/notebooks\mak_tables-preview.html#cell-tbl-fairness" TargetMode="External" /><Relationship Type="http://schemas.openxmlformats.org/officeDocument/2006/relationships/hyperlink" Id="rId47" Target="https://jjcurtin.github.io/study_lag/notebooks\mak_tables-preview.html#cell-tbl-model" TargetMode="External" /><Relationship Type="http://schemas.openxmlformats.org/officeDocument/2006/relationships/hyperlink" Id="rId11" Target="https://osf.io/xta67/" TargetMode="External" /><Relationship Type="http://schemas.openxmlformats.org/officeDocument/2006/relationships/hyperlink" Id="rId75" Target="https://www.ncbi.nlm.nih.gov/pmc/articles/PMC2797101" TargetMode="External" /><Relationship Type="http://schemas.openxmlformats.org/officeDocument/2006/relationships/hyperlink" Id="rId125" Target="https://www.ncbi.nlm.nih.gov/pubmed/12199834" TargetMode="External" /></Relationships>
</file>

<file path=word/_rels/footnotes.xml.rels><?xml version="1.0" encoding="UTF-8"?><Relationships xmlns="http://schemas.openxmlformats.org/package/2006/relationships"><Relationship Type="http://schemas.openxmlformats.org/officeDocument/2006/relationships/hyperlink" Id="rId73" Target="https://doi.org/10.1001/jama.284.13.1689" TargetMode="External" /><Relationship Type="http://schemas.openxmlformats.org/officeDocument/2006/relationships/hyperlink" Id="rId117" Target="https://doi.org/10.1001/jamanetworkopen.2020.5852" TargetMode="External" /><Relationship Type="http://schemas.openxmlformats.org/officeDocument/2006/relationships/hyperlink" Id="rId132" Target="https://doi.org/10.1007/978-1-4614-6849-3" TargetMode="External" /><Relationship Type="http://schemas.openxmlformats.org/officeDocument/2006/relationships/hyperlink" Id="rId93" Target="https://doi.org/10.1007/s10488-016-0718-5" TargetMode="External" /><Relationship Type="http://schemas.openxmlformats.org/officeDocument/2006/relationships/hyperlink" Id="rId145" Target="https://doi.org/10.1007/s10862-017-9632-8" TargetMode="External" /><Relationship Type="http://schemas.openxmlformats.org/officeDocument/2006/relationships/hyperlink" Id="rId97" Target="https://doi.org/10.1007/s11920-012-0296-5" TargetMode="External" /><Relationship Type="http://schemas.openxmlformats.org/officeDocument/2006/relationships/hyperlink" Id="rId175" Target="https://doi.org/10.1016/0740-5472(94)00080-b" TargetMode="External" /><Relationship Type="http://schemas.openxmlformats.org/officeDocument/2006/relationships/hyperlink" Id="rId139" Target="https://doi.org/10.1016/j.amepre.2022.08.022" TargetMode="External" /><Relationship Type="http://schemas.openxmlformats.org/officeDocument/2006/relationships/hyperlink" Id="rId95" Target="https://doi.org/10.1016/j.brat.2019.103506" TargetMode="External" /><Relationship Type="http://schemas.openxmlformats.org/officeDocument/2006/relationships/hyperlink" Id="rId156" Target="https://doi.org/10.1016/j.cpr.2005.11.003" TargetMode="External" /><Relationship Type="http://schemas.openxmlformats.org/officeDocument/2006/relationships/hyperlink" Id="rId89" Target="https://doi.org/10.1016/j.cpr.2007.01.002" TargetMode="External" /><Relationship Type="http://schemas.openxmlformats.org/officeDocument/2006/relationships/hyperlink" Id="rId158" Target="https://doi.org/10.1016/j.cpr.2017.10.012" TargetMode="External" /><Relationship Type="http://schemas.openxmlformats.org/officeDocument/2006/relationships/hyperlink" Id="rId121" Target="https://doi.org/10.1016/j.drugalcdep.2006.05.012" TargetMode="External" /><Relationship Type="http://schemas.openxmlformats.org/officeDocument/2006/relationships/hyperlink" Id="rId115" Target="https://doi.org/10.1016/j.drugalcdep.2019.05.017" TargetMode="External" /><Relationship Type="http://schemas.openxmlformats.org/officeDocument/2006/relationships/hyperlink" Id="rId166" Target="https://doi.org/10.1016/j.drugalcdep.2021.108706" TargetMode="External" /><Relationship Type="http://schemas.openxmlformats.org/officeDocument/2006/relationships/hyperlink" Id="rId112" Target="https://doi.org/10.1016/j.jsat.2021.108417" TargetMode="External" /><Relationship Type="http://schemas.openxmlformats.org/officeDocument/2006/relationships/hyperlink" Id="rId119" Target="https://doi.org/10.1016/j.jsat.2021.108710" TargetMode="External" /><Relationship Type="http://schemas.openxmlformats.org/officeDocument/2006/relationships/hyperlink" Id="rId177" Target="https://doi.org/10.1016/j.psc.2010.04.012" TargetMode="External" /><Relationship Type="http://schemas.openxmlformats.org/officeDocument/2006/relationships/hyperlink" Id="rId193" Target="https://doi.org/10.1017/S0033291724000862" TargetMode="External" /><Relationship Type="http://schemas.openxmlformats.org/officeDocument/2006/relationships/hyperlink" Id="rId87" Target="https://doi.org/10.1037/0003-066X.59.4.224" TargetMode="External" /><Relationship Type="http://schemas.openxmlformats.org/officeDocument/2006/relationships/hyperlink" Id="rId110" Target="https://doi.org/10.1037/adb0000666" TargetMode="External" /><Relationship Type="http://schemas.openxmlformats.org/officeDocument/2006/relationships/hyperlink" Id="rId143" Target="https://doi.org/10.1037/ccp0000026" TargetMode="External" /><Relationship Type="http://schemas.openxmlformats.org/officeDocument/2006/relationships/hyperlink" Id="rId141" Target="https://doi.org/10.1080/00952990.2019.1694536" TargetMode="External" /><Relationship Type="http://schemas.openxmlformats.org/officeDocument/2006/relationships/hyperlink" Id="rId137" Target="https://doi.org/10.1093/jamia/ocy052" TargetMode="External" /><Relationship Type="http://schemas.openxmlformats.org/officeDocument/2006/relationships/hyperlink" Id="rId84" Target="https://doi.org/10.1111/add.13479" TargetMode="External" /><Relationship Type="http://schemas.openxmlformats.org/officeDocument/2006/relationships/hyperlink" Id="rId154" Target="https://doi.org/10.1111/j.1530-0277.1984.tb05523.x" TargetMode="External" /><Relationship Type="http://schemas.openxmlformats.org/officeDocument/2006/relationships/hyperlink" Id="rId191" Target="https://doi.org/10.1145/1629890.1629897" TargetMode="External" /><Relationship Type="http://schemas.openxmlformats.org/officeDocument/2006/relationships/hyperlink" Id="rId189" Target="https://doi.org/10.1145/1867699.1867704" TargetMode="External" /><Relationship Type="http://schemas.openxmlformats.org/officeDocument/2006/relationships/hyperlink" Id="rId99" Target="https://doi.org/10.1146/annurev-clinpsy-032816-044949" TargetMode="External" /><Relationship Type="http://schemas.openxmlformats.org/officeDocument/2006/relationships/hyperlink" Id="rId181" Target="https://doi.org/10.1146/annurev-clinpsy-102419-125016" TargetMode="External" /><Relationship Type="http://schemas.openxmlformats.org/officeDocument/2006/relationships/hyperlink" Id="rId91" Target="https://doi.org/10.1146/annurev.clinpsy.3.022806.091455" TargetMode="External" /><Relationship Type="http://schemas.openxmlformats.org/officeDocument/2006/relationships/hyperlink" Id="rId160" Target="https://doi.org/10.1177/0261927X09351676" TargetMode="External" /><Relationship Type="http://schemas.openxmlformats.org/officeDocument/2006/relationships/hyperlink" Id="rId147" Target="https://doi.org/10.1177/1073191114540320" TargetMode="External" /><Relationship Type="http://schemas.openxmlformats.org/officeDocument/2006/relationships/hyperlink" Id="rId149" Target="https://doi.org/10.1177/1073191116653829" TargetMode="External" /><Relationship Type="http://schemas.openxmlformats.org/officeDocument/2006/relationships/hyperlink" Id="rId169" Target="https://doi.org/10.1177/1077558712458541" TargetMode="External" /><Relationship Type="http://schemas.openxmlformats.org/officeDocument/2006/relationships/hyperlink" Id="rId82" Target="https://doi.org/10.1177/1178221820976988" TargetMode="External" /><Relationship Type="http://schemas.openxmlformats.org/officeDocument/2006/relationships/hyperlink" Id="rId80" Target="https://doi.org/10.1377/hlthaff.20.6.64" TargetMode="External" /><Relationship Type="http://schemas.openxmlformats.org/officeDocument/2006/relationships/hyperlink" Id="rId130" Target="https://doi.org/10.21231/GNT1-HW21" TargetMode="External" /><Relationship Type="http://schemas.openxmlformats.org/officeDocument/2006/relationships/hyperlink" Id="rId105" Target="https://doi.org/10.2196/29563" TargetMode="External" /><Relationship Type="http://schemas.openxmlformats.org/officeDocument/2006/relationships/hyperlink" Id="rId187" Target="https://doi.org/10.2196/39862" TargetMode="External" /><Relationship Type="http://schemas.openxmlformats.org/officeDocument/2006/relationships/hyperlink" Id="rId103" Target="https://doi.org/10.2196/41833" TargetMode="External" /><Relationship Type="http://schemas.openxmlformats.org/officeDocument/2006/relationships/hyperlink" Id="rId151" Target="https://doi.org/10.2196/73265" TargetMode="External" /><Relationship Type="http://schemas.openxmlformats.org/officeDocument/2006/relationships/hyperlink" Id="rId183" Target="https://doi.org/10.2196/81697" TargetMode="External" /><Relationship Type="http://schemas.openxmlformats.org/officeDocument/2006/relationships/hyperlink" Id="rId107" Target="https://doi.org/10.31234/osf.io/cgsf7" TargetMode="External" /><Relationship Type="http://schemas.openxmlformats.org/officeDocument/2006/relationships/hyperlink" Id="rId163" Target="https://doi.org/10.48550/arXiv.1810.04805" TargetMode="External" /><Relationship Type="http://schemas.openxmlformats.org/officeDocument/2006/relationships/hyperlink" Id="rId171" Target="https://doi.org/10.5555/ajhb.2007.31.supp.S47" TargetMode="External" /><Relationship Type="http://schemas.openxmlformats.org/officeDocument/2006/relationships/hyperlink" Id="rId173" Target="https://doi.org/10.7326/M14-0295" TargetMode="External" /><Relationship Type="http://schemas.openxmlformats.org/officeDocument/2006/relationships/hyperlink" Id="rId185" Target="https://doi.org/10/gfsjzg" TargetMode="External" /><Relationship Type="http://schemas.openxmlformats.org/officeDocument/2006/relationships/hyperlink" Id="rId12" Target="https://jjcurtin.github.io/study_lag/" TargetMode="External" /><Relationship Type="http://schemas.openxmlformats.org/officeDocument/2006/relationships/hyperlink" Id="rId9" Target="https://jjcurtin.github.io/study_lag/index.qmd.html" TargetMode="External" /><Relationship Type="http://schemas.openxmlformats.org/officeDocument/2006/relationships/hyperlink" Id="rId62" Target="https://jjcurtin.github.io/study_lag/notebooks\mak_figures-preview.html#cell-fig-4" TargetMode="External" /><Relationship Type="http://schemas.openxmlformats.org/officeDocument/2006/relationships/hyperlink" Id="rId56" Target="https://jjcurtin.github.io/study_lag/notebooks\mak_figures-preview.html#cell-fig-cal" TargetMode="External" /><Relationship Type="http://schemas.openxmlformats.org/officeDocument/2006/relationships/hyperlink" Id="rId24" Target="https://jjcurtin.github.io/study_lag/notebooks\mak_figures-preview.html#cell-fig-method" TargetMode="External" /><Relationship Type="http://schemas.openxmlformats.org/officeDocument/2006/relationships/hyperlink" Id="rId44" Target="https://jjcurtin.github.io/study_lag/notebooks\mak_figures-preview.html#cell-fig-pp" TargetMode="External" /><Relationship Type="http://schemas.openxmlformats.org/officeDocument/2006/relationships/hyperlink" Id="rId38" Target="https://jjcurtin.github.io/study_lag/notebooks\mak_tables-preview.html#cell-tbl-demohtml" TargetMode="External" /><Relationship Type="http://schemas.openxmlformats.org/officeDocument/2006/relationships/hyperlink" Id="rId50" Target="https://jjcurtin.github.io/study_lag/notebooks\mak_tables-preview.html#cell-tbl-fairness" TargetMode="External" /><Relationship Type="http://schemas.openxmlformats.org/officeDocument/2006/relationships/hyperlink" Id="rId47" Target="https://jjcurtin.github.io/study_lag/notebooks\mak_tables-preview.html#cell-tbl-model" TargetMode="External" /><Relationship Type="http://schemas.openxmlformats.org/officeDocument/2006/relationships/hyperlink" Id="rId11" Target="https://osf.io/xta67/" TargetMode="External" /><Relationship Type="http://schemas.openxmlformats.org/officeDocument/2006/relationships/hyperlink" Id="rId75" Target="https://www.ncbi.nlm.nih.gov/pmc/articles/PMC2797101" TargetMode="External" /><Relationship Type="http://schemas.openxmlformats.org/officeDocument/2006/relationships/hyperlink" Id="rId125" Target="https://www.ncbi.nlm.nih.gov/pubmed/121998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Alcohol Lapse Risk up to Two Weeks in Advance using Time-lagged Machine Learning Models</dc:title>
  <dc:creator>Kendra Wyant; Gaylen E. Fronk; Jiachen Yu; Claire E. Punturieri; John J. Curtin</dc:creator>
  <cp:keywords>Substance use disorders, Precision mental health</cp:keywords>
  <dcterms:created xsi:type="dcterms:W3CDTF">2026-05-20T14:04:56Z</dcterms:created>
  <dcterms:modified xsi:type="dcterms:W3CDTF">2026-05-20T14:04:56Z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2026-05-20</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