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2024)</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2024)</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w:t>
      </w:r>
    </w:p>
    <w:p>
      <w:pPr>
        <w:pStyle w:val="BodyText"/>
      </w:pPr>
      <w:r>
        <w:t xml:space="preserve">All available data up until a time point was used to generate model predictions. Prediction time points were updated hourly (Panel A). The first prediction time point each participant was 24 hours from midnight on their study start date. This ensured at least 24 hours of past EMAs for future lapse prediction at these first time points. Subsequent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started immediately after the prediction time point (0 lag) or was lagged by 24, 72, 168, or 336 hours.</w:t>
      </w:r>
    </w:p>
    <w:p>
      <w:pPr>
        <w:pStyle w:val="BodyText"/>
      </w:pPr>
      <w:r>
        <w:t xml:space="preserve">Therefore our models provided hour-by-hour probabilities of an alcohol lapse in the next week pushed forward at different times into the future (no lag or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360157"/>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3601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for the five best models (no lag and 24 hour, 72 hour, 168 hour, and 336 hour lagged predictions) from our 30 held-out test sets. We set two random intercepts: one for the repeat, and another for the fold nested within repeat. auROCs were transformed using the logit function and regressed as a function of model contrast.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w:t>
      </w:r>
    </w:p>
    <w:p>
      <w:pPr>
        <w:pStyle w:val="BodyText"/>
      </w:pPr>
      <w:r>
        <w:t xml:space="preserve">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p>
    <w:p>
      <w:pPr>
        <w:pStyle w:val="BodyText"/>
      </w:pPr>
      <w:r>
        <w:t xml:space="preserve">From the Bayesian model we obtained the posterior distribution (transformed back from logit) and Bayeisan CIs for overall model evaluation.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m:oMath>
        <m:r>
          <m:t>N</m:t>
        </m:r>
        <m:r>
          <m:rPr>
            <m:sty m:val="p"/>
          </m:rPr>
          <m:t>=</m:t>
        </m:r>
        <m:r>
          <m:t>20</m:t>
        </m:r>
      </m:oMath>
      <w:r>
        <w:t xml:space="preserve"> </w:t>
      </w:r>
      <w:r>
        <w:t xml:space="preserve">vs. Non-Hispanic White;</w:t>
      </w:r>
      <w:r>
        <w:t xml:space="preserve"> </w:t>
      </w:r>
      <m:oMath>
        <m:r>
          <m:t>N</m:t>
        </m:r>
        <m:r>
          <m:rPr>
            <m:sty m:val="p"/>
          </m:rPr>
          <m:t>=</m:t>
        </m:r>
        <m:r>
          <m:t>131</m:t>
        </m:r>
      </m:oMath>
      <w:r>
        <w:t xml:space="preserve">), sex at birth (female;</w:t>
      </w:r>
      <w:r>
        <w:t xml:space="preserve"> </w:t>
      </w:r>
      <m:oMath>
        <m:r>
          <m:t>N</m:t>
        </m:r>
        <m:r>
          <m:rPr>
            <m:sty m:val="p"/>
          </m:rPr>
          <m:t>=</m:t>
        </m:r>
        <m:r>
          <m:t>74</m:t>
        </m:r>
      </m:oMath>
      <w:r>
        <w:t xml:space="preserve"> </w:t>
      </w:r>
      <w:r>
        <w:t xml:space="preserve">vs. Male;</w:t>
      </w:r>
      <w:r>
        <w:t xml:space="preserve"> </w:t>
      </w:r>
      <m:oMath>
        <m:r>
          <m:t>N</m:t>
        </m:r>
        <m:r>
          <m:rPr>
            <m:sty m:val="p"/>
          </m:rPr>
          <m:t>=</m:t>
        </m:r>
        <m:r>
          <m:t>77</m:t>
        </m:r>
      </m:oMath>
      <w:r>
        <w:t xml:space="preserve">), and income (below poverty;</w:t>
      </w:r>
      <w:r>
        <w:t xml:space="preserve"> </w:t>
      </w:r>
      <m:oMath>
        <m:r>
          <m:t>N</m:t>
        </m:r>
        <m:r>
          <m:rPr>
            <m:sty m:val="p"/>
          </m:rPr>
          <m:t>=</m:t>
        </m:r>
        <m:r>
          <m:t>18</m:t>
        </m:r>
      </m:oMath>
      <w:r>
        <w:t xml:space="preserve"> </w:t>
      </w:r>
      <w:r>
        <w:t xml:space="preserve">vs. above poverty;</w:t>
      </w:r>
      <w:r>
        <w:t xml:space="preserve"> </w:t>
      </w:r>
      <m:oMath>
        <m:r>
          <m:t>N</m:t>
        </m:r>
        <m:r>
          <m:rPr>
            <m:sty m:val="p"/>
          </m:rPr>
          <m:t>=</m:t>
        </m:r>
        <m:r>
          <m:t>133</m:t>
        </m:r>
      </m:oMath>
      <w:r>
        <w:t xml:space="preserve">).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craving, and future risky situations were also globally important across models. Income was the only demographic feature that emerged as having high global importance for lapse prediction. Overall, the contribution of a feature category to model performance did not appear to differ across models.</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low N in disparity groups for model comparisons - causing wide CIs?</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2024-08-03T01:44:33Z</dcterms:created>
  <dcterms:modified xsi:type="dcterms:W3CDTF">2024-08-03T01:44:33Z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