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61.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timepoints, windows, and lags.</w:t>
      </w:r>
    </w:p>
    <w:p>
      <w:pPr>
        <w:pStyle w:val="BodyText"/>
      </w:pPr>
      <w:r>
        <w:t xml:space="preserve">All available data up until a timepoint was used to generate model predictions. Prediction timepoints were updated hourly (Panel A). The first prediction timepoint each participant was 24 hours from midnight on their study start date. This ensured at least 24 hours of past EMAs for future lapse prediction at these first timepoints. Subsequent timepoints for each participant repeatedly rolled hour-by-hour until the end of their study participation.</w:t>
      </w:r>
    </w:p>
    <w:p>
      <w:pPr>
        <w:pStyle w:val="BodyText"/>
      </w:pPr>
      <w:r>
        <w:t xml:space="preserve">The prediction window width was one week. Prediction windows rolled forward hour-by-hour with the prediction timepoint (Panel B). There were five possible lag times between the prediction timepoint and start of the prediction window. A prediction window started immediately after the prediction timepoint (0 lag) or was lagged by 24, 72, 168, or 336 hours.</w:t>
      </w:r>
    </w:p>
    <w:p>
      <w:pPr>
        <w:pStyle w:val="BodyText"/>
      </w:pPr>
      <w:r>
        <w:t xml:space="preserve">Therefore our models provided hour-by-hour probabilities of an alcohol lapse in the next week lagged to different times into the future (no lag or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for the five best models (no lag and 24 hour, 72 hour, 168 hour, and 336 hour lagged predictions) from our 30 held-out test sets. We set two random intercepts: one for the repeat, and another for the fold nested within repeat. auROCs were transformed using the logit function and regressed as a function of model contrast.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w:t>
      </w:r>
    </w:p>
    <w:p>
      <w:pPr>
        <w:pStyle w:val="BodyText"/>
      </w:pPr>
      <w:r>
        <w:t xml:space="preserve">Bayesian analyses were accomplished using the tidyposterior</w:t>
      </w:r>
      <w:r>
        <w:t xml:space="preserve"> </w:t>
      </w:r>
      <w:r>
        <w:t xml:space="preserve">(</w:t>
      </w:r>
      <w:r>
        <w:rPr>
          <w:b/>
          <w:bCs/>
        </w:rPr>
        <w:t xml:space="preserve">kuhnTidyposteriorBayesianAnalysis2022?</w:t>
      </w:r>
      <w:r>
        <w:t xml:space="preserve">)</w:t>
      </w:r>
      <w:r>
        <w:t xml:space="preserve"> </w:t>
      </w:r>
      <w:r>
        <w:t xml:space="preserve">and rstanarm</w:t>
      </w:r>
      <w:r>
        <w:t xml:space="preserve"> </w:t>
      </w:r>
      <w:r>
        <w:t xml:space="preserve">(</w:t>
      </w:r>
      <w:r>
        <w:rPr>
          <w:b/>
          <w:bCs/>
        </w:rPr>
        <w:t xml:space="preserve">goodrichRstanarmBayesianApplied2023?</w:t>
      </w:r>
      <w:r>
        <w:t xml:space="preserve">)</w:t>
      </w:r>
      <w:r>
        <w:t xml:space="preserve"> </w:t>
      </w:r>
      <w:r>
        <w:t xml:space="preserve">packages in R. Following recommendations from the rstanarm team and others</w:t>
      </w:r>
      <w:r>
        <w:t xml:space="preserve"> </w:t>
      </w:r>
      <w:r>
        <w:t xml:space="preserve">(</w:t>
      </w:r>
      <w:r>
        <w:rPr>
          <w:b/>
          <w:bCs/>
        </w:rPr>
        <w:t xml:space="preserve">rstudioteamRStudioIntegratedDevelopment2020?</w:t>
      </w:r>
      <w:r>
        <w:t xml:space="preserve">;</w:t>
      </w:r>
      <w:r>
        <w:t xml:space="preserve"> </w:t>
      </w:r>
      <w:r>
        <w:rPr>
          <w:b/>
          <w:bCs/>
        </w:rPr>
        <w:t xml:space="preserve">gabryPriorDistributionsRstanarm2023?</w:t>
      </w:r>
      <w:r>
        <w:t xml:space="preserve">)</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p>
    <w:p>
      <w:pPr>
        <w:pStyle w:val="BodyText"/>
      </w:pPr>
      <w:r>
        <w:t xml:space="preserve">From the Bayesian model we obtained the posterior distribution (transformed back from logit) and Bayeisan CIs for overall model evaluation.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07"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m:oMath>
        <m:r>
          <m:t>N</m:t>
        </m:r>
        <m:r>
          <m:rPr>
            <m:sty m:val="p"/>
          </m:rPr>
          <m:t>=</m:t>
        </m:r>
        <m:r>
          <m:t>20</m:t>
        </m:r>
      </m:oMath>
      <w:r>
        <w:t xml:space="preserve"> </w:t>
      </w:r>
      <w:r>
        <w:t xml:space="preserve">vs. Non-Hispanic White;</w:t>
      </w:r>
      <w:r>
        <w:t xml:space="preserve"> </w:t>
      </w:r>
      <m:oMath>
        <m:r>
          <m:t>N</m:t>
        </m:r>
        <m:r>
          <m:rPr>
            <m:sty m:val="p"/>
          </m:rPr>
          <m:t>=</m:t>
        </m:r>
        <m:r>
          <m:t>131</m:t>
        </m:r>
      </m:oMath>
      <w:r>
        <w:t xml:space="preserve">), sex at birth (female;</w:t>
      </w:r>
      <w:r>
        <w:t xml:space="preserve"> </w:t>
      </w:r>
      <m:oMath>
        <m:r>
          <m:t>N</m:t>
        </m:r>
        <m:r>
          <m:rPr>
            <m:sty m:val="p"/>
          </m:rPr>
          <m:t>=</m:t>
        </m:r>
        <m:r>
          <m:t>74</m:t>
        </m:r>
      </m:oMath>
      <w:r>
        <w:t xml:space="preserve"> </w:t>
      </w:r>
      <w:r>
        <w:t xml:space="preserve">vs. Male;</w:t>
      </w:r>
      <w:r>
        <w:t xml:space="preserve"> </w:t>
      </w:r>
      <m:oMath>
        <m:r>
          <m:t>N</m:t>
        </m:r>
        <m:r>
          <m:rPr>
            <m:sty m:val="p"/>
          </m:rPr>
          <m:t>=</m:t>
        </m:r>
        <m:r>
          <m:t>77</m:t>
        </m:r>
      </m:oMath>
      <w:r>
        <w:t xml:space="preserve">), and income (below poverty;</w:t>
      </w:r>
      <w:r>
        <w:t xml:space="preserve"> </w:t>
      </w:r>
      <m:oMath>
        <m:r>
          <m:t>N</m:t>
        </m:r>
        <m:r>
          <m:rPr>
            <m:sty m:val="p"/>
          </m:rPr>
          <m:t>=</m:t>
        </m:r>
        <m:r>
          <m:t>18</m:t>
        </m:r>
      </m:oMath>
      <w:r>
        <w:t xml:space="preserve"> </w:t>
      </w:r>
      <w:r>
        <w:t xml:space="preserve">vs. above poverty;</w:t>
      </w:r>
      <w:r>
        <w:t xml:space="preserve"> </w:t>
      </w:r>
      <m:oMath>
        <m:r>
          <m:t>N</m:t>
        </m:r>
        <m:r>
          <m:rPr>
            <m:sty m:val="p"/>
          </m:rPr>
          <m:t>=</m:t>
        </m:r>
        <m:r>
          <m:t>133</m:t>
        </m:r>
      </m:oMath>
      <w:r>
        <w:t xml:space="preserve">).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7"/>
    <w:bookmarkStart w:id="106" w:name="references"/>
    <w:p>
      <w:pPr>
        <w:pStyle w:val="Heading2"/>
      </w:pPr>
      <w:r>
        <w:t xml:space="preserve">References</w:t>
      </w:r>
    </w:p>
    <w:bookmarkStart w:id="105"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7"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6">
        <w:r>
          <w:rPr>
            <w:rStyle w:val="Hyperlink"/>
          </w:rPr>
          <w:t xml:space="preserve">https://doi.org/10.1016/j.drugalcdep.2006.05.012</w:t>
        </w:r>
      </w:hyperlink>
      <w:r>
        <w:t xml:space="preserve">.</w:t>
      </w:r>
    </w:p>
    <w:bookmarkEnd w:id="77"/>
    <w:bookmarkStart w:id="78"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8"/>
    <w:bookmarkStart w:id="8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9">
        <w:r>
          <w:rPr>
            <w:rStyle w:val="Hyperlink"/>
          </w:rPr>
          <w:t xml:space="preserve">https://doi.org/10.1001/jamanetworkopen.2020.5852</w:t>
        </w:r>
      </w:hyperlink>
      <w:r>
        <w:t xml:space="preserve">.</w:t>
      </w:r>
    </w:p>
    <w:bookmarkEnd w:id="80"/>
    <w:bookmarkStart w:id="82"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1">
        <w:r>
          <w:rPr>
            <w:rStyle w:val="Hyperlink"/>
          </w:rPr>
          <w:t xml:space="preserve">https://doi.org/10.1007/978-1-4614-6849-3</w:t>
        </w:r>
      </w:hyperlink>
      <w:r>
        <w:t xml:space="preserve">.</w:t>
      </w:r>
    </w:p>
    <w:bookmarkEnd w:id="82"/>
    <w:bookmarkStart w:id="8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3"/>
    <w:bookmarkStart w:id="85"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4">
        <w:r>
          <w:rPr>
            <w:rStyle w:val="Hyperlink"/>
          </w:rPr>
          <w:t xml:space="preserve">https://doi.org/10.1214/17-EJS1338SI</w:t>
        </w:r>
      </w:hyperlink>
      <w:r>
        <w:t xml:space="preserve">.</w:t>
      </w:r>
    </w:p>
    <w:bookmarkEnd w:id="85"/>
    <w:bookmarkStart w:id="86"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6"/>
    <w:bookmarkStart w:id="87"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7"/>
    <w:bookmarkStart w:id="89"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8">
        <w:r>
          <w:rPr>
            <w:rStyle w:val="Hyperlink"/>
          </w:rPr>
          <w:t xml:space="preserve">https://doi.org/10.1016/j.jsat.2021.108710</w:t>
        </w:r>
      </w:hyperlink>
      <w:r>
        <w:t xml:space="preserve">.</w:t>
      </w:r>
    </w:p>
    <w:bookmarkEnd w:id="89"/>
    <w:bookmarkStart w:id="91"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0">
        <w:r>
          <w:rPr>
            <w:rStyle w:val="Hyperlink"/>
          </w:rPr>
          <w:t xml:space="preserve">https://doi.org/10.1016/j.drugalcdep.2019.05.017</w:t>
        </w:r>
      </w:hyperlink>
      <w:r>
        <w:t xml:space="preserve">.</w:t>
      </w:r>
    </w:p>
    <w:bookmarkEnd w:id="91"/>
    <w:bookmarkStart w:id="92"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2"/>
    <w:bookmarkStart w:id="94"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3">
        <w:r>
          <w:rPr>
            <w:rStyle w:val="Hyperlink"/>
          </w:rPr>
          <w:t xml:space="preserve">https://doi.org/10.1037/adb0000666</w:t>
        </w:r>
      </w:hyperlink>
      <w:r>
        <w:t xml:space="preserve">.</w:t>
      </w:r>
    </w:p>
    <w:bookmarkEnd w:id="94"/>
    <w:bookmarkStart w:id="96"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5">
        <w:r>
          <w:rPr>
            <w:rStyle w:val="Hyperlink"/>
          </w:rPr>
          <w:t xml:space="preserve">https://doi.org/10.1016/j.jsat.2021.108417</w:t>
        </w:r>
      </w:hyperlink>
      <w:r>
        <w:t xml:space="preserve">.</w:t>
      </w:r>
    </w:p>
    <w:bookmarkEnd w:id="96"/>
    <w:bookmarkStart w:id="98"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7">
        <w:r>
          <w:rPr>
            <w:rStyle w:val="Hyperlink"/>
          </w:rPr>
          <w:t xml:space="preserve">https://doi.org/10.1037/0003-066X.59.4.224</w:t>
        </w:r>
      </w:hyperlink>
      <w:r>
        <w:t xml:space="preserve">.</w:t>
      </w:r>
    </w:p>
    <w:bookmarkEnd w:id="98"/>
    <w:bookmarkStart w:id="100"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9">
        <w:r>
          <w:rPr>
            <w:rStyle w:val="Hyperlink"/>
          </w:rPr>
          <w:t xml:space="preserve">https://doi.org/10.1016/j.cpr.2007.01.002</w:t>
        </w:r>
      </w:hyperlink>
      <w:r>
        <w:t xml:space="preserve">.</w:t>
      </w:r>
    </w:p>
    <w:bookmarkEnd w:id="100"/>
    <w:bookmarkStart w:id="102"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1">
        <w:r>
          <w:rPr>
            <w:rStyle w:val="Hyperlink"/>
          </w:rPr>
          <w:t xml:space="preserve">https://doi.org/10.2196/41833</w:t>
        </w:r>
      </w:hyperlink>
      <w:r>
        <w:t xml:space="preserve">.</w:t>
      </w:r>
    </w:p>
    <w:bookmarkEnd w:id="102"/>
    <w:bookmarkStart w:id="104"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3">
        <w:r>
          <w:rPr>
            <w:rStyle w:val="Hyperlink"/>
          </w:rPr>
          <w:t xml:space="preserve">https://doi.org/10.31234/osf.io/cgsf7</w:t>
        </w:r>
      </w:hyperlink>
      <w:r>
        <w:t xml:space="preserve">.</w:t>
      </w:r>
    </w:p>
    <w:bookmarkEnd w:id="104"/>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29" Target="media/rId29.jpg" /><Relationship Type="http://schemas.openxmlformats.org/officeDocument/2006/relationships/hyperlink" Id="rId79" Target="https://doi.org/10.1001/jamanetworkopen.2020.5852" TargetMode="External" /><Relationship Type="http://schemas.openxmlformats.org/officeDocument/2006/relationships/hyperlink" Id="rId81"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99" Target="https://doi.org/10.1016/j.cpr.2007.01.002" TargetMode="External" /><Relationship Type="http://schemas.openxmlformats.org/officeDocument/2006/relationships/hyperlink" Id="rId76" Target="https://doi.org/10.1016/j.drugalcdep.2006.05.012" TargetMode="External" /><Relationship Type="http://schemas.openxmlformats.org/officeDocument/2006/relationships/hyperlink" Id="rId90"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5" Target="https://doi.org/10.1016/j.jsat.2021.108417" TargetMode="External" /><Relationship Type="http://schemas.openxmlformats.org/officeDocument/2006/relationships/hyperlink" Id="rId88" Target="https://doi.org/10.1016/j.jsat.2021.108710" TargetMode="External" /><Relationship Type="http://schemas.openxmlformats.org/officeDocument/2006/relationships/hyperlink" Id="rId97" Target="https://doi.org/10.1037/0003-066X.59.4.224" TargetMode="External" /><Relationship Type="http://schemas.openxmlformats.org/officeDocument/2006/relationships/hyperlink" Id="rId93" Target="https://doi.org/10.1037/adb0000666" TargetMode="External" /><Relationship Type="http://schemas.openxmlformats.org/officeDocument/2006/relationships/hyperlink" Id="rId84"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1" Target="https://doi.org/10.2196/41833" TargetMode="External" /><Relationship Type="http://schemas.openxmlformats.org/officeDocument/2006/relationships/hyperlink" Id="rId103"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networkopen.2020.5852" TargetMode="External" /><Relationship Type="http://schemas.openxmlformats.org/officeDocument/2006/relationships/hyperlink" Id="rId81"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99" Target="https://doi.org/10.1016/j.cpr.2007.01.002" TargetMode="External" /><Relationship Type="http://schemas.openxmlformats.org/officeDocument/2006/relationships/hyperlink" Id="rId76" Target="https://doi.org/10.1016/j.drugalcdep.2006.05.012" TargetMode="External" /><Relationship Type="http://schemas.openxmlformats.org/officeDocument/2006/relationships/hyperlink" Id="rId90"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5" Target="https://doi.org/10.1016/j.jsat.2021.108417" TargetMode="External" /><Relationship Type="http://schemas.openxmlformats.org/officeDocument/2006/relationships/hyperlink" Id="rId88" Target="https://doi.org/10.1016/j.jsat.2021.108710" TargetMode="External" /><Relationship Type="http://schemas.openxmlformats.org/officeDocument/2006/relationships/hyperlink" Id="rId97" Target="https://doi.org/10.1037/0003-066X.59.4.224" TargetMode="External" /><Relationship Type="http://schemas.openxmlformats.org/officeDocument/2006/relationships/hyperlink" Id="rId93" Target="https://doi.org/10.1037/adb0000666" TargetMode="External" /><Relationship Type="http://schemas.openxmlformats.org/officeDocument/2006/relationships/hyperlink" Id="rId84"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1" Target="https://doi.org/10.2196/41833" TargetMode="External" /><Relationship Type="http://schemas.openxmlformats.org/officeDocument/2006/relationships/hyperlink" Id="rId103"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2024-08-03T00:38:15Z</dcterms:created>
  <dcterms:modified xsi:type="dcterms:W3CDTF">2024-08-03T00:38:15Z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