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2024-09-09</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7"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6"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240840"/>
                  <wp:effectExtent b="0" l="0" r="0" t="0"/>
                  <wp:docPr descr="" title="" id="30" name="Picture"/>
                  <a:graphic>
                    <a:graphicData uri="http://schemas.openxmlformats.org/drawingml/2006/picture">
                      <pic:pic>
                        <pic:nvPicPr>
                          <pic:cNvPr descr="index_files/figure-docx/notebooks-mak_figures-fig-methods-output-1.png" id="31" name="Picture"/>
                          <pic:cNvPicPr>
                            <a:picLocks noChangeArrowheads="1" noChangeAspect="1"/>
                          </pic:cNvPicPr>
                        </pic:nvPicPr>
                        <pic:blipFill>
                          <a:blip r:embed="rId29"/>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5"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3"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w:t>
      </w:r>
      <w:r>
        <w:rPr>
          <w:rStyle w:val="FootnoteReference"/>
        </w:rPr>
        <w:footnoteReference w:id="41"/>
      </w:r>
      <w:r>
        <w:t xml:space="preserve">),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2"/>
      </w:r>
    </w:p>
    <w:bookmarkEnd w:id="43"/>
    <w:bookmarkStart w:id="44"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4"/>
    <w:bookmarkEnd w:id="45"/>
    <w:bookmarkEnd w:id="46"/>
    <w:bookmarkEnd w:id="47"/>
    <w:bookmarkStart w:id="125" w:name="results"/>
    <w:p>
      <w:pPr>
        <w:pStyle w:val="Heading1"/>
      </w:pPr>
      <w:r>
        <w:t xml:space="preserve">Results</w:t>
      </w:r>
    </w:p>
    <w:bookmarkStart w:id="50"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and most participants (N=84; 55.6%) reported one or more lapses during participation.</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8"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All Tables for Main Manuscript</w:t>
        </w:r>
      </w:hyperlink>
    </w:p>
    <w:bookmarkEnd w:id="50"/>
    <w:bookmarkStart w:id="57"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1"/>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5" w:name="fig-1"/>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mak_figures-fig-1-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0" w:name="model-comparisons"/>
    <w:p>
      <w:pPr>
        <w:pStyle w:val="Heading2"/>
      </w:pPr>
      <w:r>
        <w:t xml:space="preserve">Model Comparisons</w:t>
      </w:r>
    </w:p>
    <w:bookmarkStart w:id="58"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8"/>
    <w:bookmarkStart w:id="59"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9"/>
    <w:bookmarkEnd w:id="60"/>
    <w:bookmarkStart w:id="61"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1"/>
    <w:bookmarkStart w:id="67"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The top three feature categories for all models were past use, future efficacy, and craving. Future risky situations were also globally important across models. This category was ranked as the 4th most important feature across lagged models (24, 72, 168, and 336 hours). For the immediate model (0 hour lag), past risky situations were ranked as the 4th most important feature category and future risky situations was ranked as the fifth most important. Income was the only demographic feature that emerged as having high global importance for lapse prediction (in top 6 for all models).</w:t>
      </w:r>
      <w:r>
        <w:t xml:space="preserve"> </w:t>
      </w:r>
      <w:r>
        <w:t xml:space="preserve"> </w:t>
      </w:r>
      <w:r>
        <w:t xml:space="preserve">A table of feature categories ranked by global importance for each model is available in the supplement.</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overall top five features by model.</w:t>
      </w:r>
    </w:p>
    <w:tbl>
      <w:tblPr>
        <w:tblStyle w:val="Table"/>
        <w:tblW w:type="pct" w:w="5000"/>
        <w:tblLayout w:type="fixed"/>
        <w:tblLook w:firstRow="0" w:lastRow="0" w:firstColumn="0" w:lastColumn="0" w:noHBand="0" w:noVBand="0" w:val="0000"/>
      </w:tblPr>
      <w:tblGrid>
        <w:gridCol w:w="7920"/>
      </w:tblGrid>
      <w:tr>
        <w:tc>
          <w:tcPr/>
          <w:bookmarkStart w:id="65" w:name="fig-shap"/>
          <w:p>
            <w:pPr>
              <w:pStyle w:val="Compact"/>
              <w:jc w:val="center"/>
            </w:pPr>
            <w:r>
              <w:drawing>
                <wp:inline>
                  <wp:extent cx="5334000" cy="4191000"/>
                  <wp:effectExtent b="0" l="0" r="0" t="0"/>
                  <wp:docPr descr="" title="" id="63" name="Picture"/>
                  <a:graphic>
                    <a:graphicData uri="http://schemas.openxmlformats.org/drawingml/2006/picture">
                      <pic:pic>
                        <pic:nvPicPr>
                          <pic:cNvPr descr="index_files/figure-docx/notebooks-mak_figures-fig-shap-output-1.png" id="64" name="Picture"/>
                          <pic:cNvPicPr>
                            <a:picLocks noChangeArrowheads="1" noChangeAspect="1"/>
                          </pic:cNvPicPr>
                        </pic:nvPicPr>
                        <pic:blipFill>
                          <a:blip r:embed="rId62"/>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0 hour lagged model.</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Make All Figures for Main Manuscript</w:t>
        </w:r>
      </w:hyperlink>
    </w:p>
    <w:bookmarkEnd w:id="67"/>
    <w:bookmarkStart w:id="68" w:name="discussion"/>
    <w:p>
      <w:pPr>
        <w:pStyle w:val="Heading2"/>
      </w:pPr>
      <w:r>
        <w:t xml:space="preserve">Discussion</w:t>
      </w:r>
    </w:p>
    <w:bookmarkEnd w:id="68"/>
    <w:bookmarkStart w:id="69" w:name="model-performance"/>
    <w:p>
      <w:pPr>
        <w:pStyle w:val="Heading2"/>
      </w:pPr>
      <w:r>
        <w:t xml:space="preserve">Model Performance</w:t>
      </w:r>
    </w:p>
    <w:p>
      <w:pPr>
        <w:pStyle w:val="FirstParagraph"/>
      </w:pPr>
      <w:r>
        <w:t xml:space="preserve">Our models performed exceptionally well with median posterior probabilities for auROCs of .85 - .89. This suggests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Nevertheless, model performance did significantly decrease as models predicted further into the future. This is unsurprising given what we know about prediction and substance use. First, as lag time increases, features become less proximal to the prediction time point. Many important relapse risk factors are fluctuating processes that can change day-by-day, if not more frequently. For example, cravings can come on quickly (e.g., after encountering a person or place that reminds them of their use) and typically only last for up to 30 minutes. It may be acceptable to miss some of these more dynamic risk factors, however, if we consider lagged models as a supplement to immediate lapse prediction models (i.e., models with no lag). Lagged prediction models are most useful for their ability to provide individuals with advance notice that they may be at risk for lapsing. This advance notice can be used to implement more time-intensive recovery supports, such as attending a support group. On the other hand, an immediate lapse prediction model (i.e., no lag) is well-suited for detecting immediate risk and making a recommendation just-in-time (e.g., pointing to an activity available 24/7 on the web).</w:t>
      </w:r>
    </w:p>
    <w:p>
      <w:pPr>
        <w:pStyle w:val="BodyText"/>
      </w:pPr>
      <w:r>
        <w:t xml:space="preserve">We saw mixed evidence that feature importance might change depending on lag. Past use and craving were the top two features for all models. This suggests that although these features can change quickly, they are important enough to consistently emerge as top predictors regardless of lag time. Recent past risky situations, however, ranked high for the immediate prediction models, but future anticipated risky situations was relatively more important for the lagged models.</w:t>
      </w:r>
      <w:r>
        <w:t xml:space="preserve"> </w:t>
      </w:r>
      <w:r>
        <w:t xml:space="preserve"> </w:t>
      </w:r>
    </w:p>
    <w:p>
      <w:pPr>
        <w:pStyle w:val="BodyText"/>
      </w:pPr>
      <w:r>
        <w:t xml:space="preserve">Second, participants only provided EMA for up to three months. Therefore, a lag time of two weeks between the prediction time point and start of the prediction window prohibits us from using 1/6th of the EMA data for predictions. It is possible that this loss of data contributed to decreased performance in the lagged models.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 Still, we wish to emphasize that our lowest auROC (.85) is still excellent, and the benefit of advanced notice likely outweighs the cost to performance.</w:t>
      </w:r>
    </w:p>
    <w:bookmarkEnd w:id="69"/>
    <w:bookmarkStart w:id="70" w:name="model-fairness"/>
    <w:p>
      <w:pPr>
        <w:pStyle w:val="Heading2"/>
      </w:pPr>
      <w:r>
        <w:t xml:space="preserve">Model Fairness</w:t>
      </w:r>
    </w:p>
    <w:p>
      <w:pPr>
        <w:pStyle w:val="FirstParagraph"/>
      </w:pPr>
      <w:r>
        <w:t xml:space="preserve">All models performed worse for women, for people who were not White, and for people who had an income below the poverty line. The largest contributing factor is likely the lack of diversity in our training data. For example, even with our coarse combination of race/ethnicity, the not White group was largely underrepresented relative to the non-Hispanic White group. The best solution to this limitation would be to recruit a more representative sample. However, there may be methods to mitigate these issues in the current data. We could explore upsampling minority group representation in the data (e.g., using synthetic minority oversampling technique). We also could adjust the penalty weights so that prediction errors for minority groups are weighted more heavily than prediction errors for majority groups.</w:t>
      </w:r>
    </w:p>
    <w:p>
      <w:pPr>
        <w:pStyle w:val="BodyText"/>
      </w:pPr>
      <w:r>
        <w:t xml:space="preserve">Lastly, we could consider building models for a specific individual (i.e., idiographic)</w:t>
      </w:r>
      <w:r>
        <w:t xml:space="preserve"> </w:t>
      </w:r>
      <w:r>
        <w:t xml:space="preserve">(Fisher et al. 2019; Wright and Zimmermann 2019)</w:t>
      </w:r>
      <w:r>
        <w:t xml:space="preserve">. Person-specific models consider the characteristics and behaviors important to an individual rather than generalizing across a population. Unfortunately, a person-specific lapse prediction model requires a sufficient number of positive labels (i.e., lapses) for that individual. Waiting until an individual has lapsed multiple (perhaps many) times to offer help is in direct opposition with our goals. One potential solution to this conundrum may involve departing from traditional machine learning algorithms. For example, state space models, which are grounded in traditional repeated measures designs, inherently capture time series data and allow for the modeling of how an individual’s risk evolves over time from observable and latent states.</w:t>
      </w:r>
      <w:r>
        <w:t xml:space="preserve"> </w:t>
      </w:r>
    </w:p>
    <w:p>
      <w:pPr>
        <w:pStyle w:val="BodyText"/>
      </w:pPr>
      <w:r>
        <w:t xml:space="preserve">Although representation in our data is likely a contributing factor, it is not the only factor affecting model fairness. We had equal representation of men and women, and we still saw differences in performance. This difference is likely due to another source of bias - measurement bias. We chose our EMA items based on domain expertise and years of relapse risk research. It is possible that these constructs more precisely describe relapse risk factors for men than for women. This could mean that more research is needed to identify relapse risk factors for women (and other groups underrepresented in the literature more broadly). Additionally, data driven (bottom-up) approaches to creating features could be one way to remove some of the bias in domain driven (top-down) approaches. For example, using natural language processing on text message content could allow for new categories of features to emerge.</w:t>
      </w:r>
    </w:p>
    <w:bookmarkEnd w:id="70"/>
    <w:bookmarkStart w:id="71" w:name="X40ab624ebf83813907a18dba36edd4d1d14a553"/>
    <w:p>
      <w:pPr>
        <w:pStyle w:val="Heading2"/>
      </w:pPr>
      <w:r>
        <w:t xml:space="preserve">Additional Limitations and Future Directions</w:t>
      </w:r>
    </w:p>
    <w:p>
      <w:pPr>
        <w:pStyle w:val="FirstParagraph"/>
      </w:pPr>
      <w:r>
        <w:t xml:space="preserve">All of the proposed suggestions above for improving model fairness are current directions in our lab. In our current sample of participants, we are building models that prioritize accuracy for underrepresented groups. We are also building models that use other sensing methods, like geolocation and text message content, separately and in conjunction with EMA. In these combined models, we plan to assess whether the relative top features differs by demographic group. For example, it is possible that data-driven features (e.g., from geolocation) emerge as more important for groups that have been historically underrepresented in the research on relapse risk factors driving our self-report measures. To increase the diversity of our data, we recruited a nationally representative sample of people with opioid use disorder (data collection is near complete)</w:t>
      </w:r>
      <w:r>
        <w:t xml:space="preserve"> </w:t>
      </w:r>
      <w:r>
        <w:t xml:space="preserve">(Moshontz et al. 2021)</w:t>
      </w:r>
      <w:r>
        <w:t xml:space="preserve">.</w:t>
      </w:r>
    </w:p>
    <w:p>
      <w:pPr>
        <w:pStyle w:val="BodyText"/>
      </w:pPr>
      <w:r>
        <w:t xml:space="preserve">Measurement burden of EMA is also a concern. Research suggests people can comply with effortful sensing methods (e.g., 4x daily EMA) while using substances</w:t>
      </w:r>
      <w:r>
        <w:t xml:space="preserve"> </w:t>
      </w:r>
      <w:r>
        <w:t xml:space="preserve">(Wyant et al. 2023; Jones et al. 2019)</w:t>
      </w:r>
      <w:r>
        <w:t xml:space="preserve">. However, it is likely that frequent daily surveys will eventually become too burdensome when considering long-term monitoring. We plan to build models that use only 1x daily EMA to evaluate the trade-off between model performance and assessment burden. We also plan to build models that combine EMA and passive sensing methods, like geolocation, and evaluate the important features. It is possible that adding other low burden sensing methods could allow us to reduce the frequency (e.g., 1x weekly EMA) and/or length (e.g, 2-3 items) of our EMAs.</w:t>
      </w:r>
    </w:p>
    <w:p>
      <w:pPr>
        <w:pStyle w:val="BodyText"/>
      </w:pPr>
      <w:r>
        <w:t xml:space="preserve">Finally, to address disparities in substance use treatment initiation and outcomes among underrepresented groups, it is important to solicit and consider individual preferences and perceptions of the sensing data used to build an algorithm-guided risk monitoring support system from the beginning (i.e.,</w:t>
      </w:r>
      <w:r>
        <w:t xml:space="preserve"> </w:t>
      </w:r>
      <w:r>
        <w:rPr>
          <w:i/>
          <w:iCs/>
        </w:rPr>
        <w:t xml:space="preserve">before</w:t>
      </w:r>
      <w:r>
        <w:t xml:space="preserve"> </w:t>
      </w:r>
      <w:r>
        <w:t xml:space="preserve">an intervention is developed). Providing a support tool only acceptable to a majority group could widen existing disparities. To this end, we are currently using a mixed-methods design to assess issues related to feasibility and acceptability by sensing method and demographic characteristics in our national sample of participants with opioid use disorder.</w:t>
      </w:r>
    </w:p>
    <w:bookmarkEnd w:id="71"/>
    <w:bookmarkStart w:id="72" w:name="conclusion"/>
    <w:p>
      <w:pPr>
        <w:pStyle w:val="Heading2"/>
      </w:pPr>
      <w:r>
        <w:t xml:space="preserve">Conclusion</w:t>
      </w:r>
    </w:p>
    <w:p>
      <w:pPr>
        <w:pStyle w:val="FirstParagraph"/>
      </w:pPr>
      <w:r>
        <w:t xml:space="preserve">This study suggests it is possible to predict alcohol lapses up to two weeks into the future. This advanced notice could allow patients to implement multimodal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72"/>
    <w:bookmarkStart w:id="124" w:name="references"/>
    <w:p>
      <w:pPr>
        <w:pStyle w:val="Heading2"/>
      </w:pPr>
      <w:r>
        <w:t xml:space="preserve">References</w:t>
      </w:r>
    </w:p>
    <w:bookmarkStart w:id="123" w:name="refs"/>
    <w:bookmarkStart w:id="74"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73">
        <w:r>
          <w:rPr>
            <w:rStyle w:val="Hyperlink"/>
          </w:rPr>
          <w:t xml:space="preserve">https://doi.org/10.1016/j.addbeh.2017.11.039</w:t>
        </w:r>
      </w:hyperlink>
      <w:r>
        <w:t xml:space="preserve">.</w:t>
      </w:r>
    </w:p>
    <w:bookmarkEnd w:id="74"/>
    <w:bookmarkStart w:id="76"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5">
        <w:r>
          <w:rPr>
            <w:rStyle w:val="Hyperlink"/>
          </w:rPr>
          <w:t xml:space="preserve">https://doi.org/10.21231/GNT1-HW21</w:t>
        </w:r>
      </w:hyperlink>
      <w:r>
        <w:t xml:space="preserve">.</w:t>
      </w:r>
    </w:p>
    <w:bookmarkEnd w:id="76"/>
    <w:bookmarkStart w:id="78"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7">
        <w:r>
          <w:rPr>
            <w:rStyle w:val="Hyperlink"/>
          </w:rPr>
          <w:t xml:space="preserve">https://doi.org/10.1016/j.jsat.2013.08.004</w:t>
        </w:r>
      </w:hyperlink>
      <w:r>
        <w:t xml:space="preserve">.</w:t>
      </w:r>
    </w:p>
    <w:bookmarkEnd w:id="78"/>
    <w:bookmarkStart w:id="80"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9">
        <w:r>
          <w:rPr>
            <w:rStyle w:val="Hyperlink"/>
          </w:rPr>
          <w:t xml:space="preserve">https://doi.org/10.1016/j.brat.2019.103506</w:t>
        </w:r>
      </w:hyperlink>
      <w:r>
        <w:t xml:space="preserve">.</w:t>
      </w:r>
    </w:p>
    <w:bookmarkEnd w:id="80"/>
    <w:bookmarkStart w:id="82" w:name="ref-fisherOpenTrialPersonalized2019"/>
    <w:p>
      <w:pPr>
        <w:pStyle w:val="Bibliography"/>
      </w:pPr>
      <w:r>
        <w:t xml:space="preserve">Fisher, Aaron J., Hannah G. Bosley, Katya C. Fernandez, Jonathan W. Reeves, Peter D. Soyster, Allison E. Diamond, and Jonathan Barkin. 2019.</w:t>
      </w:r>
      <w:r>
        <w:t xml:space="preserve"> </w:t>
      </w:r>
      <w:r>
        <w:t xml:space="preserve">“Open Trial of a Personalized Modular Treatment for Mood and Anxiety.”</w:t>
      </w:r>
      <w:r>
        <w:t xml:space="preserve"> </w:t>
      </w:r>
      <w:r>
        <w:rPr>
          <w:i/>
          <w:iCs/>
        </w:rPr>
        <w:t xml:space="preserve">Behaviour Research and Therapy</w:t>
      </w:r>
      <w:r>
        <w:t xml:space="preserve"> </w:t>
      </w:r>
      <w:r>
        <w:t xml:space="preserve">116 (May): 69–79.</w:t>
      </w:r>
      <w:r>
        <w:t xml:space="preserve"> </w:t>
      </w:r>
      <w:hyperlink r:id="rId81">
        <w:r>
          <w:rPr>
            <w:rStyle w:val="Hyperlink"/>
          </w:rPr>
          <w:t xml:space="preserve">https://doi.org/10.1016/j.brat.2019.01.010</w:t>
        </w:r>
      </w:hyperlink>
      <w:r>
        <w:t xml:space="preserve">.</w:t>
      </w:r>
    </w:p>
    <w:bookmarkEnd w:id="82"/>
    <w:bookmarkStart w:id="83"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83"/>
    <w:bookmarkStart w:id="84"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84"/>
    <w:bookmarkStart w:id="86"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85">
        <w:r>
          <w:rPr>
            <w:rStyle w:val="Hyperlink"/>
          </w:rPr>
          <w:t xml:space="preserve">https://doi.org/10.1016/j.drugalcdep.2006.05.012</w:t>
        </w:r>
      </w:hyperlink>
      <w:r>
        <w:t xml:space="preserve">.</w:t>
      </w:r>
    </w:p>
    <w:bookmarkEnd w:id="86"/>
    <w:bookmarkStart w:id="87"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7"/>
    <w:bookmarkStart w:id="89" w:name="X305ed1b6c97f878fcc6b9e2dc29ff342edd2275"/>
    <w:p>
      <w:pPr>
        <w:pStyle w:val="Bibliography"/>
      </w:pPr>
      <w:r>
        <w:t xml:space="preserve">Jones, Andrew, Danielle Remmerswaal, Ilse Verveer, Eric Robinson, Ingmar H. A. Franken, Cheng K. Fred Wen, and Matt Field. 2019.</w:t>
      </w:r>
      <w:r>
        <w:t xml:space="preserve"> </w:t>
      </w:r>
      <w:r>
        <w:t xml:space="preserve">“Compliance with Ecological Momentary Assessment Protocols in Substance Users: A Meta-Analysis.”</w:t>
      </w:r>
      <w:r>
        <w:t xml:space="preserve"> </w:t>
      </w:r>
      <w:r>
        <w:rPr>
          <w:i/>
          <w:iCs/>
        </w:rPr>
        <w:t xml:space="preserve">Addiction (Abingdon, England)</w:t>
      </w:r>
      <w:r>
        <w:t xml:space="preserve"> </w:t>
      </w:r>
      <w:r>
        <w:t xml:space="preserve">114 (4): 609–19.</w:t>
      </w:r>
      <w:r>
        <w:t xml:space="preserve"> </w:t>
      </w:r>
      <w:hyperlink r:id="rId88">
        <w:r>
          <w:rPr>
            <w:rStyle w:val="Hyperlink"/>
          </w:rPr>
          <w:t xml:space="preserve">https://doi.org/gfsjzg</w:t>
        </w:r>
      </w:hyperlink>
      <w:r>
        <w:t xml:space="preserve">.</w:t>
      </w:r>
    </w:p>
    <w:bookmarkEnd w:id="89"/>
    <w:bookmarkStart w:id="91"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90">
        <w:r>
          <w:rPr>
            <w:rStyle w:val="Hyperlink"/>
          </w:rPr>
          <w:t xml:space="preserve">https://doi.org/10.1001/jamanetworkopen.2020.5852</w:t>
        </w:r>
      </w:hyperlink>
      <w:r>
        <w:t xml:space="preserve">.</w:t>
      </w:r>
    </w:p>
    <w:bookmarkEnd w:id="91"/>
    <w:bookmarkStart w:id="92"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92"/>
    <w:bookmarkStart w:id="94"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93">
        <w:r>
          <w:rPr>
            <w:rStyle w:val="Hyperlink"/>
          </w:rPr>
          <w:t xml:space="preserve">https://doi.org/10.1007/978-1-4614-6849-3</w:t>
        </w:r>
      </w:hyperlink>
      <w:r>
        <w:t xml:space="preserve">.</w:t>
      </w:r>
    </w:p>
    <w:bookmarkEnd w:id="94"/>
    <w:bookmarkStart w:id="95"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5"/>
    <w:bookmarkStart w:id="97"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96">
        <w:r>
          <w:rPr>
            <w:rStyle w:val="Hyperlink"/>
          </w:rPr>
          <w:t xml:space="preserve">https://doi.org/10.1214/17-EJS1338SI</w:t>
        </w:r>
      </w:hyperlink>
      <w:r>
        <w:t xml:space="preserve">.</w:t>
      </w:r>
    </w:p>
    <w:bookmarkEnd w:id="97"/>
    <w:bookmarkStart w:id="98"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98"/>
    <w:bookmarkStart w:id="99"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9"/>
    <w:bookmarkStart w:id="100" w:name="ref-mba2024FederalPoverty2024"/>
    <w:p>
      <w:pPr>
        <w:pStyle w:val="Bibliography"/>
      </w:pPr>
      <w:r>
        <w:t xml:space="preserve">MBA, Tony Bartels, DVM. 2024.</w:t>
      </w:r>
      <w:r>
        <w:t xml:space="preserve"> </w:t>
      </w:r>
      <w:r>
        <w:t xml:space="preserve">“2024</w:t>
      </w:r>
      <w:r>
        <w:t xml:space="preserve"> </w:t>
      </w:r>
      <w:r>
        <w:t xml:space="preserve">Federal Poverty Rates Published</w:t>
      </w:r>
      <w:r>
        <w:t xml:space="preserve">:</w:t>
      </w:r>
      <w:r>
        <w:t xml:space="preserve"> </w:t>
      </w:r>
      <w:r>
        <w:t xml:space="preserve">Why</w:t>
      </w:r>
      <w:r>
        <w:t xml:space="preserve"> </w:t>
      </w:r>
      <w:r>
        <w:t xml:space="preserve">That Matters for Your Student Loans.”</w:t>
      </w:r>
      <w:r>
        <w:t xml:space="preserve"> </w:t>
      </w:r>
      <w:r>
        <w:rPr>
          <w:i/>
          <w:iCs/>
        </w:rPr>
        <w:t xml:space="preserve">VIN Foundation</w:t>
      </w:r>
      <w:r>
        <w:t xml:space="preserve">. https://vinfoundation.org/2024-federal-poverty-rates-published-why-that-matters-for-your-student-loans/.</w:t>
      </w:r>
    </w:p>
    <w:bookmarkEnd w:id="100"/>
    <w:bookmarkStart w:id="102" w:name="X1f44e09282148d362bdacfce67d6a56b1cf06db"/>
    <w:p>
      <w:pPr>
        <w:pStyle w:val="Bibliography"/>
      </w:pPr>
      <w:r>
        <w:t xml:space="preserve">Moshontz, Hannah, Alejandra J. Colmenares, Gaylen E. Fronk, Sarah J. Sant’Ana, Kendra Wyant, Susan E. Wanta, Adam Maus, David H. Gustafson Jr, Dhavan Shah, and John J. Curtin. 2021.</w:t>
      </w:r>
      <w:r>
        <w:t xml:space="preserve"> </w:t>
      </w:r>
      <w:r>
        <w:t xml:space="preserve">“Prospective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 </w:t>
      </w:r>
      <w:r>
        <w:t xml:space="preserve">10 (12): e29563.</w:t>
      </w:r>
      <w:r>
        <w:t xml:space="preserve"> </w:t>
      </w:r>
      <w:hyperlink r:id="rId101">
        <w:r>
          <w:rPr>
            <w:rStyle w:val="Hyperlink"/>
          </w:rPr>
          <w:t xml:space="preserve">https://doi.org/10.2196/29563</w:t>
        </w:r>
      </w:hyperlink>
      <w:r>
        <w:t xml:space="preserve">.</w:t>
      </w:r>
    </w:p>
    <w:bookmarkEnd w:id="102"/>
    <w:bookmarkStart w:id="104"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103">
        <w:r>
          <w:rPr>
            <w:rStyle w:val="Hyperlink"/>
          </w:rPr>
          <w:t xml:space="preserve">https://doi.org/10.1016/j.jsat.2021.108710</w:t>
        </w:r>
      </w:hyperlink>
      <w:r>
        <w:t xml:space="preserve">.</w:t>
      </w:r>
    </w:p>
    <w:bookmarkEnd w:id="104"/>
    <w:bookmarkStart w:id="106"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105">
        <w:r>
          <w:rPr>
            <w:rStyle w:val="Hyperlink"/>
          </w:rPr>
          <w:t xml:space="preserve">https://doi.org/10.1016/j.drugalcdep.2019.05.017</w:t>
        </w:r>
      </w:hyperlink>
      <w:r>
        <w:t xml:space="preserve">.</w:t>
      </w:r>
    </w:p>
    <w:bookmarkEnd w:id="106"/>
    <w:bookmarkStart w:id="107"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107"/>
    <w:bookmarkStart w:id="108"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108"/>
    <w:bookmarkStart w:id="110"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109">
        <w:r>
          <w:rPr>
            <w:rStyle w:val="Hyperlink"/>
          </w:rPr>
          <w:t xml:space="preserve">https://doi.org/10.1037/adb0000666</w:t>
        </w:r>
      </w:hyperlink>
      <w:r>
        <w:t xml:space="preserve">.</w:t>
      </w:r>
    </w:p>
    <w:bookmarkEnd w:id="110"/>
    <w:bookmarkStart w:id="112"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111">
        <w:r>
          <w:rPr>
            <w:rStyle w:val="Hyperlink"/>
          </w:rPr>
          <w:t xml:space="preserve">https://doi.org/10.1016/j.jsat.2021.108417</w:t>
        </w:r>
      </w:hyperlink>
      <w:r>
        <w:t xml:space="preserve">.</w:t>
      </w:r>
    </w:p>
    <w:bookmarkEnd w:id="112"/>
    <w:bookmarkStart w:id="114"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13">
        <w:r>
          <w:rPr>
            <w:rStyle w:val="Hyperlink"/>
          </w:rPr>
          <w:t xml:space="preserve">https://doi.org/10.1037/0003-066X.59.4.224</w:t>
        </w:r>
      </w:hyperlink>
      <w:r>
        <w:t xml:space="preserve">.</w:t>
      </w:r>
    </w:p>
    <w:bookmarkEnd w:id="114"/>
    <w:bookmarkStart w:id="116"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15">
        <w:r>
          <w:rPr>
            <w:rStyle w:val="Hyperlink"/>
          </w:rPr>
          <w:t xml:space="preserve">https://doi.org/10.1016/j.cpr.2007.01.002</w:t>
        </w:r>
      </w:hyperlink>
      <w:r>
        <w:t xml:space="preserve">.</w:t>
      </w:r>
    </w:p>
    <w:bookmarkEnd w:id="116"/>
    <w:bookmarkStart w:id="118" w:name="X62c2bccfcb3c64764f794751dcac0a3c1c7edc5"/>
    <w:p>
      <w:pPr>
        <w:pStyle w:val="Bibliography"/>
      </w:pPr>
      <w:r>
        <w:t xml:space="preserve">Wright, Aidan G. C., and Johannes Zimmermann. 2019.</w:t>
      </w:r>
      <w:r>
        <w:t xml:space="preserve"> </w:t>
      </w:r>
      <w:r>
        <w:t xml:space="preserve">“Applied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 </w:t>
      </w:r>
      <w:r>
        <w:t xml:space="preserve">31 (12): 1467–80.</w:t>
      </w:r>
      <w:r>
        <w:t xml:space="preserve"> </w:t>
      </w:r>
      <w:hyperlink r:id="rId117">
        <w:r>
          <w:rPr>
            <w:rStyle w:val="Hyperlink"/>
          </w:rPr>
          <w:t xml:space="preserve">https://doi.org/10.1037/pas0000685</w:t>
        </w:r>
      </w:hyperlink>
      <w:r>
        <w:t xml:space="preserve">.</w:t>
      </w:r>
    </w:p>
    <w:bookmarkEnd w:id="118"/>
    <w:bookmarkStart w:id="12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19">
        <w:r>
          <w:rPr>
            <w:rStyle w:val="Hyperlink"/>
          </w:rPr>
          <w:t xml:space="preserve">https://doi.org/10.2196/41833</w:t>
        </w:r>
      </w:hyperlink>
      <w:r>
        <w:t xml:space="preserve">.</w:t>
      </w:r>
    </w:p>
    <w:bookmarkEnd w:id="120"/>
    <w:bookmarkStart w:id="122"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21">
        <w:r>
          <w:rPr>
            <w:rStyle w:val="Hyperlink"/>
          </w:rPr>
          <w:t xml:space="preserve">https://doi.org/10.31234/osf.io/cgsf7</w:t>
        </w:r>
      </w:hyperlink>
      <w:r>
        <w:t xml:space="preserve">.</w:t>
      </w:r>
    </w:p>
    <w:bookmarkEnd w:id="122"/>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The poverty cutoff was defined from the 2024 federal poverty line for the 48 continguous United States. Participants at or below $1560 annual income were categorized as below poverty.</w:t>
      </w:r>
      <w:r>
        <w:t xml:space="preserve">(MBA 2024)</w:t>
      </w:r>
    </w:p>
  </w:footnote>
  <w:footnote w:id="42">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1">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9" Target="media/rId29.png" /><Relationship Type="http://schemas.openxmlformats.org/officeDocument/2006/relationships/image" Id="rId62" Target="media/rId62.png" /><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qmd.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qmd.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2024-09-20T17:03:09Z</dcterms:created>
  <dcterms:modified xsi:type="dcterms:W3CDTF">2024-09-20T17:03:09Z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2024-09-09</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