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2024-06-18</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Today, this approach is also applied to chronic mental health conditions, like substance use disorders (i.e., precision mental health). Precision mental health uses individual characteristics to guide initial treatment matching and adaptive continuing care over time. It requires dense, long-term monitoring of symptoms and related states, for interventions to be tailored to an individual’s needs and preferences at any given moment</w:t>
      </w:r>
      <w:r>
        <w:t xml:space="preserve"> </w:t>
      </w:r>
      <w:r>
        <w:t xml:space="preserve">(Bickman, Lyon, and Wolpert 2016)</w:t>
      </w:r>
      <w:r>
        <w:t xml:space="preserve">. Essentially, it aims to identify both</w:t>
      </w:r>
      <w:r>
        <w:t xml:space="preserve"> </w:t>
      </w:r>
      <w:r>
        <w:rPr>
          <w:i/>
          <w:iCs/>
        </w:rPr>
        <w:t xml:space="preserve">when</w:t>
      </w:r>
      <w:r>
        <w:t xml:space="preserve"> </w:t>
      </w:r>
      <w:r>
        <w:t xml:space="preserve">and</w:t>
      </w:r>
      <w:r>
        <w:t xml:space="preserve"> </w:t>
      </w:r>
      <w:r>
        <w:rPr>
          <w:i/>
          <w:iCs/>
        </w:rPr>
        <w:t xml:space="preserve">how</w:t>
      </w:r>
      <w:r>
        <w:t xml:space="preserve"> </w:t>
      </w:r>
      <w:r>
        <w:t xml:space="preserve">to intervene.</w:t>
      </w:r>
    </w:p>
    <w:p>
      <w:pPr>
        <w:pStyle w:val="BodyText"/>
      </w:pPr>
      <w:r>
        <w:t xml:space="preserve">Recent advances in both personal sensing and machine learning may address both of these barriers to successful precision mental health.</w:t>
      </w:r>
      <w:r>
        <w:t xml:space="preserve"> </w:t>
      </w:r>
      <w:r>
        <w:t xml:space="preserve"> </w:t>
      </w:r>
    </w:p>
    <w:p>
      <w:pPr>
        <w:pStyle w:val="BodyText"/>
      </w:pPr>
      <w:r>
        <w:t xml:space="preserve">Personal sensing allows for frequent, longitudinal monitoring of individuals’ affect, behavior, and cognitions in their day-to-day lives</w:t>
      </w:r>
      <w:r>
        <w:t xml:space="preserve"> </w:t>
      </w:r>
      <w:r>
        <w:t xml:space="preserve">(Mohr, Zhang, and Schueller 2017)</w:t>
      </w:r>
      <w:r>
        <w:t xml:space="preserve">. These data can then be used as inputs for machine learning algorithms to predict the probability of specific outcomes (e.g., lapse risk) and identify the top features contributing to those predictions.</w:t>
      </w:r>
      <w:r>
        <w:t xml:space="preserve"> </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2"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7"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5"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at or below poverty)</w:t>
      </w:r>
      <w:r>
        <w:t xml:space="preserve"> </w:t>
      </w:r>
      <w:r>
        <w:t xml:space="preserve">(Olfson et al. 2022)</w:t>
      </w:r>
      <w:r>
        <w:t xml:space="preserve">, and sex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95% Bayesian CIs.</w:t>
      </w:r>
      <w:r>
        <w:t xml:space="preserve"> </w:t>
      </w:r>
    </w:p>
    <w:bookmarkEnd w:id="35"/>
    <w:bookmarkStart w:id="36"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6"/>
    <w:bookmarkEnd w:id="37"/>
    <w:bookmarkEnd w:id="38"/>
    <w:bookmarkStart w:id="60" w:name="results"/>
    <w:p>
      <w:pPr>
        <w:pStyle w:val="Heading2"/>
      </w:pPr>
      <w:r>
        <w:t xml:space="preserve">Results</w:t>
      </w:r>
    </w:p>
    <w:bookmarkStart w:id="43"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pdf">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39" w:name="tbl-demopdf"/>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r>
        <w:br w:type="page"/>
      </w:r>
    </w:p>
    <w:p>
      <w:pPr>
        <w:pStyle w:val="BodyText"/>
      </w:pPr>
      <w:r>
        <w:t xml:space="preserve">Table 2: Demographic and Lapse Characteristics (Continued)</w:t>
      </w:r>
    </w:p>
    <w:bookmarkStart w:id="41" w:name="demopdf"/>
    <w:tbl>
      <w:tblPr>
        <w:tblStyle w:val="Table"/>
        <w:tblW w:type="pct" w:w="4878"/>
        <w:tblLayout w:type="fixed"/>
        <w:tblLook w:firstRow="1" w:lastRow="0" w:firstColumn="0" w:lastColumn="0" w:noHBand="0" w:noVBand="0" w:val="0020"/>
      </w:tblPr>
      <w:tblGrid>
        <w:gridCol w:w="4636"/>
        <w:gridCol w:w="482"/>
        <w:gridCol w:w="676"/>
        <w:gridCol w:w="579"/>
        <w:gridCol w:w="579"/>
        <w:gridCol w:w="772"/>
      </w:tblGrid>
      <w:tr>
        <w:trPr>
          <w:tblHeader w:val="on"/>
        </w:trPr>
        <w:tc>
          <w:tcPr/>
          <w:p>
            <w:pPr>
              <w:pStyle w:val="Compact"/>
              <w:jc w:val="left"/>
            </w:pPr>
            <w:r>
              <w:t xml:space="preserve">var</w:t>
            </w:r>
          </w:p>
        </w:tc>
        <w:tc>
          <w:tcPr/>
          <w:p>
            <w:pPr>
              <w:pStyle w:val="Compact"/>
              <w:jc w:val="right"/>
            </w:pPr>
            <w:r>
              <w:t xml:space="preserve">N</w:t>
            </w:r>
          </w:p>
        </w:tc>
        <w:tc>
          <w:tcPr/>
          <w:p>
            <w:pPr>
              <w:pStyle w:val="Compact"/>
              <w:jc w:val="right"/>
            </w:pPr>
            <w:r>
              <w:t xml:space="preserve">%</w:t>
            </w:r>
          </w:p>
        </w:tc>
        <w:tc>
          <w:tcPr/>
          <w:p>
            <w:pPr>
              <w:pStyle w:val="Compact"/>
              <w:jc w:val="left"/>
            </w:pPr>
            <w:r>
              <w:t xml:space="preserve">M</w:t>
            </w:r>
          </w:p>
        </w:tc>
        <w:tc>
          <w:tcPr/>
          <w:p>
            <w:pPr>
              <w:pStyle w:val="Compact"/>
              <w:jc w:val="left"/>
            </w:pPr>
            <w:r>
              <w:t xml:space="preserve">SD</w:t>
            </w:r>
          </w:p>
        </w:tc>
        <w:tc>
          <w:tcPr/>
          <w:p>
            <w:pPr>
              <w:pStyle w:val="Compact"/>
              <w:jc w:val="left"/>
            </w:pPr>
            <w:r>
              <w:t xml:space="preserve">Range</w:t>
            </w:r>
          </w:p>
        </w:tc>
      </w:tr>
      <w:tr>
        <w:tc>
          <w:tcPr/>
          <w:p>
            <w:pPr>
              <w:pStyle w:val="Compact"/>
              <w:jc w:val="left"/>
            </w:pPr>
            <w:r>
              <w:t xml:space="preserve">Married</w:t>
            </w:r>
          </w:p>
        </w:tc>
        <w:tc>
          <w:tcPr/>
          <w:p>
            <w:pPr>
              <w:pStyle w:val="Compact"/>
              <w:jc w:val="right"/>
            </w:pPr>
            <w:r>
              <w:t xml:space="preserve">32</w:t>
            </w:r>
          </w:p>
        </w:tc>
        <w:tc>
          <w:tcPr/>
          <w:p>
            <w:pPr>
              <w:pStyle w:val="Compact"/>
              <w:jc w:val="right"/>
            </w:pPr>
            <w:r>
              <w:t xml:space="preserve">21.2</w:t>
            </w:r>
          </w:p>
        </w:tc>
        <w:tc>
          <w:tcPr/>
          <w:p>
            <w:pPr>
              <w:pStyle w:val="Compact"/>
            </w:pPr>
          </w:p>
        </w:tc>
        <w:tc>
          <w:tcPr/>
          <w:p>
            <w:pPr>
              <w:pStyle w:val="Compact"/>
            </w:pPr>
          </w:p>
        </w:tc>
        <w:tc>
          <w:tcPr/>
          <w:p>
            <w:pPr>
              <w:pStyle w:val="Compact"/>
            </w:pPr>
          </w:p>
        </w:tc>
      </w:tr>
      <w:tr>
        <w:tc>
          <w:tcPr/>
          <w:p>
            <w:pPr>
              <w:pStyle w:val="Compact"/>
              <w:jc w:val="left"/>
            </w:pPr>
            <w:r>
              <w:t xml:space="preserve">Divorced</w:t>
            </w:r>
          </w:p>
        </w:tc>
        <w:tc>
          <w:tcPr/>
          <w:p>
            <w:pPr>
              <w:pStyle w:val="Compact"/>
              <w:jc w:val="right"/>
            </w:pPr>
            <w:r>
              <w:t xml:space="preserve">45</w:t>
            </w:r>
          </w:p>
        </w:tc>
        <w:tc>
          <w:tcPr/>
          <w:p>
            <w:pPr>
              <w:pStyle w:val="Compact"/>
              <w:jc w:val="right"/>
            </w:pPr>
            <w:r>
              <w:t xml:space="preserve">29.8</w:t>
            </w:r>
          </w:p>
        </w:tc>
        <w:tc>
          <w:tcPr/>
          <w:p>
            <w:pPr>
              <w:pStyle w:val="Compact"/>
            </w:pPr>
          </w:p>
        </w:tc>
        <w:tc>
          <w:tcPr/>
          <w:p>
            <w:pPr>
              <w:pStyle w:val="Compact"/>
            </w:pPr>
          </w:p>
        </w:tc>
        <w:tc>
          <w:tcPr/>
          <w:p>
            <w:pPr>
              <w:pStyle w:val="Compact"/>
            </w:pPr>
          </w:p>
        </w:tc>
      </w:tr>
      <w:tr>
        <w:tc>
          <w:tcPr/>
          <w:p>
            <w:pPr>
              <w:pStyle w:val="Compact"/>
              <w:jc w:val="left"/>
            </w:pPr>
            <w:r>
              <w:t xml:space="preserve">Separated</w:t>
            </w:r>
          </w:p>
        </w:tc>
        <w:tc>
          <w:tcPr/>
          <w:p>
            <w:pPr>
              <w:pStyle w:val="Compact"/>
              <w:jc w:val="right"/>
            </w:pPr>
            <w:r>
              <w:t xml:space="preserve">5</w:t>
            </w:r>
          </w:p>
        </w:tc>
        <w:tc>
          <w:tcPr/>
          <w:p>
            <w:pPr>
              <w:pStyle w:val="Compact"/>
              <w:jc w:val="right"/>
            </w:pPr>
            <w:r>
              <w:t xml:space="preserve">3.3</w:t>
            </w:r>
          </w:p>
        </w:tc>
        <w:tc>
          <w:tcPr/>
          <w:p>
            <w:pPr>
              <w:pStyle w:val="Compact"/>
            </w:pPr>
          </w:p>
        </w:tc>
        <w:tc>
          <w:tcPr/>
          <w:p>
            <w:pPr>
              <w:pStyle w:val="Compact"/>
            </w:pPr>
          </w:p>
        </w:tc>
        <w:tc>
          <w:tcPr/>
          <w:p>
            <w:pPr>
              <w:pStyle w:val="Compact"/>
            </w:pPr>
          </w:p>
        </w:tc>
      </w:tr>
      <w:tr>
        <w:tc>
          <w:tcPr/>
          <w:p>
            <w:pPr>
              <w:pStyle w:val="Compact"/>
              <w:jc w:val="left"/>
            </w:pPr>
            <w:r>
              <w:t xml:space="preserve">Widowed</w:t>
            </w:r>
          </w:p>
        </w:tc>
        <w:tc>
          <w:tcPr/>
          <w:p>
            <w:pPr>
              <w:pStyle w:val="Compact"/>
              <w:jc w:val="right"/>
            </w:pPr>
            <w:r>
              <w:t xml:space="preserve">2</w:t>
            </w:r>
          </w:p>
        </w:tc>
        <w:tc>
          <w:tcPr/>
          <w:p>
            <w:pPr>
              <w:pStyle w:val="Compact"/>
              <w:jc w:val="right"/>
            </w:pPr>
            <w:r>
              <w:t xml:space="preserve">1.3</w:t>
            </w:r>
          </w:p>
        </w:tc>
        <w:tc>
          <w:tcPr/>
          <w:p>
            <w:pPr>
              <w:pStyle w:val="Compact"/>
            </w:pPr>
          </w:p>
        </w:tc>
        <w:tc>
          <w:tcPr/>
          <w:p>
            <w:pPr>
              <w:pStyle w:val="Compact"/>
            </w:pPr>
          </w:p>
        </w:tc>
        <w:tc>
          <w:tcPr/>
          <w:p>
            <w:pPr>
              <w:pStyle w:val="Compact"/>
            </w:pPr>
          </w:p>
        </w:tc>
      </w:tr>
      <w:tr>
        <w:tc>
          <w:tcPr/>
          <w:p>
            <w:pPr>
              <w:pStyle w:val="Compact"/>
              <w:jc w:val="left"/>
            </w:pPr>
            <w:r>
              <w:t xml:space="preserve">DSM-5 AUD Symptom Count</w:t>
            </w:r>
          </w:p>
        </w:tc>
        <w:tc>
          <w:tcPr/>
          <w:p>
            <w:pPr>
              <w:pStyle w:val="Compact"/>
            </w:pPr>
          </w:p>
        </w:tc>
        <w:tc>
          <w:tcPr/>
          <w:p>
            <w:pPr>
              <w:pStyle w:val="Compact"/>
            </w:pPr>
          </w:p>
        </w:tc>
        <w:tc>
          <w:tcPr/>
          <w:p>
            <w:pPr>
              <w:pStyle w:val="Compact"/>
              <w:jc w:val="left"/>
            </w:pPr>
            <w:r>
              <w:t xml:space="preserve">8.9</w:t>
            </w:r>
          </w:p>
        </w:tc>
        <w:tc>
          <w:tcPr/>
          <w:p>
            <w:pPr>
              <w:pStyle w:val="Compact"/>
              <w:jc w:val="left"/>
            </w:pPr>
            <w:r>
              <w:t xml:space="preserve">1.9</w:t>
            </w:r>
          </w:p>
        </w:tc>
        <w:tc>
          <w:tcPr/>
          <w:p>
            <w:pPr>
              <w:pStyle w:val="Compact"/>
              <w:jc w:val="left"/>
            </w:pPr>
            <w:r>
              <w:t xml:space="preserve">4-11</w:t>
            </w: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84</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67</w:t>
            </w:r>
          </w:p>
        </w:tc>
        <w:tc>
          <w:tcPr/>
          <w:p>
            <w:pPr>
              <w:pStyle w:val="Compact"/>
              <w:jc w:val="right"/>
            </w:pPr>
            <w:r>
              <w:t xml:space="preserve">44.4</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left"/>
            </w:pPr>
            <w:r>
              <w:t xml:space="preserve">6.8</w:t>
            </w:r>
          </w:p>
        </w:tc>
        <w:tc>
          <w:tcPr/>
          <w:p>
            <w:pPr>
              <w:pStyle w:val="Compact"/>
              <w:jc w:val="left"/>
            </w:pPr>
            <w:r>
              <w:t xml:space="preserve">12</w:t>
            </w:r>
          </w:p>
        </w:tc>
        <w:tc>
          <w:tcPr/>
          <w:p>
            <w:pPr>
              <w:pStyle w:val="Compact"/>
              <w:jc w:val="left"/>
            </w:pPr>
            <w:r>
              <w:t xml:space="preserve">0-75</w:t>
            </w:r>
          </w:p>
        </w:tc>
      </w:tr>
    </w:tbl>
    <w:bookmarkEnd w:id="41"/>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auroc"/>
          <w:p>
            <w:pPr>
              <w:pStyle w:val="Compact"/>
              <w:jc w:val="center"/>
            </w:pPr>
            <w:r>
              <w:drawing>
                <wp:inline>
                  <wp:extent cx="5334000" cy="3809999"/>
                  <wp:effectExtent b="0" l="0" r="0" t="0"/>
                  <wp:docPr descr="" title="" id="45" name="Picture"/>
                  <a:graphic>
                    <a:graphicData uri="http://schemas.openxmlformats.org/drawingml/2006/picture">
                      <pic:pic>
                        <pic:nvPicPr>
                          <pic:cNvPr descr="index_files/figure-docx/notebooks-mak_figs-fig-auroc-output-1.png" id="46" name="Picture"/>
                          <pic:cNvPicPr>
                            <a:picLocks noChangeArrowheads="1" noChangeAspect="1"/>
                          </pic:cNvPicPr>
                        </pic:nvPicPr>
                        <pic:blipFill>
                          <a:blip r:embed="rId44"/>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Figures</w:t>
        </w:r>
      </w:hyperlink>
    </w:p>
    <w:bookmarkEnd w:id="49"/>
    <w:bookmarkStart w:id="52" w:name="model-comparisons-1"/>
    <w:p>
      <w:pPr>
        <w:pStyle w:val="Heading3"/>
      </w:pPr>
      <w:r>
        <w:t xml:space="preserve">Model Comparisons</w:t>
      </w:r>
    </w:p>
    <w:bookmarkStart w:id="50"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50"/>
    <w:bookmarkStart w:id="51"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1"/>
    <w:bookmarkEnd w:id="52"/>
    <w:bookmarkStart w:id="58"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and income were significant (probability &gt; .95) across models. On average there was a median increase in auROC for white participants compared to participants who were not white of 0.159. On average there was a median increase in auROC for male participants compared to female participants of 0.080. On average there was a median increase in auROC for participants above the federal poverty line compared to participants below the federal poverty line of 0.092.</w:t>
      </w:r>
    </w:p>
    <w:tbl>
      <w:tblPr>
        <w:tblStyle w:val="Table"/>
        <w:tblW w:type="pct" w:w="5000"/>
        <w:tblLayout w:type="fixed"/>
        <w:tblLook w:firstRow="0" w:lastRow="0" w:firstColumn="0" w:lastColumn="0" w:noHBand="0" w:noVBand="0" w:val="0000"/>
      </w:tblPr>
      <w:tblGrid>
        <w:gridCol w:w="7920"/>
      </w:tblGrid>
      <w:tr>
        <w:tc>
          <w:tcPr/>
          <w:bookmarkStart w:id="56" w:name="fig-fairness"/>
          <w:p>
            <w:pPr>
              <w:pStyle w:val="Compact"/>
              <w:jc w:val="center"/>
            </w:pPr>
            <w:r>
              <w:drawing>
                <wp:inline>
                  <wp:extent cx="5334000" cy="3809999"/>
                  <wp:effectExtent b="0" l="0" r="0" t="0"/>
                  <wp:docPr descr="" title="" id="54" name="Picture"/>
                  <a:graphic>
                    <a:graphicData uri="http://schemas.openxmlformats.org/drawingml/2006/picture">
                      <pic:pic>
                        <pic:nvPicPr>
                          <pic:cNvPr descr="index_files/figure-docx/notebooks-mak_figs-fig-fairness-output-1.png" id="55" name="Picture"/>
                          <pic:cNvPicPr>
                            <a:picLocks noChangeArrowheads="1" noChangeAspect="1"/>
                          </pic:cNvPicPr>
                        </pic:nvPicPr>
                        <pic:blipFill>
                          <a:blip r:embed="rId53"/>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Figures</w:t>
        </w:r>
      </w:hyperlink>
    </w:p>
    <w:bookmarkEnd w:id="58"/>
    <w:bookmarkStart w:id="59" w:name="feature-importance-1"/>
    <w:p>
      <w:pPr>
        <w:pStyle w:val="Heading3"/>
      </w:pPr>
      <w:r>
        <w:t xml:space="preserve">Feature Importance</w:t>
      </w:r>
    </w:p>
    <w:bookmarkEnd w:id="59"/>
    <w:bookmarkEnd w:id="60"/>
    <w:bookmarkStart w:id="61" w:name="discussion"/>
    <w:p>
      <w:pPr>
        <w:pStyle w:val="Heading2"/>
      </w:pPr>
      <w:r>
        <w:t xml:space="preserve">Discussion</w:t>
      </w:r>
    </w:p>
    <w:p>
      <w:pPr>
        <w:pStyle w:val="Compact"/>
        <w:numPr>
          <w:ilvl w:val="0"/>
          <w:numId w:val="1003"/>
        </w:numPr>
      </w:pPr>
      <w:r>
        <w:t xml:space="preserve">Improving model performance for unprivileged classes. Considering other important classes for SUD, such as geographic location, Improving diversity of training data</w:t>
      </w:r>
    </w:p>
    <w:bookmarkEnd w:id="61"/>
    <w:bookmarkStart w:id="101" w:name="references"/>
    <w:p>
      <w:pPr>
        <w:pStyle w:val="Heading2"/>
      </w:pPr>
      <w:r>
        <w:t xml:space="preserve">References</w:t>
      </w:r>
    </w:p>
    <w:bookmarkStart w:id="100" w:name="refs"/>
    <w:bookmarkStart w:id="6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2">
        <w:r>
          <w:rPr>
            <w:rStyle w:val="Hyperlink"/>
          </w:rPr>
          <w:t xml:space="preserve">https://doi.org/10.1016/j.addbeh.2017.11.039</w:t>
        </w:r>
      </w:hyperlink>
      <w:r>
        <w:t xml:space="preserve">.</w:t>
      </w:r>
    </w:p>
    <w:bookmarkEnd w:id="63"/>
    <w:bookmarkStart w:id="65" w:name="ref-bickmanAchievingPrecisionMental2016a"/>
    <w:p>
      <w:pPr>
        <w:pStyle w:val="Bibliography"/>
      </w:pPr>
      <w:r>
        <w:t xml:space="preserve">Bickman, Leonard, Aaron R. Lyon, and Miranda Wolpert. 2016.</w:t>
      </w:r>
      <w:r>
        <w:t xml:space="preserve"> </w:t>
      </w:r>
      <w:r>
        <w:t xml:space="preserve">“Achieving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 </w:t>
      </w:r>
      <w:r>
        <w:t xml:space="preserve">43 (3): 271–76.</w:t>
      </w:r>
      <w:r>
        <w:t xml:space="preserve"> </w:t>
      </w:r>
      <w:hyperlink r:id="rId64">
        <w:r>
          <w:rPr>
            <w:rStyle w:val="Hyperlink"/>
          </w:rPr>
          <w:t xml:space="preserve">https://doi.org/10.1007/s10488-016-0718-5</w:t>
        </w:r>
      </w:hyperlink>
      <w:r>
        <w:t xml:space="preserve">.</w:t>
      </w:r>
    </w:p>
    <w:bookmarkEnd w:id="65"/>
    <w:bookmarkStart w:id="67"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6">
        <w:r>
          <w:rPr>
            <w:rStyle w:val="Hyperlink"/>
          </w:rPr>
          <w:t xml:space="preserve">https://doi.org/10.21231/GNT1-HW21</w:t>
        </w:r>
      </w:hyperlink>
      <w:r>
        <w:t xml:space="preserve">.</w:t>
      </w:r>
    </w:p>
    <w:bookmarkEnd w:id="67"/>
    <w:bookmarkStart w:id="69"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8">
        <w:r>
          <w:rPr>
            <w:rStyle w:val="Hyperlink"/>
          </w:rPr>
          <w:t xml:space="preserve">https://doi.org/10.1016/j.jsat.2013.08.004</w:t>
        </w:r>
      </w:hyperlink>
      <w:r>
        <w:t xml:space="preserve">.</w:t>
      </w:r>
    </w:p>
    <w:bookmarkEnd w:id="69"/>
    <w:bookmarkStart w:id="71"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0">
        <w:r>
          <w:rPr>
            <w:rStyle w:val="Hyperlink"/>
          </w:rPr>
          <w:t xml:space="preserve">https://doi.org/10.1016/j.brat.2019.103506</w:t>
        </w:r>
      </w:hyperlink>
      <w:r>
        <w:t xml:space="preserve">.</w:t>
      </w:r>
    </w:p>
    <w:bookmarkEnd w:id="71"/>
    <w:bookmarkStart w:id="73"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2">
        <w:r>
          <w:rPr>
            <w:rStyle w:val="Hyperlink"/>
          </w:rPr>
          <w:t xml:space="preserve">https://doi.org/10.1016/j.drugalcdep.2006.05.012</w:t>
        </w:r>
      </w:hyperlink>
      <w:r>
        <w:t xml:space="preserve">.</w:t>
      </w:r>
    </w:p>
    <w:bookmarkEnd w:id="73"/>
    <w:bookmarkStart w:id="74"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4"/>
    <w:bookmarkStart w:id="76"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5">
        <w:r>
          <w:rPr>
            <w:rStyle w:val="Hyperlink"/>
          </w:rPr>
          <w:t xml:space="preserve">https://doi.org/10.1001/jamanetworkopen.2020.5852</w:t>
        </w:r>
      </w:hyperlink>
      <w:r>
        <w:t xml:space="preserve">.</w:t>
      </w:r>
    </w:p>
    <w:bookmarkEnd w:id="76"/>
    <w:bookmarkStart w:id="78"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7">
        <w:r>
          <w:rPr>
            <w:rStyle w:val="Hyperlink"/>
          </w:rPr>
          <w:t xml:space="preserve">https://doi.org/10.1007/978-1-4614-6849-3</w:t>
        </w:r>
      </w:hyperlink>
      <w:r>
        <w:t xml:space="preserve">.</w:t>
      </w:r>
    </w:p>
    <w:bookmarkEnd w:id="78"/>
    <w:bookmarkStart w:id="79"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9"/>
    <w:bookmarkStart w:id="81"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0">
        <w:r>
          <w:rPr>
            <w:rStyle w:val="Hyperlink"/>
          </w:rPr>
          <w:t xml:space="preserve">https://doi.org/10.1214/17-EJS1338SI</w:t>
        </w:r>
      </w:hyperlink>
      <w:r>
        <w:t xml:space="preserve">.</w:t>
      </w:r>
    </w:p>
    <w:bookmarkEnd w:id="81"/>
    <w:bookmarkStart w:id="8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2"/>
    <w:bookmarkStart w:id="83"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3"/>
    <w:bookmarkStart w:id="85" w:name="ref-mohrPersonalSensingUnderstanding2017"/>
    <w:p>
      <w:pPr>
        <w:pStyle w:val="Bibliography"/>
      </w:pPr>
      <w:r>
        <w:t xml:space="preserve">Mohr, David C., Mi Zhang, and Stephen M. Schueller. 2017.</w:t>
      </w:r>
      <w:r>
        <w:t xml:space="preserve"> </w:t>
      </w:r>
      <w:r>
        <w:t xml:space="preserve">“Personal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 </w:t>
      </w:r>
      <w:r>
        <w:t xml:space="preserve">13 (1): 23–47.</w:t>
      </w:r>
      <w:r>
        <w:t xml:space="preserve"> </w:t>
      </w:r>
      <w:hyperlink r:id="rId84">
        <w:r>
          <w:rPr>
            <w:rStyle w:val="Hyperlink"/>
          </w:rPr>
          <w:t xml:space="preserve">https://doi.org/10.1146/annurev-clinpsy-032816-044949</w:t>
        </w:r>
      </w:hyperlink>
      <w:r>
        <w:t xml:space="preserve">.</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1"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0">
        <w:r>
          <w:rPr>
            <w:rStyle w:val="Hyperlink"/>
          </w:rPr>
          <w:t xml:space="preserve">https://doi.org/10.1037/adb0000666</w:t>
        </w:r>
      </w:hyperlink>
      <w:r>
        <w:t xml:space="preserve">.</w:t>
      </w:r>
    </w:p>
    <w:bookmarkEnd w:id="91"/>
    <w:bookmarkStart w:id="93"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2">
        <w:r>
          <w:rPr>
            <w:rStyle w:val="Hyperlink"/>
          </w:rPr>
          <w:t xml:space="preserve">https://doi.org/10.1016/j.jsat.2021.108417</w:t>
        </w:r>
      </w:hyperlink>
      <w:r>
        <w:t xml:space="preserve">.</w:t>
      </w:r>
    </w:p>
    <w:bookmarkEnd w:id="93"/>
    <w:bookmarkStart w:id="95"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4">
        <w:r>
          <w:rPr>
            <w:rStyle w:val="Hyperlink"/>
          </w:rPr>
          <w:t xml:space="preserve">https://doi.org/10.1037/0003-066X.59.4.224</w:t>
        </w:r>
      </w:hyperlink>
      <w:r>
        <w:t xml:space="preserve">.</w:t>
      </w:r>
    </w:p>
    <w:bookmarkEnd w:id="95"/>
    <w:bookmarkStart w:id="97"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6">
        <w:r>
          <w:rPr>
            <w:rStyle w:val="Hyperlink"/>
          </w:rPr>
          <w:t xml:space="preserve">https://doi.org/10.2196/41833</w:t>
        </w:r>
      </w:hyperlink>
      <w:r>
        <w:t xml:space="preserve">.</w:t>
      </w:r>
    </w:p>
    <w:bookmarkEnd w:id="97"/>
    <w:bookmarkStart w:id="99"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8">
        <w:r>
          <w:rPr>
            <w:rStyle w:val="Hyperlink"/>
          </w:rPr>
          <w:t xml:space="preserve">https://doi.org/10.31234/osf.io/cgsf7</w:t>
        </w:r>
      </w:hyperlink>
      <w:r>
        <w:t xml:space="preserve">.</w:t>
      </w:r>
    </w:p>
    <w:bookmarkEnd w:id="99"/>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hyperlink" Id="rId75" Target="https://doi.org/10.1001/jamanetworkopen.2020.5852" TargetMode="External" /><Relationship Type="http://schemas.openxmlformats.org/officeDocument/2006/relationships/hyperlink" Id="rId77" Target="https://doi.org/10.1007/978-1-4614-6849-3" TargetMode="External" /><Relationship Type="http://schemas.openxmlformats.org/officeDocument/2006/relationships/hyperlink" Id="rId64" Target="https://doi.org/10.1007/s10488-016-0718-5" TargetMode="External" /><Relationship Type="http://schemas.openxmlformats.org/officeDocument/2006/relationships/hyperlink" Id="rId62" Target="https://doi.org/10.1016/j.addbeh.2017.11.039" TargetMode="External" /><Relationship Type="http://schemas.openxmlformats.org/officeDocument/2006/relationships/hyperlink" Id="rId70" Target="https://doi.org/10.1016/j.brat.2019.103506" TargetMode="External" /><Relationship Type="http://schemas.openxmlformats.org/officeDocument/2006/relationships/hyperlink" Id="rId72"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68" Target="https://doi.org/10.1016/j.jsat.2013.08.004" TargetMode="External" /><Relationship Type="http://schemas.openxmlformats.org/officeDocument/2006/relationships/hyperlink" Id="rId92"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4" Target="https://doi.org/10.1037/0003-066X.59.4.224" TargetMode="External" /><Relationship Type="http://schemas.openxmlformats.org/officeDocument/2006/relationships/hyperlink" Id="rId90" Target="https://doi.org/10.1037/adb0000666" TargetMode="External" /><Relationship Type="http://schemas.openxmlformats.org/officeDocument/2006/relationships/hyperlink" Id="rId84" Target="https://doi.org/10.1146/annurev-clinpsy-032816-044949" TargetMode="External" /><Relationship Type="http://schemas.openxmlformats.org/officeDocument/2006/relationships/hyperlink" Id="rId80" Target="https://doi.org/10.1214/17-EJS1338SI" TargetMode="External" /><Relationship Type="http://schemas.openxmlformats.org/officeDocument/2006/relationships/hyperlink" Id="rId66" Target="https://doi.org/10.21231/GNT1-HW21" TargetMode="External" /><Relationship Type="http://schemas.openxmlformats.org/officeDocument/2006/relationships/hyperlink" Id="rId96" Target="https://doi.org/10.2196/41833" TargetMode="External" /><Relationship Type="http://schemas.openxmlformats.org/officeDocument/2006/relationships/hyperlink" Id="rId98"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s-preview.html#cell-fig-auroc" TargetMode="External" /><Relationship Type="http://schemas.openxmlformats.org/officeDocument/2006/relationships/hyperlink" Id="rId57" Target="https://jjcurtin.github.io/study_lag/notebooks\mak_fig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1/jamanetworkopen.2020.5852" TargetMode="External" /><Relationship Type="http://schemas.openxmlformats.org/officeDocument/2006/relationships/hyperlink" Id="rId77" Target="https://doi.org/10.1007/978-1-4614-6849-3" TargetMode="External" /><Relationship Type="http://schemas.openxmlformats.org/officeDocument/2006/relationships/hyperlink" Id="rId64" Target="https://doi.org/10.1007/s10488-016-0718-5" TargetMode="External" /><Relationship Type="http://schemas.openxmlformats.org/officeDocument/2006/relationships/hyperlink" Id="rId62" Target="https://doi.org/10.1016/j.addbeh.2017.11.039" TargetMode="External" /><Relationship Type="http://schemas.openxmlformats.org/officeDocument/2006/relationships/hyperlink" Id="rId70" Target="https://doi.org/10.1016/j.brat.2019.103506" TargetMode="External" /><Relationship Type="http://schemas.openxmlformats.org/officeDocument/2006/relationships/hyperlink" Id="rId72"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68" Target="https://doi.org/10.1016/j.jsat.2013.08.004" TargetMode="External" /><Relationship Type="http://schemas.openxmlformats.org/officeDocument/2006/relationships/hyperlink" Id="rId92"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4" Target="https://doi.org/10.1037/0003-066X.59.4.224" TargetMode="External" /><Relationship Type="http://schemas.openxmlformats.org/officeDocument/2006/relationships/hyperlink" Id="rId90" Target="https://doi.org/10.1037/adb0000666" TargetMode="External" /><Relationship Type="http://schemas.openxmlformats.org/officeDocument/2006/relationships/hyperlink" Id="rId84" Target="https://doi.org/10.1146/annurev-clinpsy-032816-044949" TargetMode="External" /><Relationship Type="http://schemas.openxmlformats.org/officeDocument/2006/relationships/hyperlink" Id="rId80" Target="https://doi.org/10.1214/17-EJS1338SI" TargetMode="External" /><Relationship Type="http://schemas.openxmlformats.org/officeDocument/2006/relationships/hyperlink" Id="rId66" Target="https://doi.org/10.21231/GNT1-HW21" TargetMode="External" /><Relationship Type="http://schemas.openxmlformats.org/officeDocument/2006/relationships/hyperlink" Id="rId96" Target="https://doi.org/10.2196/41833" TargetMode="External" /><Relationship Type="http://schemas.openxmlformats.org/officeDocument/2006/relationships/hyperlink" Id="rId98"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s-preview.html#cell-fig-auroc" TargetMode="External" /><Relationship Type="http://schemas.openxmlformats.org/officeDocument/2006/relationships/hyperlink" Id="rId57" Target="https://jjcurtin.github.io/study_lag/notebooks\mak_fig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2024-06-18T14:11:51Z</dcterms:created>
  <dcterms:modified xsi:type="dcterms:W3CDTF">2024-06-18T14:11:51Z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