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Jiachen</w:t>
      </w:r>
      <w:r>
        <w:t xml:space="preserve"> </w:t>
      </w:r>
      <w:r>
        <w:t xml:space="preserve">(Coco)</w:t>
      </w:r>
      <w:r>
        <w:t xml:space="preserve"> </w:t>
      </w:r>
      <w:r>
        <w:t xml:space="preserve">Yu</w:t>
      </w:r>
    </w:p>
    <w:p>
      <w:pPr>
        <w:pStyle w:val="Author"/>
      </w:pPr>
      <w:r>
        <w:t xml:space="preserve">Gaylen</w:t>
      </w:r>
      <w:r>
        <w:t xml:space="preserve"> </w:t>
      </w:r>
      <w:r>
        <w:t xml:space="preserve">E.</w:t>
      </w:r>
      <w:r>
        <w:t xml:space="preserve"> </w:t>
      </w:r>
      <w:r>
        <w:t xml:space="preserve">Fronk</w:t>
      </w:r>
    </w:p>
    <w:p>
      <w:pPr>
        <w:pStyle w:val="Author"/>
      </w:pPr>
      <w:r>
        <w:t xml:space="preserve">John</w:t>
      </w:r>
      <w:r>
        <w:t xml:space="preserve"> </w:t>
      </w:r>
      <w:r>
        <w:t xml:space="preserve">J.</w:t>
      </w:r>
      <w:r>
        <w:t xml:space="preserve"> </w:t>
      </w:r>
      <w:r>
        <w:t xml:space="preserve">Curtin</w:t>
      </w:r>
    </w:p>
    <w:p>
      <w:pPr>
        <w:pStyle w:val="Date"/>
      </w:pPr>
      <w:r>
        <w:t xml:space="preserve">2024-06-07</w:t>
      </w:r>
    </w:p>
    <w:p>
      <w:pPr>
        <w:pStyle w:val="AbstractTitle"/>
      </w:pPr>
      <w:r>
        <w:t xml:space="preserve">Abstract</w:t>
      </w:r>
    </w:p>
    <w:p>
      <w:pPr>
        <w:pStyle w:val="Abstract"/>
      </w:pPr>
      <w:r>
        <w:t xml:space="preserve">This</w:t>
      </w:r>
      <w:r>
        <w:t xml:space="preserve"> </w:t>
      </w:r>
      <w:r>
        <w:t xml:space="preserve">study</w:t>
      </w:r>
      <w:r>
        <w:t xml:space="preserve"> </w:t>
      </w:r>
      <w:r>
        <w:t xml:space="preserve">found</w:t>
      </w:r>
      <w:r>
        <w:t xml:space="preserve"> </w:t>
      </w:r>
      <w:r>
        <w:t xml:space="preserve">some</w:t>
      </w:r>
      <w:r>
        <w:t xml:space="preserve"> </w:t>
      </w:r>
      <w:r>
        <w:t xml:space="preserve">pretty</w:t>
      </w:r>
      <w:r>
        <w:t xml:space="preserve"> </w:t>
      </w:r>
      <w:r>
        <w:t xml:space="preserve">cool</w:t>
      </w:r>
      <w:r>
        <w:t xml:space="preserve"> </w:t>
      </w:r>
      <w:r>
        <w:t xml:space="preserve">results</w:t>
      </w:r>
      <w:r>
        <w:t xml:space="preserve"> </w:t>
      </w:r>
      <w:r>
        <w:t xml:space="preserve">that</w:t>
      </w:r>
      <w:r>
        <w:t xml:space="preserve"> </w:t>
      </w:r>
      <w:r>
        <w:t xml:space="preserve">have</w:t>
      </w:r>
      <w:r>
        <w:t xml:space="preserve"> </w:t>
      </w:r>
      <w:r>
        <w:t xml:space="preserve">both</w:t>
      </w:r>
      <w:r>
        <w:t xml:space="preserve"> </w:t>
      </w:r>
      <w:r>
        <w:t xml:space="preserve">high</w:t>
      </w:r>
      <w:r>
        <w:t xml:space="preserve"> </w:t>
      </w:r>
      <w:r>
        <w:t xml:space="preserve">impact</w:t>
      </w:r>
      <w:r>
        <w:t xml:space="preserve"> </w:t>
      </w:r>
      <w:r>
        <w:t xml:space="preserve">and</w:t>
      </w:r>
      <w:r>
        <w:t xml:space="preserve"> </w:t>
      </w:r>
      <w:r>
        <w:t xml:space="preserve">important</w:t>
      </w:r>
      <w:r>
        <w:t xml:space="preserve"> </w:t>
      </w:r>
      <w:r>
        <w:t xml:space="preserve">clinical</w:t>
      </w:r>
      <w:r>
        <w:t xml:space="preserve"> </w:t>
      </w:r>
      <w:r>
        <w:t xml:space="preserve">implications.</w:t>
      </w:r>
      <w:r>
        <w:t xml:space="preserve"> </w:t>
      </w:r>
      <w:r>
        <w:t xml:space="preserve">For</w:t>
      </w:r>
      <w:r>
        <w:t xml:space="preserve"> </w:t>
      </w:r>
      <w:r>
        <w:t xml:space="preserve">example</w:t>
      </w:r>
      <w:r>
        <w:t xml:space="preserve"> </w:t>
      </w:r>
      <w:r>
        <w:t xml:space="preserv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Today, this approach is also applied to chronic mental health conditions, like substance use disorders (i.e., precision mental health). Precision mental health uses individual characteristics to guide initial treatment matching and adaptive continuing care over time. It requires dense, long-term monitoring of symptoms and related states, for interventions to be tailored to an individual’s needs and preferences at any given moment</w:t>
      </w:r>
      <w:r>
        <w:t xml:space="preserve"> </w:t>
      </w:r>
      <w:r>
        <w:t xml:space="preserve">(Bickman, Lyon, and Wolpert 2016)</w:t>
      </w:r>
      <w:r>
        <w:t xml:space="preserve">. Essentially, it aims to identify both</w:t>
      </w:r>
      <w:r>
        <w:t xml:space="preserve"> </w:t>
      </w:r>
      <w:r>
        <w:rPr>
          <w:iCs/>
          <w:i/>
        </w:rPr>
        <w:t xml:space="preserve">when</w:t>
      </w:r>
      <w:r>
        <w:t xml:space="preserve"> </w:t>
      </w:r>
      <w:r>
        <w:t xml:space="preserve">and</w:t>
      </w:r>
      <w:r>
        <w:t xml:space="preserve"> </w:t>
      </w:r>
      <w:r>
        <w:rPr>
          <w:iCs/>
          <w:i/>
        </w:rPr>
        <w:t xml:space="preserve">how</w:t>
      </w:r>
      <w:r>
        <w:t xml:space="preserve"> </w:t>
      </w:r>
      <w:r>
        <w:t xml:space="preserve">to intervene.</w:t>
      </w:r>
    </w:p>
    <w:p>
      <w:pPr>
        <w:pStyle w:val="BodyText"/>
      </w:pPr>
      <w:r>
        <w:t xml:space="preserve">Using algorithms to time (</w:t>
      </w:r>
      <w:r>
        <w:rPr>
          <w:iCs/>
          <w:i/>
        </w:rPr>
        <w:t xml:space="preserve">when</w:t>
      </w:r>
      <w:r>
        <w:t xml:space="preserve">) and select personalized interventions (</w:t>
      </w:r>
      <w:r>
        <w:rPr>
          <w:iCs/>
          <w:i/>
        </w:rPr>
        <w:t xml:space="preserve">how</w:t>
      </w:r>
      <w:r>
        <w:t xml:space="preserve">) for substance use may now be possible, thanks to personal sensing and high-dimensional machine learning algorithms. Personal sensing allows for frequent, longitudinal monitoring of individuals’ affect, behavior, and cognitions in their day-to-day lives</w:t>
      </w:r>
      <w:r>
        <w:t xml:space="preserve"> </w:t>
      </w:r>
      <w:r>
        <w:t xml:space="preserve">(Mohr, Zhang, and Schueller 2017)</w:t>
      </w:r>
      <w:r>
        <w:t xml:space="preserve">. These data can then be used as inputs for machine learning algorithms to predict the probability of specific outcomes (e.g., lapse risk) and identify the top features contributing to those predictions.</w:t>
      </w:r>
    </w:p>
    <w:p>
      <w:pPr>
        <w:pStyle w:val="BodyText"/>
      </w:pPr>
      <w:r>
        <w:t xml:space="preserve">Ecological momentary assessment (EMA) may be particularly well-suited for these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p>
    <w:p>
      <w:pPr>
        <w:pStyle w:val="BodyText"/>
      </w:pP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 Model features were engineered from raw scores and longitudinal change in responses to 4X daily EMAs. EMA questions were designed to measure theoretically-implicated risk factors including past use, craving, past pleasant events, past and future risky situations, past and future stressful events, emotional valence and arousal, and self-efficacy</w:t>
      </w:r>
      <w:r>
        <w:t xml:space="preserve"> </w:t>
      </w:r>
      <w:r>
        <w:t xml:space="preserve">(for reviews, see Marlatt and Gordon 1985; Fronk et al. 2020; Witkiewitz and Marlatt 2007)</w:t>
      </w:r>
      <w:r>
        <w:t xml:space="preserve">. We showed that it was possible to predict immediate alcohol lapses within the next week, day, and hour with clinically meaningful accuracy - area under the receiver operating curves (auROCs) of 0.89, 0.90, and 0.93, respectively</w:t>
      </w:r>
      <w:r>
        <w:t xml:space="preserve"> </w:t>
      </w:r>
      <w:r>
        <w:t xml:space="preserve">(Wyant et al. n.d.)</w:t>
      </w:r>
      <w:r>
        <w:t xml:space="preserve">. We also characterized the relative importance of features contributing to these risk probabilities for specific individuals at specific moments in time. These models are well-suited for just-in-time adaptive interventions (JITAIs) integrated within an app to address these immediate risks.</w:t>
      </w:r>
    </w:p>
    <w:p>
      <w:pPr>
        <w:pStyle w:val="BodyText"/>
      </w:pPr>
      <w:r>
        <w:t xml:space="preserve">However, some interventions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Cs/>
          <w:i/>
        </w:rPr>
        <w:t xml:space="preserve">time-lagged</w:t>
      </w:r>
      <w:r>
        <w:t xml:space="preserve"> </w:t>
      </w:r>
      <w:r>
        <w:t xml:space="preserve">model with predictions shifted further into the future could provide patients with increased lead time to implement supports that might not be immediately available to them.</w:t>
      </w:r>
    </w:p>
    <w:p>
      <w:pPr>
        <w:pStyle w:val="BodyText"/>
      </w:pPr>
      <w:r>
        <w:t xml:space="preserve">In this study, we compare the performance of one of our models from a previous study with models using increased lag time between predictions and outcomes. Specifically, we use the same EMA features as our immediate model and train new models to predict the probability of a lapse beginning one day (24 hours), three days (72 hours), one week (168 hours), or two weeks (336 hours) into the future. Our primary objective is to assess how model performance degrades with increasing lag time.</w:t>
      </w:r>
    </w:p>
    <w:bookmarkEnd w:id="21"/>
    <w:bookmarkStart w:id="103"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151 participants in early recovery (1-8 weeks of abstinence) from moderate to severe alcohol use disorder in Madison, Wisconsin, US for a three month longitudinal study.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participants:</w:t>
      </w:r>
    </w:p>
    <w:p>
      <w:pPr>
        <w:numPr>
          <w:ilvl w:val="0"/>
          <w:numId w:val="1001"/>
        </w:numPr>
        <w:pStyle w:val="Compact"/>
      </w:pPr>
      <w:r>
        <w:t xml:space="preserve">were age 18 or older,</w:t>
      </w:r>
    </w:p>
    <w:p>
      <w:pPr>
        <w:numPr>
          <w:ilvl w:val="0"/>
          <w:numId w:val="1001"/>
        </w:numPr>
        <w:pStyle w:val="Compact"/>
      </w:pPr>
      <w:r>
        <w:t xml:space="preserve">could write and read in English,</w:t>
      </w:r>
    </w:p>
    <w:p>
      <w:pPr>
        <w:numPr>
          <w:ilvl w:val="0"/>
          <w:numId w:val="1001"/>
        </w:numPr>
        <w:pStyle w:val="Compact"/>
      </w:pPr>
      <w:r>
        <w:t xml:space="preserve">had at least moderate AUD (&gt;= 4 self-reported DSM-5 symptoms),</w:t>
      </w:r>
    </w:p>
    <w:p>
      <w:pPr>
        <w:numPr>
          <w:ilvl w:val="0"/>
          <w:numId w:val="1001"/>
        </w:numPr>
        <w:pStyle w:val="Compact"/>
      </w:pPr>
      <w:r>
        <w:t xml:space="preserve">were abstinent from alcohol for 1-8 weeks, and</w:t>
      </w:r>
    </w:p>
    <w:p>
      <w:pPr>
        <w:numPr>
          <w:ilvl w:val="0"/>
          <w:numId w:val="1001"/>
        </w:numPr>
        <w:pStyle w:val="Compact"/>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differences"/>
    <w:p>
      <w:pPr>
        <w:pStyle w:val="Heading3"/>
      </w:pPr>
      <w:r>
        <w:t xml:space="preserve">Individual Differences</w:t>
      </w:r>
    </w:p>
    <w:p>
      <w:pPr>
        <w:pStyle w:val="FirstParagraph"/>
      </w:pPr>
      <w:r>
        <w:t xml:space="preserve">We collected self-report information about demographics (age, sex, race, ethnicity, education, marital status, employment, and income) and AUD symptom count. This information was collected primarily to characterize the sample and to evaluate the diversity of the training data. We also used the demographic information in our models.</w:t>
      </w:r>
    </w:p>
    <w:bookmarkEnd w:id="27"/>
    <w:bookmarkEnd w:id="28"/>
    <w:bookmarkStart w:id="38"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9" w:name="lapse-labels"/>
    <w:p>
      <w:pPr>
        <w:pStyle w:val="Heading3"/>
      </w:pPr>
      <w:r>
        <w:t xml:space="preserve">Lapse Labels</w:t>
      </w:r>
    </w:p>
    <w:p>
      <w:pPr>
        <w:pStyle w:val="FirstParagraph"/>
      </w:pPr>
      <w:r>
        <w:t xml:space="preserve">We predicted lapses occurring in one week windows. Predictions were updated hourly. Therefore our models provided hour-by-hour predictions of future probability of an alcohol lapse within a one week window shifted at various time points (i.e., lags) into the future (no lag and 24 hour, 72 hour, 168 hour, or 336 hour lagged predictions).</w:t>
      </w:r>
    </w:p>
    <w:p>
      <w:pPr>
        <w:pStyle w:val="BodyText"/>
      </w:pPr>
      <w:r>
        <w:t xml:space="preserve">The first prediction window for each participant began 24 hours from midnight on their study start date + lag time. For example, the first prediction for the 24 hour lagged prediction model would be 48 hours after participants’ start date. This ensured at least 24 hours of past EMAs for future lapse prediction in these first windows. Subsequent windows for each participant were created by repeatedly rolling the window start time forward one hour until the end of their study participation (i.e., each participant’s last prediction window started one week before their last recorded EMA).</w:t>
      </w:r>
    </w:p>
    <w:p>
      <w:pPr>
        <w:pStyle w:val="BodyText"/>
      </w:pPr>
      <w:r>
        <w:t xml:space="preserve">The start and end date/time of past drinking episodes were reported on the first EMA item. A prediction window was labeled</w:t>
      </w:r>
      <w:r>
        <w:t xml:space="preserve"> </w:t>
      </w:r>
      <w:r>
        <w:rPr>
          <w:iCs/>
          <w:i/>
        </w:rPr>
        <w:t xml:space="preserve">lapse</w:t>
      </w:r>
      <w:r>
        <w:t xml:space="preserve"> </w:t>
      </w:r>
      <w:r>
        <w:t xml:space="preserve">if the start date/hour of any drinking episode fell within that window. A window was labeled</w:t>
      </w:r>
      <w:r>
        <w:t xml:space="preserve"> </w:t>
      </w:r>
      <w:r>
        <w:rPr>
          <w:iCs/>
          <w:i/>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29"/>
    <w:bookmarkStart w:id="30"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one day, three days, one week, or two weeks prior to the start of the prediction window.</w:t>
      </w:r>
    </w:p>
    <w:p>
      <w:pPr>
        <w:pStyle w:val="BodyText"/>
      </w:pPr>
      <w:r>
        <w:t xml:space="preserve">A total of 286 features were derived from three data sources:</w:t>
      </w:r>
    </w:p>
    <w:p>
      <w:pPr>
        <w:numPr>
          <w:ilvl w:val="0"/>
          <w:numId w:val="1002"/>
        </w:numPr>
      </w:pPr>
      <w:r>
        <w:rPr>
          <w:iCs/>
          <w:i/>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Cs/>
          <w:i/>
        </w:rPr>
        <w:t xml:space="preserve">Day and time of prediction window onset</w:t>
      </w:r>
      <w:r>
        <w:t xml:space="preserve">: We created dummy-coded features to indicate time of day and day of week that the prediction window began.</w:t>
      </w:r>
    </w:p>
    <w:p>
      <w:pPr>
        <w:numPr>
          <w:ilvl w:val="0"/>
          <w:numId w:val="1002"/>
        </w:numPr>
      </w:pPr>
      <w:r>
        <w:rPr>
          <w:iCs/>
          <w:i/>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r>
        <w:t xml:space="preserve"> </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0"/>
    <w:bookmarkStart w:id="37" w:name="model-training-and-evaluation"/>
    <w:p>
      <w:pPr>
        <w:pStyle w:val="Heading3"/>
      </w:pPr>
      <w:r>
        <w:t xml:space="preserve">Model Training and Evaluation</w:t>
      </w:r>
    </w:p>
    <w:bookmarkStart w:id="31"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1"/>
    <w:bookmarkStart w:id="32"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Cs/>
          <w:i/>
        </w:rPr>
        <w:t xml:space="preserve">validation</w:t>
      </w:r>
      <w:r>
        <w:t xml:space="preserve"> </w:t>
      </w:r>
      <w:r>
        <w:t xml:space="preserve">sets) and 3 repeats of 10-fold cross-validation for the outer loop (i.e.,</w:t>
      </w:r>
      <w:r>
        <w:t xml:space="preserve"> </w:t>
      </w:r>
      <w:r>
        <w:rPr>
          <w:iCs/>
          <w:i/>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2"/>
    <w:bookmarkStart w:id="33" w:name="model-evaluation"/>
    <w:p>
      <w:pPr>
        <w:pStyle w:val="Heading4"/>
      </w:pPr>
      <w:r>
        <w:t xml:space="preserve">Model Evaluation</w:t>
      </w:r>
    </w:p>
    <w:p>
      <w:pPr>
        <w:pStyle w:val="FirstParagraph"/>
      </w:pPr>
      <w:r>
        <w:t xml:space="preserve">We used a Bayesian hierarchical generalized linear model to estimate the posterior probability distributions and 95% Bayesian credible intervals (CIs) for auROC for the five best models (no lag and 24 hour, 72 hour, 168 hour, and 336 hour lagged predictions) on the 30 held-out test sets. The median posterior probability for auROC represents our best estimate for the magnitude of the auROC parameter for each model. If the confidence intervals do not contain .5 (chance performance), this suggests our model is capturing signal in the data.</w:t>
      </w:r>
    </w:p>
    <w:bookmarkEnd w:id="33"/>
    <w:bookmarkStart w:id="34" w:name="model-comparisons"/>
    <w:p>
      <w:pPr>
        <w:pStyle w:val="Heading4"/>
      </w:pPr>
      <w:r>
        <w:t xml:space="preserve">Model Comparisons</w:t>
      </w:r>
    </w:p>
    <w:p>
      <w:pPr>
        <w:pStyle w:val="FirstParagraph"/>
      </w:pPr>
      <w:r>
        <w:t xml:space="preserve">We performed two sets of Bayesian model comparisons. First, we compared each lagged model to our baseline model (no lag). We have demonstrated previously that our baseline model performs well. These comparisons show whether we can predict lapses with similar performance with varying lags (i.e., no lag vs. 24 hours, no lag vs. 72 hours, no lag vs. 168 hours, no lag vs. 336 hours).</w:t>
      </w:r>
    </w:p>
    <w:p>
      <w:pPr>
        <w:pStyle w:val="BodyText"/>
      </w:pPr>
      <w:r>
        <w:t xml:space="preserve">Second, we compared each adjacent lagged model (i.e., 24 hours vs 72 hours, 72 hours vs. 168 hours, and 168 hours vs. 336 hours). These comparisons allow us to determine the probability that the lagged models systematically degrade as predictions are made further into the future.</w:t>
      </w:r>
    </w:p>
    <w:p>
      <w:pPr>
        <w:pStyle w:val="BodyText"/>
      </w:pPr>
      <w:r>
        <w:t xml:space="preserve">For both sets of model comparisons determined the probability that the models’ performances differed systematically from each other by regressing the auROCs (logit transformed) from the 30 test sets as a function of the contrast. We set two random intercepts: one for the repeat, and another for the fold within repeat. We also report the precise posterior probability for the difference in auROCs and the 95% Bayesian CIs. If there was a probability &gt; 0.95 that the more lagged model’s performance was worse, we labeled the model contrast as significant.</w:t>
      </w:r>
    </w:p>
    <w:bookmarkEnd w:id="34"/>
    <w:bookmarkStart w:id="35" w:name="fairness-benchmarks"/>
    <w:p>
      <w:pPr>
        <w:pStyle w:val="Heading4"/>
      </w:pPr>
      <w:r>
        <w:t xml:space="preserve">Fairness Benchmarks</w:t>
      </w:r>
    </w:p>
    <w:p>
      <w:pPr>
        <w:pStyle w:val="FirstParagraph"/>
      </w:pPr>
      <w:r>
        <w:t xml:space="preserve">We aim for the responsible and transparent reporting of model performance and clinical utility. In these efforts, we report the median posterior probability and 95% Bayesian CI for auROC for each model separately for four demographic groups with potential disparities in access to substance use treatment. Specifically, we report model performance for dichotomized groups of race and ethnicity (non-Hispanic white vs. non-white)</w:t>
      </w:r>
      <w:r>
        <w:t xml:space="preserve"> </w:t>
      </w:r>
      <w:r>
        <w:t xml:space="preserve">(Pinedo 2019; Kilaru et al. 2020)</w:t>
      </w:r>
      <w:r>
        <w:t xml:space="preserve">, income (above poverty vs. at or below poverty)</w:t>
      </w:r>
      <w:r>
        <w:t xml:space="preserve"> </w:t>
      </w:r>
      <w:r>
        <w:t xml:space="preserve">(Olfson et al. 2022)</w:t>
      </w:r>
      <w:r>
        <w:t xml:space="preserve">, sex (male vs. female)</w:t>
      </w:r>
      <w:r>
        <w:t xml:space="preserve"> </w:t>
      </w:r>
      <w:r>
        <w:t xml:space="preserve">(Greenfield et al. 2007; Kilaru et al. 2020)</w:t>
      </w:r>
      <w:r>
        <w:t xml:space="preserve">, and age (younger vs. older)</w:t>
      </w:r>
      <w:r>
        <w:t xml:space="preserve"> </w:t>
      </w:r>
      <w:r>
        <w:t xml:space="preserve">(Kilaru et al. 2020)</w:t>
      </w:r>
      <w:r>
        <w:t xml:space="preserve">.</w:t>
      </w:r>
    </w:p>
    <w:p>
      <w:pPr>
        <w:pStyle w:val="BodyText"/>
      </w:pPr>
      <w:r>
        <w:t xml:space="preserve">We also acknowledge that models that work for only a subset of people, if implemented, could widen existing treatment disparities. We conducted Bayesian group comparisons to assess the likelihood that the model performs differently by group. We report median differences in posterior probabilities and the 95% Bayesian CIs.</w:t>
      </w:r>
    </w:p>
    <w:bookmarkEnd w:id="35"/>
    <w:bookmarkStart w:id="36" w:name="feature-importance"/>
    <w:p>
      <w:pPr>
        <w:pStyle w:val="Heading4"/>
      </w:pPr>
      <w:r>
        <w:t xml:space="preserve">Feature Importance</w:t>
      </w:r>
    </w:p>
    <w:p>
      <w:pPr>
        <w:pStyle w:val="FirstParagraph"/>
      </w:pPr>
      <w:r>
        <w:t xml:space="preserve">We calculated Shapley values</w:t>
      </w:r>
      <w:r>
        <w:t xml:space="preserve"> </w:t>
      </w:r>
      <w:r>
        <w:t xml:space="preserve">(Lundberg and Lee 2017)</w:t>
      </w:r>
      <w:r>
        <w:t xml:space="preserve"> </w:t>
      </w:r>
      <w:r>
        <w:t xml:space="preserve">from the 30 test sets to provide a description of the importance of categories of features across our five models. We used the SHAPforxgboost package that provides Shapley values in log-odds units for binary classification models.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w:t>
      </w:r>
    </w:p>
    <w:bookmarkEnd w:id="36"/>
    <w:bookmarkEnd w:id="37"/>
    <w:bookmarkEnd w:id="38"/>
    <w:bookmarkStart w:id="57" w:name="results"/>
    <w:p>
      <w:pPr>
        <w:pStyle w:val="Heading2"/>
      </w:pPr>
      <w:r>
        <w:t xml:space="preserve">Results</w:t>
      </w:r>
    </w:p>
    <w:bookmarkStart w:id="43" w:name="demographic-and-lapse-characteristics"/>
    <w:p>
      <w:pPr>
        <w:pStyle w:val="Heading3"/>
      </w:pPr>
      <w:r>
        <w:t xml:space="preserve">Demographic and Lapse Characteristics</w:t>
      </w:r>
    </w:p>
    <w:p>
      <w:pPr>
        <w:pStyle w:val="FirstParagraph"/>
      </w:pPr>
      <w:r>
        <w:t xml:space="preserve">One hundred fifty one participants were included in our analyses. We used data from all participants included in our previous study (see</w:t>
      </w:r>
      <w:r>
        <w:t xml:space="preserve"> </w:t>
      </w:r>
      <w:r>
        <w:t xml:space="preserve">(Wyant et al. n.d.)</w:t>
      </w:r>
      <w:r>
        <w:t xml:space="preserve"> </w:t>
      </w:r>
      <w:r>
        <w:t xml:space="preserve">for enrollment and disposition information).</w:t>
      </w:r>
    </w:p>
    <w:p>
      <w:pPr>
        <w:pStyle w:val="BodyText"/>
      </w:pPr>
      <w:r>
        <w:t xml:space="preserve">There were approximately equal numbers of men (N=77; 51.0%) and women (N=74; 49.0%) who ranged in age from 21 - 72 years old. The sample was majority White (N=131; 86.8%) and non-Hispanic (N=147; 97.4%). Participants self-reported a median of 9.0 DSM-5 symptoms of AUD (mean=8.9; SD=1.9; range=4.0-11.0) and a median of 4.0 previous quit attempts (mean=5.5; SD=5.8; range=0.0-30.0). Most participants (N=84; 55.6%) reported one or more lapses during participation. The median number of lapses per participant while on-study was 1.0 (mean=6.8; SD = 12.0; range=0.0-75.0).</w:t>
      </w:r>
      <w:r>
        <w:t xml:space="preserve"> </w:t>
      </w:r>
      <w:hyperlink w:anchor="tbl-demopdf">
        <w:r>
          <w:rPr>
            <w:rStyle w:val="Hyperlink"/>
          </w:rPr>
          <w:t xml:space="preserve">Table 1</w:t>
        </w:r>
      </w:hyperlink>
      <w:r>
        <w:t xml:space="preserve"> </w:t>
      </w:r>
      <w:r>
        <w:t xml:space="preserve">provides more detail on demographic and lapse characteristics of the sample.</w:t>
      </w:r>
    </w:p>
    <w:tbl>
      <w:tblPr>
        <w:tblStyle w:val="Table"/>
        <w:tblW w:type="pct" w:w="5000"/>
        <w:tblLook w:firstRow="0" w:lastRow="0" w:firstColumn="0" w:lastColumn="0" w:noHBand="0" w:noVBand="0" w:val="0000"/>
        <w:jc w:val="start"/>
        <w:tblLayout w:type="fixed"/>
      </w:tblPr>
      <w:tblGrid>
        <w:gridCol w:w="7920"/>
      </w:tblGrid>
      <w:tr>
        <w:tc>
          <w:tcPr/>
          <w:bookmarkStart w:id="39" w:name="tbl-demopdf"/>
          <w:p>
            <w:pPr>
              <w:jc w:val="center"/>
            </w:pPr>
            <w:pPr>
              <w:jc w:val="start"/>
              <w:spacing w:before="200"/>
              <w:pStyle w:val="ImageCaption"/>
            </w:pPr>
            <w:r>
              <w:t xml:space="preserve">Table 1: Demographic and Lapse Characteristics</w:t>
            </w:r>
          </w:p>
          <w:tbl>
            <w:tblPr>
              <w:tblStyle w:val="Table"/>
              <w:tblW w:type="pct" w:w="4894"/>
              <w:tblLook w:firstRow="1" w:lastRow="0" w:firstColumn="0" w:lastColumn="0" w:noHBand="0" w:noVBand="0" w:val="0020"/>
              <w:jc w:val="start"/>
              <w:tblLayout w:type="fixed"/>
            </w:tblPr>
            <w:tblGrid>
              <w:gridCol w:w="3622"/>
              <w:gridCol w:w="505"/>
              <w:gridCol w:w="589"/>
              <w:gridCol w:w="926"/>
              <w:gridCol w:w="926"/>
              <w:gridCol w:w="1179"/>
            </w:tblGrid>
            <w:tr>
              <w:trPr>
                <w:tblHeader w:val="true"/>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bl>
          <w:bookmarkEnd w:id="39"/>
          <w:p/>
        </w:tc>
      </w:tr>
    </w:tbl>
    <w:p>
      <w:pPr>
        <w:pStyle w:val="BodyText"/>
      </w:pPr>
      <w:r>
        <w:rPr>
          <w:vertAlign w:val="subscript"/>
        </w:rPr>
        <w:t xml:space="preserve">Source:</w:t>
      </w:r>
      <w:r>
        <w:rPr>
          <w:vertAlign w:val="subscript"/>
        </w:rPr>
        <w:t xml:space="preserve"> </w:t>
      </w:r>
      <w:hyperlink r:id="rId40">
        <w:r>
          <w:rPr>
            <w:rStyle w:val="Hyperlink"/>
            <w:vertAlign w:val="subscript"/>
          </w:rPr>
          <w:t xml:space="preserve">Make All Tables for Main Manuscript</w:t>
        </w:r>
      </w:hyperlink>
    </w:p>
    <w:p>
      <w:r>
        <w:br w:type="page"/>
      </w:r>
    </w:p>
    <w:p>
      <w:pPr>
        <w:pStyle w:val="BodyText"/>
      </w:pPr>
      <w:r>
        <w:t xml:space="preserve">Table 2: Demographic and Lapse Characteristics (Continued)</w:t>
      </w:r>
    </w:p>
    <w:bookmarkStart w:id="41" w:name="demopdf"/>
    <w:tbl>
      <w:tblPr>
        <w:tblStyle w:val="Table"/>
        <w:tblW w:type="pct" w:w="4878"/>
        <w:tblLook w:firstRow="1" w:lastRow="0" w:firstColumn="0" w:lastColumn="0" w:noHBand="0" w:noVBand="0" w:val="0020"/>
        <w:jc w:val="start"/>
        <w:tblLayout w:type="fixed"/>
      </w:tblPr>
      <w:tblGrid>
        <w:gridCol w:w="4636"/>
        <w:gridCol w:w="482"/>
        <w:gridCol w:w="676"/>
        <w:gridCol w:w="579"/>
        <w:gridCol w:w="579"/>
        <w:gridCol w:w="772"/>
      </w:tblGrid>
      <w:tr>
        <w:trPr>
          <w:tblHeader w:val="true"/>
        </w:trPr>
        <w:tc>
          <w:tcPr/>
          <w:p>
            <w:pPr>
              <w:pStyle w:val="Compact"/>
              <w:jc w:val="left"/>
            </w:pPr>
            <w:r>
              <w:t xml:space="preserve">var</w:t>
            </w:r>
          </w:p>
        </w:tc>
        <w:tc>
          <w:tcPr/>
          <w:p>
            <w:pPr>
              <w:pStyle w:val="Compact"/>
              <w:jc w:val="right"/>
            </w:pPr>
            <w:r>
              <w:t xml:space="preserve">N</w:t>
            </w:r>
          </w:p>
        </w:tc>
        <w:tc>
          <w:tcPr/>
          <w:p>
            <w:pPr>
              <w:pStyle w:val="Compact"/>
              <w:jc w:val="right"/>
            </w:pPr>
            <w:r>
              <w:t xml:space="preserve">%</w:t>
            </w:r>
          </w:p>
        </w:tc>
        <w:tc>
          <w:tcPr/>
          <w:p>
            <w:pPr>
              <w:pStyle w:val="Compact"/>
              <w:jc w:val="left"/>
            </w:pPr>
            <w:r>
              <w:t xml:space="preserve">M</w:t>
            </w:r>
          </w:p>
        </w:tc>
        <w:tc>
          <w:tcPr/>
          <w:p>
            <w:pPr>
              <w:pStyle w:val="Compact"/>
              <w:jc w:val="left"/>
            </w:pPr>
            <w:r>
              <w:t xml:space="preserve">SD</w:t>
            </w:r>
          </w:p>
        </w:tc>
        <w:tc>
          <w:tcPr/>
          <w:p>
            <w:pPr>
              <w:pStyle w:val="Compact"/>
              <w:jc w:val="left"/>
            </w:pPr>
            <w:r>
              <w:t xml:space="preserve">Range</w:t>
            </w:r>
          </w:p>
        </w:tc>
      </w:tr>
      <w:tr>
        <w:tc>
          <w:tcPr/>
          <w:p>
            <w:pPr>
              <w:pStyle w:val="Compact"/>
              <w:jc w:val="left"/>
            </w:pPr>
            <w:r>
              <w:t xml:space="preserve">Married</w:t>
            </w:r>
          </w:p>
        </w:tc>
        <w:tc>
          <w:tcPr/>
          <w:p>
            <w:pPr>
              <w:pStyle w:val="Compact"/>
              <w:jc w:val="right"/>
            </w:pPr>
            <w:r>
              <w:t xml:space="preserve">32</w:t>
            </w:r>
          </w:p>
        </w:tc>
        <w:tc>
          <w:tcPr/>
          <w:p>
            <w:pPr>
              <w:pStyle w:val="Compact"/>
              <w:jc w:val="right"/>
            </w:pPr>
            <w:r>
              <w:t xml:space="preserve">21.2</w:t>
            </w:r>
          </w:p>
        </w:tc>
        <w:tc>
          <w:tcPr/>
          <w:p>
            <w:pPr>
              <w:pStyle w:val="Compact"/>
            </w:pPr>
          </w:p>
        </w:tc>
        <w:tc>
          <w:tcPr/>
          <w:p>
            <w:pPr>
              <w:pStyle w:val="Compact"/>
            </w:pPr>
          </w:p>
        </w:tc>
        <w:tc>
          <w:tcPr/>
          <w:p>
            <w:pPr>
              <w:pStyle w:val="Compact"/>
            </w:pPr>
          </w:p>
        </w:tc>
      </w:tr>
      <w:tr>
        <w:tc>
          <w:tcPr/>
          <w:p>
            <w:pPr>
              <w:pStyle w:val="Compact"/>
              <w:jc w:val="left"/>
            </w:pPr>
            <w:r>
              <w:t xml:space="preserve">Divorced</w:t>
            </w:r>
          </w:p>
        </w:tc>
        <w:tc>
          <w:tcPr/>
          <w:p>
            <w:pPr>
              <w:pStyle w:val="Compact"/>
              <w:jc w:val="right"/>
            </w:pPr>
            <w:r>
              <w:t xml:space="preserve">45</w:t>
            </w:r>
          </w:p>
        </w:tc>
        <w:tc>
          <w:tcPr/>
          <w:p>
            <w:pPr>
              <w:pStyle w:val="Compact"/>
              <w:jc w:val="right"/>
            </w:pPr>
            <w:r>
              <w:t xml:space="preserve">29.8</w:t>
            </w:r>
          </w:p>
        </w:tc>
        <w:tc>
          <w:tcPr/>
          <w:p>
            <w:pPr>
              <w:pStyle w:val="Compact"/>
            </w:pPr>
          </w:p>
        </w:tc>
        <w:tc>
          <w:tcPr/>
          <w:p>
            <w:pPr>
              <w:pStyle w:val="Compact"/>
            </w:pPr>
          </w:p>
        </w:tc>
        <w:tc>
          <w:tcPr/>
          <w:p>
            <w:pPr>
              <w:pStyle w:val="Compact"/>
            </w:pPr>
          </w:p>
        </w:tc>
      </w:tr>
      <w:tr>
        <w:tc>
          <w:tcPr/>
          <w:p>
            <w:pPr>
              <w:pStyle w:val="Compact"/>
              <w:jc w:val="left"/>
            </w:pPr>
            <w:r>
              <w:t xml:space="preserve">Separated</w:t>
            </w:r>
          </w:p>
        </w:tc>
        <w:tc>
          <w:tcPr/>
          <w:p>
            <w:pPr>
              <w:pStyle w:val="Compact"/>
              <w:jc w:val="right"/>
            </w:pPr>
            <w:r>
              <w:t xml:space="preserve">5</w:t>
            </w:r>
          </w:p>
        </w:tc>
        <w:tc>
          <w:tcPr/>
          <w:p>
            <w:pPr>
              <w:pStyle w:val="Compact"/>
              <w:jc w:val="right"/>
            </w:pPr>
            <w:r>
              <w:t xml:space="preserve">3.3</w:t>
            </w:r>
          </w:p>
        </w:tc>
        <w:tc>
          <w:tcPr/>
          <w:p>
            <w:pPr>
              <w:pStyle w:val="Compact"/>
            </w:pPr>
          </w:p>
        </w:tc>
        <w:tc>
          <w:tcPr/>
          <w:p>
            <w:pPr>
              <w:pStyle w:val="Compact"/>
            </w:pPr>
          </w:p>
        </w:tc>
        <w:tc>
          <w:tcPr/>
          <w:p>
            <w:pPr>
              <w:pStyle w:val="Compact"/>
            </w:pPr>
          </w:p>
        </w:tc>
      </w:tr>
      <w:tr>
        <w:tc>
          <w:tcPr/>
          <w:p>
            <w:pPr>
              <w:pStyle w:val="Compact"/>
              <w:jc w:val="left"/>
            </w:pPr>
            <w:r>
              <w:t xml:space="preserve">Widowed</w:t>
            </w:r>
          </w:p>
        </w:tc>
        <w:tc>
          <w:tcPr/>
          <w:p>
            <w:pPr>
              <w:pStyle w:val="Compact"/>
              <w:jc w:val="right"/>
            </w:pPr>
            <w:r>
              <w:t xml:space="preserve">2</w:t>
            </w:r>
          </w:p>
        </w:tc>
        <w:tc>
          <w:tcPr/>
          <w:p>
            <w:pPr>
              <w:pStyle w:val="Compact"/>
              <w:jc w:val="right"/>
            </w:pPr>
            <w:r>
              <w:t xml:space="preserve">1.3</w:t>
            </w:r>
          </w:p>
        </w:tc>
        <w:tc>
          <w:tcPr/>
          <w:p>
            <w:pPr>
              <w:pStyle w:val="Compact"/>
            </w:pPr>
          </w:p>
        </w:tc>
        <w:tc>
          <w:tcPr/>
          <w:p>
            <w:pPr>
              <w:pStyle w:val="Compact"/>
            </w:pPr>
          </w:p>
        </w:tc>
        <w:tc>
          <w:tcPr/>
          <w:p>
            <w:pPr>
              <w:pStyle w:val="Compact"/>
            </w:pPr>
          </w:p>
        </w:tc>
      </w:tr>
      <w:tr>
        <w:tc>
          <w:tcPr/>
          <w:p>
            <w:pPr>
              <w:pStyle w:val="Compact"/>
              <w:jc w:val="left"/>
            </w:pPr>
            <w:r>
              <w:t xml:space="preserve">DSM-5 AUD Symptom Count</w:t>
            </w:r>
          </w:p>
        </w:tc>
        <w:tc>
          <w:tcPr/>
          <w:p>
            <w:pPr>
              <w:pStyle w:val="Compact"/>
            </w:pPr>
          </w:p>
        </w:tc>
        <w:tc>
          <w:tcPr/>
          <w:p>
            <w:pPr>
              <w:pStyle w:val="Compact"/>
            </w:pPr>
          </w:p>
        </w:tc>
        <w:tc>
          <w:tcPr/>
          <w:p>
            <w:pPr>
              <w:pStyle w:val="Compact"/>
              <w:jc w:val="left"/>
            </w:pPr>
            <w:r>
              <w:t xml:space="preserve">8.9</w:t>
            </w:r>
          </w:p>
        </w:tc>
        <w:tc>
          <w:tcPr/>
          <w:p>
            <w:pPr>
              <w:pStyle w:val="Compact"/>
              <w:jc w:val="left"/>
            </w:pPr>
            <w:r>
              <w:t xml:space="preserve">1.9</w:t>
            </w:r>
          </w:p>
        </w:tc>
        <w:tc>
          <w:tcPr/>
          <w:p>
            <w:pPr>
              <w:pStyle w:val="Compact"/>
              <w:jc w:val="left"/>
            </w:pPr>
            <w:r>
              <w:t xml:space="preserve">4-11</w:t>
            </w:r>
          </w:p>
        </w:tc>
      </w:tr>
      <w:tr>
        <w:tc>
          <w:tcPr/>
          <w:p>
            <w:pPr>
              <w:pStyle w:val="Compact"/>
              <w:jc w:val="left"/>
            </w:pPr>
            <w:r>
              <w:t xml:space="preserve">Reported 1 or More Lapse During Study 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Yes</w:t>
            </w:r>
          </w:p>
        </w:tc>
        <w:tc>
          <w:tcPr/>
          <w:p>
            <w:pPr>
              <w:pStyle w:val="Compact"/>
              <w:jc w:val="right"/>
            </w:pPr>
            <w:r>
              <w:t xml:space="preserve">84</w:t>
            </w:r>
          </w:p>
        </w:tc>
        <w:tc>
          <w:tcPr/>
          <w:p>
            <w:pPr>
              <w:pStyle w:val="Compact"/>
              <w:jc w:val="right"/>
            </w:pPr>
            <w:r>
              <w:t xml:space="preserve">55.6</w:t>
            </w:r>
          </w:p>
        </w:tc>
        <w:tc>
          <w:tcPr/>
          <w:p>
            <w:pPr>
              <w:pStyle w:val="Compact"/>
            </w:pPr>
          </w:p>
        </w:tc>
        <w:tc>
          <w:tcPr/>
          <w:p>
            <w:pPr>
              <w:pStyle w:val="Compact"/>
            </w:pPr>
          </w:p>
        </w:tc>
        <w:tc>
          <w:tcPr/>
          <w:p>
            <w:pPr>
              <w:pStyle w:val="Compact"/>
            </w:pPr>
          </w:p>
        </w:tc>
      </w:tr>
      <w:tr>
        <w:tc>
          <w:tcPr/>
          <w:p>
            <w:pPr>
              <w:pStyle w:val="Compact"/>
              <w:jc w:val="left"/>
            </w:pPr>
            <w:r>
              <w:t xml:space="preserve">No</w:t>
            </w:r>
          </w:p>
        </w:tc>
        <w:tc>
          <w:tcPr/>
          <w:p>
            <w:pPr>
              <w:pStyle w:val="Compact"/>
              <w:jc w:val="right"/>
            </w:pPr>
            <w:r>
              <w:t xml:space="preserve">67</w:t>
            </w:r>
          </w:p>
        </w:tc>
        <w:tc>
          <w:tcPr/>
          <w:p>
            <w:pPr>
              <w:pStyle w:val="Compact"/>
              <w:jc w:val="right"/>
            </w:pPr>
            <w:r>
              <w:t xml:space="preserve">44.4</w:t>
            </w:r>
          </w:p>
        </w:tc>
        <w:tc>
          <w:tcPr/>
          <w:p>
            <w:pPr>
              <w:pStyle w:val="Compact"/>
            </w:pPr>
          </w:p>
        </w:tc>
        <w:tc>
          <w:tcPr/>
          <w:p>
            <w:pPr>
              <w:pStyle w:val="Compact"/>
            </w:pPr>
          </w:p>
        </w:tc>
        <w:tc>
          <w:tcPr/>
          <w:p>
            <w:pPr>
              <w:pStyle w:val="Compact"/>
            </w:pPr>
          </w:p>
        </w:tc>
      </w:tr>
      <w:tr>
        <w:tc>
          <w:tcPr/>
          <w:p>
            <w:pPr>
              <w:pStyle w:val="Compact"/>
              <w:jc w:val="left"/>
            </w:pPr>
            <w:r>
              <w:t xml:space="preserve">Number of reported lapses</w:t>
            </w:r>
          </w:p>
        </w:tc>
        <w:tc>
          <w:tcPr/>
          <w:p>
            <w:pPr>
              <w:pStyle w:val="Compact"/>
            </w:pPr>
          </w:p>
        </w:tc>
        <w:tc>
          <w:tcPr/>
          <w:p>
            <w:pPr>
              <w:pStyle w:val="Compact"/>
            </w:pPr>
          </w:p>
        </w:tc>
        <w:tc>
          <w:tcPr/>
          <w:p>
            <w:pPr>
              <w:pStyle w:val="Compact"/>
              <w:jc w:val="left"/>
            </w:pPr>
            <w:r>
              <w:t xml:space="preserve">6.8</w:t>
            </w:r>
          </w:p>
        </w:tc>
        <w:tc>
          <w:tcPr/>
          <w:p>
            <w:pPr>
              <w:pStyle w:val="Compact"/>
              <w:jc w:val="left"/>
            </w:pPr>
            <w:r>
              <w:t xml:space="preserve">12</w:t>
            </w:r>
          </w:p>
        </w:tc>
        <w:tc>
          <w:tcPr/>
          <w:p>
            <w:pPr>
              <w:pStyle w:val="Compact"/>
              <w:jc w:val="left"/>
            </w:pPr>
            <w:r>
              <w:t xml:space="preserve">0-75</w:t>
            </w:r>
          </w:p>
        </w:tc>
      </w:tr>
    </w:tbl>
    <w:bookmarkEnd w:id="41"/>
    <w:p>
      <w:pPr>
        <w:pStyle w:val="BodyText"/>
      </w:pPr>
      <w:r>
        <w:rPr>
          <w:vertAlign w:val="subscript"/>
        </w:rPr>
        <w:t xml:space="preserve">Source:</w:t>
      </w:r>
      <w:r>
        <w:rPr>
          <w:vertAlign w:val="subscript"/>
        </w:rPr>
        <w:t xml:space="preserve"> </w:t>
      </w:r>
      <w:hyperlink r:id="rId42">
        <w:r>
          <w:rPr>
            <w:rStyle w:val="Hyperlink"/>
            <w:vertAlign w:val="subscript"/>
          </w:rPr>
          <w:t xml:space="preserve">Make All Tables for Main Manuscript</w:t>
        </w:r>
      </w:hyperlink>
    </w:p>
    <w:bookmarkEnd w:id="43"/>
    <w:bookmarkStart w:id="49" w:name="model-evaluation-1"/>
    <w:p>
      <w:pPr>
        <w:pStyle w:val="Heading3"/>
      </w:pPr>
      <w:r>
        <w:t xml:space="preserve">Model Evaluation</w:t>
      </w:r>
    </w:p>
    <w:p>
      <w:pPr>
        <w:pStyle w:val="FirstParagraph"/>
      </w:pPr>
      <w:r>
        <w:t xml:space="preserve">The median auROC across the 30 test sets for our baseline model was high (median=0.892, IQR=0.046), consistent with our previous study. Performance across our lagged models was also high for the 24 hour lag (median=0.882, IQR=0.042), 72 hour lag (median=0.873, IQR=0.057), 168 hour lag (median=0.857, IQR=0.061), and 336 hour lag (median=0.857, IQR=0.064).</w:t>
      </w:r>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0.850 (336 hour lag). These values represent our best estimates for the magnitude of the auROC parameter for each model. The 95% Bayesian CI for the auROCs for these models were relatively narrow and did not contain 0.5: baseline[0.876-0.908], 24 hour lag[0.869-0.902], 72 hour lag[0.856-0.892], 168 hour lag[0.852-0.889], 336 hour lag[0.828-0.870].</w:t>
      </w:r>
      <w:r>
        <w:t xml:space="preserve"> </w:t>
      </w:r>
      <w:hyperlink w:anchor="fig-roc">
        <w:r>
          <w:rPr>
            <w:rStyle w:val="Hyperlink"/>
          </w:rPr>
          <w:t xml:space="preserve">Figure 1</w:t>
        </w:r>
      </w:hyperlink>
      <w:r>
        <w:t xml:space="preserve"> </w:t>
      </w:r>
      <w:r>
        <w:t xml:space="preserve">displays these median auROCs and 95% Bayesian CIs by model.</w:t>
      </w:r>
    </w:p>
    <w:bookmarkStart w:id="48" w:name="cell-fig-roc"/>
    <w:tbl>
      <w:tblPr>
        <w:tblStyle w:val="Table"/>
        <w:tblW w:type="pct" w:w="5000"/>
        <w:tblLook w:firstRow="0" w:lastRow="0" w:firstColumn="0" w:lastColumn="0" w:noHBand="0" w:noVBand="0" w:val="0000"/>
        <w:jc w:val="start"/>
        <w:tblLayout w:type="fixed"/>
      </w:tblPr>
      <w:tblGrid>
        <w:gridCol w:w="7920"/>
      </w:tblGrid>
      <w:tr>
        <w:tc>
          <w:tcPr/>
          <w:bookmarkStart w:id="47" w:name="fig-roc"/>
          <w:p>
            <w:pPr>
              <w:pStyle w:val="Compact"/>
              <w:jc w:val="center"/>
            </w:pPr>
            <w:r>
              <w:drawing>
                <wp:inline>
                  <wp:extent cx="4620126" cy="3696101"/>
                  <wp:effectExtent b="0" l="0" r="0" t="0"/>
                  <wp:docPr descr="" title="" id="45" name="Picture"/>
                  <a:graphic>
                    <a:graphicData uri="http://schemas.openxmlformats.org/drawingml/2006/picture">
                      <pic:pic>
                        <pic:nvPicPr>
                          <pic:cNvPr descr="index_files/figure-docx/fig-roc-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Posterior Probabilities for auROC by Model</w:t>
            </w:r>
          </w:p>
          <w:bookmarkEnd w:id="47"/>
        </w:tc>
      </w:tr>
    </w:tbl>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End w:id="48"/>
    <w:bookmarkEnd w:id="49"/>
    <w:bookmarkStart w:id="52" w:name="model-comparisons-1"/>
    <w:p>
      <w:pPr>
        <w:pStyle w:val="Heading3"/>
      </w:pPr>
      <w:r>
        <w:t xml:space="preserve">Model Comparisons</w:t>
      </w:r>
    </w:p>
    <w:bookmarkStart w:id="50" w:name="baseline-contrasts"/>
    <w:p>
      <w:pPr>
        <w:pStyle w:val="Heading4"/>
      </w:pPr>
      <w:r>
        <w:t xml:space="preserve">Baseline Contrasts</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t xml:space="preserve">The median decrease in auROC for the baseline vs. 24 hour lag model was 0.007 (95% CI=[0.001-0.012]), yielding a significant probability of 0.977 that the lagged model had worse performance. The median decrease in auROC for the baseline vs. 72 hour model was 0.018 (95% CI=[0.013-0.025]), yielding a significant probability of 1.000 that the lagged model had worse performance. The median increase in auROC for the baseline vs. 168 hour lag model was 0.022 (95% CI=[0.016-0.028]), yielding a significant probability of 1.000 that the lagged model had worse performance. The median increase in auROC for the baseline vs. 336 hour lag model was 0.043 (95% CI=[0.036-0.051]), yielding a significant probability of 1.000 that the lagged model had worse performance.</w:t>
      </w:r>
    </w:p>
    <w:bookmarkEnd w:id="50"/>
    <w:bookmarkStart w:id="51" w:name="adjacent-contrasts"/>
    <w:p>
      <w:pPr>
        <w:pStyle w:val="Heading4"/>
      </w:pPr>
      <w:r>
        <w:t xml:space="preserve">Adjacent Contrasts</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t xml:space="preserve">The median decrease in auROC for the 24 hour vs. 72 hour lag model was 0.012 (95% CI=[0.006-0.018]), yielding a significant probability of 0.999 that the 72 hour lag model had worse performance than the 24 hour lag model. The median decrease in auROC for the 72 hour vs. 168 hour lag model was 0.003 (95% CI=[-0.002-0.010]), yielding a non-significant probability of 0.836 that the 168 hour lag model had worse performance than the 72 hour lag model. The median decrease in auROC for the 168 hour vs. 336 hour lag model was 0.021 (95% CI=[0.014-0.028]), yielding a significant probability of 1.000 that the 336 hour lag model had worse performance than the 168 hour lag model.</w:t>
      </w:r>
    </w:p>
    <w:bookmarkEnd w:id="51"/>
    <w:bookmarkEnd w:id="52"/>
    <w:bookmarkStart w:id="55" w:name="fairness-benchmarks-1"/>
    <w:p>
      <w:pPr>
        <w:pStyle w:val="Heading3"/>
      </w:pPr>
      <w:r>
        <w:t xml:space="preserve">Fairness Benchmarks</w:t>
      </w:r>
    </w:p>
    <w:p>
      <w:pPr>
        <w:pStyle w:val="FirstParagraph"/>
      </w:pPr>
      <w:hyperlink w:anchor="tbl-fairness">
        <w:r>
          <w:rPr>
            <w:rStyle w:val="Hyperlink"/>
          </w:rPr>
          <w:t xml:space="preserve">Table 2</w:t>
        </w:r>
      </w:hyperlink>
      <w:r>
        <w:t xml:space="preserve"> </w:t>
      </w:r>
      <w:r>
        <w:t xml:space="preserve">shows the performance of each model by demographic group. All group comparisons for race, sex, and income were significant across models. On average there was a median increase in auROC for white participants compared to participants who were not white was 0.235 (95% CI=[0.104-0.385]). On average there was a median increase in auROC for male participants compared to female participants was 0.090 (95% CI=[0.030-0.177]). On average there was a median increase in auROC for participants above the federal poverty line compared to participants below the federal poverty line was 0.171 (95% CI=[0.072-0.316]).</w:t>
      </w:r>
      <w:r>
        <w:t xml:space="preserve"> </w:t>
      </w:r>
    </w:p>
    <w:p>
      <w:pPr>
        <w:pStyle w:val="BodyText"/>
      </w:pPr>
      <w:r>
        <w:t xml:space="preserve">Notably, the Bayesian CIs were wide and included chance performance as lag increased (i.e., 72 hours, 168 hours, and 336 hours) for individuals who were not white and with an income below the federal poverty line.</w:t>
      </w:r>
    </w:p>
    <w:p>
      <w:pPr>
        <w:pStyle w:val="BodyText"/>
      </w:pPr>
      <w:r>
        <w:t xml:space="preserve">Comparisons were inconsistent across models for age. For the baseline (no lag), 72 hour lag, and 168 hour lag models there were no significant differences in performance. In the 24 hour lag model, there was a significant increase in performance for younger adults. However, in the 336 hour lag model, there was a significant increase in performance for older adults.</w:t>
      </w:r>
    </w:p>
    <w:tbl>
      <w:tblPr>
        <w:tblStyle w:val="Table"/>
        <w:tblW w:type="pct" w:w="5000"/>
        <w:tblLook w:firstRow="0" w:lastRow="0" w:firstColumn="0" w:lastColumn="0" w:noHBand="0" w:noVBand="0" w:val="0000"/>
        <w:jc w:val="start"/>
        <w:tblLayout w:type="fixed"/>
      </w:tblPr>
      <w:tblGrid>
        <w:gridCol w:w="7920"/>
      </w:tblGrid>
      <w:tr>
        <w:tc>
          <w:tcPr/>
          <w:bookmarkStart w:id="53" w:name="tbl-fairness"/>
          <w:p>
            <w:pPr>
              <w:jc w:val="center"/>
            </w:pPr>
            <w:pPr>
              <w:jc w:val="start"/>
              <w:spacing w:before="200"/>
              <w:pStyle w:val="ImageCaption"/>
            </w:pPr>
            <w:r>
              <w:t xml:space="preserve">Table 2: Model Performance by Demographic Group</w:t>
            </w:r>
          </w:p>
          <w:tbl>
            <w:tblPr>
              <w:tblStyle w:val="Table"/>
              <w:tblW w:type="pct" w:w="4925"/>
              <w:tblLook w:firstRow="1" w:lastRow="0" w:firstColumn="0" w:lastColumn="0" w:noHBand="0" w:noVBand="0" w:val="0020"/>
              <w:jc w:val="start"/>
              <w:tblLayout w:type="fixed"/>
            </w:tblPr>
            <w:tblGrid>
              <w:gridCol w:w="1004"/>
              <w:gridCol w:w="531"/>
              <w:gridCol w:w="827"/>
              <w:gridCol w:w="531"/>
              <w:gridCol w:w="827"/>
              <w:gridCol w:w="531"/>
              <w:gridCol w:w="827"/>
              <w:gridCol w:w="531"/>
              <w:gridCol w:w="827"/>
              <w:gridCol w:w="531"/>
              <w:gridCol w:w="827"/>
            </w:tblGrid>
            <w:tr>
              <w:trPr>
                <w:tblHeader w:val="true"/>
              </w:trPr>
              <w:tc>
                <w:tcPr/>
                <w:p>
                  <w:pPr>
                    <w:pStyle w:val="Compact"/>
                  </w:pPr>
                </w:p>
              </w:tc>
              <w:tc>
                <w:tcPr/>
                <w:p>
                  <w:pPr>
                    <w:pStyle w:val="Compact"/>
                    <w:jc w:val="left"/>
                    <w:jc w:val="center"/>
                  </w:pPr>
                  <w:r>
                    <w:t xml:space="preserve">0 Lag</w:t>
                  </w:r>
                </w:p>
              </w:tc>
              <w:tc>
                <w:tcPr/>
                <w:p>
                  <w:pPr>
                    <w:pStyle w:val="Compact"/>
                  </w:pPr>
                </w:p>
              </w:tc>
              <w:tc>
                <w:tcPr/>
                <w:p>
                  <w:pPr>
                    <w:pStyle w:val="Compact"/>
                    <w:jc w:val="left"/>
                    <w:jc w:val="center"/>
                  </w:pPr>
                  <w:r>
                    <w:t xml:space="preserve">24 Lag</w:t>
                  </w:r>
                </w:p>
              </w:tc>
              <w:tc>
                <w:tcPr/>
                <w:p>
                  <w:pPr>
                    <w:pStyle w:val="Compact"/>
                  </w:pPr>
                </w:p>
              </w:tc>
              <w:tc>
                <w:tcPr/>
                <w:p>
                  <w:pPr>
                    <w:pStyle w:val="Compact"/>
                    <w:jc w:val="left"/>
                    <w:jc w:val="center"/>
                  </w:pPr>
                  <w:r>
                    <w:t xml:space="preserve">72 Lag</w:t>
                  </w:r>
                </w:p>
              </w:tc>
              <w:tc>
                <w:tcPr/>
                <w:p>
                  <w:pPr>
                    <w:pStyle w:val="Compact"/>
                  </w:pPr>
                </w:p>
              </w:tc>
              <w:tc>
                <w:tcPr/>
                <w:p>
                  <w:pPr>
                    <w:pStyle w:val="Compact"/>
                    <w:jc w:val="left"/>
                    <w:jc w:val="center"/>
                  </w:pPr>
                  <w:r>
                    <w:t xml:space="preserve">168 Lag</w:t>
                  </w:r>
                </w:p>
              </w:tc>
              <w:tc>
                <w:tcPr/>
                <w:p>
                  <w:pPr>
                    <w:pStyle w:val="Compact"/>
                  </w:pPr>
                </w:p>
              </w:tc>
              <w:tc>
                <w:tcPr/>
                <w:p>
                  <w:pPr>
                    <w:pStyle w:val="Compact"/>
                    <w:jc w:val="left"/>
                    <w:jc w:val="center"/>
                  </w:pPr>
                  <w:r>
                    <w:t xml:space="preserve">336 Lag</w:t>
                  </w:r>
                </w:p>
              </w:tc>
              <w:tc>
                <w:tcPr/>
                <w:p>
                  <w:pPr>
                    <w:pStyle w:val="Compact"/>
                  </w:pPr>
                </w:p>
              </w:tc>
            </w:tr>
            <w:tr>
              <w:tc>
                <w:tcPr/>
                <w:p>
                  <w:pPr>
                    <w:pStyle w:val="Compact"/>
                    <w:jc w:val="left"/>
                    <w:jc w:val="center"/>
                  </w:pPr>
                  <w:r>
                    <w:t xml:space="preserve">Group</w:t>
                  </w:r>
                </w:p>
              </w:tc>
              <w:tc>
                <w:tcPr/>
                <w:p>
                  <w:pPr>
                    <w:pStyle w:val="Compact"/>
                    <w:jc w:val="left"/>
                    <w:jc w:val="center"/>
                  </w:pPr>
                  <w:r>
                    <w:t xml:space="preserve">Median</w:t>
                  </w:r>
                  <w:r>
                    <w:t xml:space="preserve"> </w:t>
                  </w:r>
                  <w:r>
                    <w:t xml:space="preserve">auROC</w:t>
                  </w:r>
                </w:p>
              </w:tc>
              <w:tc>
                <w:tcPr/>
                <w:p>
                  <w:pPr>
                    <w:pStyle w:val="Compact"/>
                    <w:jc w:val="left"/>
                    <w:jc w:val="center"/>
                  </w:pPr>
                  <w:r>
                    <w:t xml:space="preserve">Bayesian CI</w:t>
                  </w:r>
                </w:p>
              </w:tc>
              <w:tc>
                <w:tcPr/>
                <w:p>
                  <w:pPr>
                    <w:pStyle w:val="Compact"/>
                    <w:jc w:val="left"/>
                    <w:jc w:val="center"/>
                  </w:pPr>
                  <w:r>
                    <w:t xml:space="preserve">Median</w:t>
                  </w:r>
                  <w:r>
                    <w:t xml:space="preserve"> </w:t>
                  </w:r>
                  <w:r>
                    <w:t xml:space="preserve">auROC</w:t>
                  </w:r>
                </w:p>
              </w:tc>
              <w:tc>
                <w:tcPr/>
                <w:p>
                  <w:pPr>
                    <w:pStyle w:val="Compact"/>
                    <w:jc w:val="left"/>
                    <w:jc w:val="center"/>
                  </w:pPr>
                  <w:r>
                    <w:t xml:space="preserve">Bayesian CI</w:t>
                  </w:r>
                </w:p>
              </w:tc>
              <w:tc>
                <w:tcPr/>
                <w:p>
                  <w:pPr>
                    <w:pStyle w:val="Compact"/>
                    <w:jc w:val="left"/>
                    <w:jc w:val="center"/>
                  </w:pPr>
                  <w:r>
                    <w:t xml:space="preserve">Median</w:t>
                  </w:r>
                  <w:r>
                    <w:t xml:space="preserve"> </w:t>
                  </w:r>
                  <w:r>
                    <w:t xml:space="preserve">auROC</w:t>
                  </w:r>
                </w:p>
              </w:tc>
              <w:tc>
                <w:tcPr/>
                <w:p>
                  <w:pPr>
                    <w:pStyle w:val="Compact"/>
                    <w:jc w:val="left"/>
                    <w:jc w:val="center"/>
                  </w:pPr>
                  <w:r>
                    <w:t xml:space="preserve">Bayesian CI</w:t>
                  </w:r>
                </w:p>
              </w:tc>
              <w:tc>
                <w:tcPr/>
                <w:p>
                  <w:pPr>
                    <w:pStyle w:val="Compact"/>
                    <w:jc w:val="left"/>
                    <w:jc w:val="center"/>
                  </w:pPr>
                  <w:r>
                    <w:t xml:space="preserve">Median</w:t>
                  </w:r>
                  <w:r>
                    <w:t xml:space="preserve"> </w:t>
                  </w:r>
                  <w:r>
                    <w:t xml:space="preserve">auROC</w:t>
                  </w:r>
                </w:p>
              </w:tc>
              <w:tc>
                <w:tcPr/>
                <w:p>
                  <w:pPr>
                    <w:pStyle w:val="Compact"/>
                    <w:jc w:val="left"/>
                    <w:jc w:val="center"/>
                  </w:pPr>
                  <w:r>
                    <w:t xml:space="preserve">Bayesian CI</w:t>
                  </w:r>
                </w:p>
              </w:tc>
              <w:tc>
                <w:tcPr/>
                <w:p>
                  <w:pPr>
                    <w:pStyle w:val="Compact"/>
                    <w:jc w:val="left"/>
                    <w:jc w:val="center"/>
                  </w:pPr>
                  <w:r>
                    <w:t xml:space="preserve">Median</w:t>
                  </w:r>
                  <w:r>
                    <w:t xml:space="preserve"> </w:t>
                  </w:r>
                  <w:r>
                    <w:t xml:space="preserve">auROC</w:t>
                  </w:r>
                </w:p>
              </w:tc>
              <w:tc>
                <w:tcPr/>
                <w:p>
                  <w:pPr>
                    <w:pStyle w:val="Compact"/>
                    <w:jc w:val="left"/>
                    <w:jc w:val="center"/>
                  </w:pPr>
                  <w:r>
                    <w:t xml:space="preserve">Bayesian CI</w:t>
                  </w:r>
                </w:p>
              </w:tc>
            </w:tr>
            <w:tr>
              <w:tc>
                <w:tcPr/>
                <w:p>
                  <w:pPr>
                    <w:pStyle w:val="Compact"/>
                    <w:jc w:val="left"/>
                    <w:jc w:val="center"/>
                  </w:pPr>
                  <w:r>
                    <w:t xml:space="preserve">Race/Ethnicity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not white</w:t>
                  </w:r>
                </w:p>
              </w:tc>
              <w:tc>
                <w:tcPr/>
                <w:p>
                  <w:pPr>
                    <w:pStyle w:val="Compact"/>
                    <w:jc w:val="left"/>
                    <w:jc w:val="center"/>
                  </w:pPr>
                  <w:r>
                    <w:t xml:space="preserve">0.736</w:t>
                  </w:r>
                </w:p>
              </w:tc>
              <w:tc>
                <w:tcPr/>
                <w:p>
                  <w:pPr>
                    <w:pStyle w:val="Compact"/>
                    <w:jc w:val="left"/>
                    <w:jc w:val="center"/>
                  </w:pPr>
                  <w:r>
                    <w:t xml:space="preserve">0.635-0.815</w:t>
                  </w:r>
                </w:p>
              </w:tc>
              <w:tc>
                <w:tcPr/>
                <w:p>
                  <w:pPr>
                    <w:pStyle w:val="Compact"/>
                    <w:jc w:val="left"/>
                    <w:jc w:val="center"/>
                  </w:pPr>
                  <w:r>
                    <w:t xml:space="preserve">0.696</w:t>
                  </w:r>
                </w:p>
              </w:tc>
              <w:tc>
                <w:tcPr/>
                <w:p>
                  <w:pPr>
                    <w:pStyle w:val="Compact"/>
                    <w:jc w:val="left"/>
                    <w:jc w:val="center"/>
                  </w:pPr>
                  <w:r>
                    <w:t xml:space="preserve">0.608-0.773</w:t>
                  </w:r>
                </w:p>
              </w:tc>
              <w:tc>
                <w:tcPr/>
                <w:p>
                  <w:pPr>
                    <w:pStyle w:val="Compact"/>
                    <w:jc w:val="left"/>
                    <w:jc w:val="center"/>
                  </w:pPr>
                  <w:r>
                    <w:t xml:space="preserve">0.645</w:t>
                  </w:r>
                </w:p>
              </w:tc>
              <w:tc>
                <w:tcPr/>
                <w:p>
                  <w:pPr>
                    <w:pStyle w:val="Compact"/>
                    <w:jc w:val="left"/>
                    <w:jc w:val="center"/>
                  </w:pPr>
                  <w:r>
                    <w:t xml:space="preserve">0.469-0.79</w:t>
                  </w:r>
                </w:p>
              </w:tc>
              <w:tc>
                <w:tcPr/>
                <w:p>
                  <w:pPr>
                    <w:pStyle w:val="Compact"/>
                    <w:jc w:val="left"/>
                    <w:jc w:val="center"/>
                  </w:pPr>
                  <w:r>
                    <w:t xml:space="preserve">0.635</w:t>
                  </w:r>
                </w:p>
              </w:tc>
              <w:tc>
                <w:tcPr/>
                <w:p>
                  <w:pPr>
                    <w:pStyle w:val="Compact"/>
                    <w:jc w:val="left"/>
                    <w:jc w:val="center"/>
                  </w:pPr>
                  <w:r>
                    <w:t xml:space="preserve">0.467-0.784</w:t>
                  </w:r>
                </w:p>
              </w:tc>
              <w:tc>
                <w:tcPr/>
                <w:p>
                  <w:pPr>
                    <w:pStyle w:val="Compact"/>
                    <w:jc w:val="left"/>
                    <w:jc w:val="center"/>
                  </w:pPr>
                  <w:r>
                    <w:t xml:space="preserve">0.589</w:t>
                  </w:r>
                </w:p>
              </w:tc>
              <w:tc>
                <w:tcPr/>
                <w:p>
                  <w:pPr>
                    <w:pStyle w:val="Compact"/>
                    <w:jc w:val="left"/>
                    <w:jc w:val="center"/>
                  </w:pPr>
                  <w:r>
                    <w:t xml:space="preserve">0.367-0.783</w:t>
                  </w:r>
                </w:p>
              </w:tc>
            </w:tr>
            <w:tr>
              <w:tc>
                <w:tcPr/>
                <w:p>
                  <w:pPr>
                    <w:pStyle w:val="Compact"/>
                    <w:jc w:val="left"/>
                    <w:jc w:val="center"/>
                  </w:pPr>
                  <w:r>
                    <w:t xml:space="preserve">white</w:t>
                  </w:r>
                </w:p>
              </w:tc>
              <w:tc>
                <w:tcPr/>
                <w:p>
                  <w:pPr>
                    <w:pStyle w:val="Compact"/>
                    <w:jc w:val="left"/>
                    <w:jc w:val="center"/>
                  </w:pPr>
                  <w:r>
                    <w:t xml:space="preserve">0.901</w:t>
                  </w:r>
                </w:p>
              </w:tc>
              <w:tc>
                <w:tcPr/>
                <w:p>
                  <w:pPr>
                    <w:pStyle w:val="Compact"/>
                    <w:jc w:val="left"/>
                    <w:jc w:val="center"/>
                  </w:pPr>
                  <w:r>
                    <w:t xml:space="preserve">0.857-0.931</w:t>
                  </w:r>
                </w:p>
              </w:tc>
              <w:tc>
                <w:tcPr/>
                <w:p>
                  <w:pPr>
                    <w:pStyle w:val="Compact"/>
                    <w:jc w:val="left"/>
                    <w:jc w:val="center"/>
                  </w:pPr>
                  <w:r>
                    <w:t xml:space="preserve">0.894</w:t>
                  </w:r>
                </w:p>
              </w:tc>
              <w:tc>
                <w:tcPr/>
                <w:p>
                  <w:pPr>
                    <w:pStyle w:val="Compact"/>
                    <w:jc w:val="left"/>
                    <w:jc w:val="center"/>
                  </w:pPr>
                  <w:r>
                    <w:t xml:space="preserve">0.855-0.922</w:t>
                  </w:r>
                </w:p>
              </w:tc>
              <w:tc>
                <w:tcPr/>
                <w:p>
                  <w:pPr>
                    <w:pStyle w:val="Compact"/>
                    <w:jc w:val="left"/>
                    <w:jc w:val="center"/>
                  </w:pPr>
                  <w:r>
                    <w:t xml:space="preserve">0.884</w:t>
                  </w:r>
                </w:p>
              </w:tc>
              <w:tc>
                <w:tcPr/>
                <w:p>
                  <w:pPr>
                    <w:pStyle w:val="Compact"/>
                    <w:jc w:val="left"/>
                    <w:jc w:val="center"/>
                  </w:pPr>
                  <w:r>
                    <w:t xml:space="preserve">0.808-0.932</w:t>
                  </w:r>
                </w:p>
              </w:tc>
              <w:tc>
                <w:tcPr/>
                <w:p>
                  <w:pPr>
                    <w:pStyle w:val="Compact"/>
                    <w:jc w:val="left"/>
                    <w:jc w:val="center"/>
                  </w:pPr>
                  <w:r>
                    <w:t xml:space="preserve">0.876</w:t>
                  </w:r>
                </w:p>
              </w:tc>
              <w:tc>
                <w:tcPr/>
                <w:p>
                  <w:pPr>
                    <w:pStyle w:val="Compact"/>
                    <w:jc w:val="left"/>
                    <w:jc w:val="center"/>
                  </w:pPr>
                  <w:r>
                    <w:t xml:space="preserve">0.795-0.927</w:t>
                  </w:r>
                </w:p>
              </w:tc>
              <w:tc>
                <w:tcPr/>
                <w:p>
                  <w:pPr>
                    <w:pStyle w:val="Compact"/>
                    <w:jc w:val="left"/>
                    <w:jc w:val="center"/>
                  </w:pPr>
                  <w:r>
                    <w:t xml:space="preserve">0.854</w:t>
                  </w:r>
                </w:p>
              </w:tc>
              <w:tc>
                <w:tcPr/>
                <w:p>
                  <w:pPr>
                    <w:pStyle w:val="Compact"/>
                    <w:jc w:val="left"/>
                    <w:jc w:val="center"/>
                  </w:pPr>
                  <w:r>
                    <w:t xml:space="preserve">0.734-0.927</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left"/>
                    <w:jc w:val="center"/>
                  </w:pPr>
                  <w:r>
                    <w:t xml:space="preserve">0.85</w:t>
                  </w:r>
                </w:p>
              </w:tc>
              <w:tc>
                <w:tcPr/>
                <w:p>
                  <w:pPr>
                    <w:pStyle w:val="Compact"/>
                    <w:jc w:val="left"/>
                    <w:jc w:val="center"/>
                  </w:pPr>
                  <w:r>
                    <w:t xml:space="preserve">0.793-0.893</w:t>
                  </w:r>
                </w:p>
              </w:tc>
              <w:tc>
                <w:tcPr/>
                <w:p>
                  <w:pPr>
                    <w:pStyle w:val="Compact"/>
                    <w:jc w:val="left"/>
                    <w:jc w:val="center"/>
                  </w:pPr>
                  <w:r>
                    <w:t xml:space="preserve">0.838</w:t>
                  </w:r>
                </w:p>
              </w:tc>
              <w:tc>
                <w:tcPr/>
                <w:p>
                  <w:pPr>
                    <w:pStyle w:val="Compact"/>
                    <w:jc w:val="left"/>
                    <w:jc w:val="center"/>
                  </w:pPr>
                  <w:r>
                    <w:t xml:space="preserve">0.783-0.88</w:t>
                  </w:r>
                </w:p>
              </w:tc>
              <w:tc>
                <w:tcPr/>
                <w:p>
                  <w:pPr>
                    <w:pStyle w:val="Compact"/>
                    <w:jc w:val="left"/>
                    <w:jc w:val="center"/>
                  </w:pPr>
                  <w:r>
                    <w:t xml:space="preserve">0.817</w:t>
                  </w:r>
                </w:p>
              </w:tc>
              <w:tc>
                <w:tcPr/>
                <w:p>
                  <w:pPr>
                    <w:pStyle w:val="Compact"/>
                    <w:jc w:val="left"/>
                    <w:jc w:val="center"/>
                  </w:pPr>
                  <w:r>
                    <w:t xml:space="preserve">0.71-0.891</w:t>
                  </w:r>
                </w:p>
              </w:tc>
              <w:tc>
                <w:tcPr/>
                <w:p>
                  <w:pPr>
                    <w:pStyle w:val="Compact"/>
                    <w:jc w:val="left"/>
                    <w:jc w:val="center"/>
                  </w:pPr>
                  <w:r>
                    <w:t xml:space="preserve">0.808</w:t>
                  </w:r>
                </w:p>
              </w:tc>
              <w:tc>
                <w:tcPr/>
                <w:p>
                  <w:pPr>
                    <w:pStyle w:val="Compact"/>
                    <w:jc w:val="left"/>
                    <w:jc w:val="center"/>
                  </w:pPr>
                  <w:r>
                    <w:t xml:space="preserve">0.694-0.883</w:t>
                  </w:r>
                </w:p>
              </w:tc>
              <w:tc>
                <w:tcPr/>
                <w:p>
                  <w:pPr>
                    <w:pStyle w:val="Compact"/>
                    <w:jc w:val="left"/>
                    <w:jc w:val="center"/>
                  </w:pPr>
                  <w:r>
                    <w:t xml:space="preserve">0.775</w:t>
                  </w:r>
                </w:p>
              </w:tc>
              <w:tc>
                <w:tcPr/>
                <w:p>
                  <w:pPr>
                    <w:pStyle w:val="Compact"/>
                    <w:jc w:val="left"/>
                    <w:jc w:val="center"/>
                  </w:pPr>
                  <w:r>
                    <w:t xml:space="preserve">0.613-0.878</w:t>
                  </w:r>
                </w:p>
              </w:tc>
            </w:tr>
            <w:tr>
              <w:tc>
                <w:tcPr/>
                <w:p>
                  <w:pPr>
                    <w:pStyle w:val="Compact"/>
                    <w:jc w:val="left"/>
                    <w:jc w:val="center"/>
                  </w:pPr>
                  <w:r>
                    <w:t xml:space="preserve">male</w:t>
                  </w:r>
                </w:p>
              </w:tc>
              <w:tc>
                <w:tcPr/>
                <w:p>
                  <w:pPr>
                    <w:pStyle w:val="Compact"/>
                    <w:jc w:val="left"/>
                    <w:jc w:val="center"/>
                  </w:pPr>
                  <w:r>
                    <w:t xml:space="preserve">0.921</w:t>
                  </w:r>
                </w:p>
              </w:tc>
              <w:tc>
                <w:tcPr/>
                <w:p>
                  <w:pPr>
                    <w:pStyle w:val="Compact"/>
                    <w:jc w:val="left"/>
                    <w:jc w:val="center"/>
                  </w:pPr>
                  <w:r>
                    <w:t xml:space="preserve">0.886-0.945</w:t>
                  </w:r>
                </w:p>
              </w:tc>
              <w:tc>
                <w:tcPr/>
                <w:p>
                  <w:pPr>
                    <w:pStyle w:val="Compact"/>
                    <w:jc w:val="left"/>
                    <w:jc w:val="center"/>
                  </w:pPr>
                  <w:r>
                    <w:t xml:space="preserve">0.917</w:t>
                  </w:r>
                </w:p>
              </w:tc>
              <w:tc>
                <w:tcPr/>
                <w:p>
                  <w:pPr>
                    <w:pStyle w:val="Compact"/>
                    <w:jc w:val="left"/>
                    <w:jc w:val="center"/>
                  </w:pPr>
                  <w:r>
                    <w:t xml:space="preserve">0.887-0.94</w:t>
                  </w:r>
                </w:p>
              </w:tc>
              <w:tc>
                <w:tcPr/>
                <w:p>
                  <w:pPr>
                    <w:pStyle w:val="Compact"/>
                    <w:jc w:val="left"/>
                    <w:jc w:val="center"/>
                  </w:pPr>
                  <w:r>
                    <w:t xml:space="preserve">0.909</w:t>
                  </w:r>
                </w:p>
              </w:tc>
              <w:tc>
                <w:tcPr/>
                <w:p>
                  <w:pPr>
                    <w:pStyle w:val="Compact"/>
                    <w:jc w:val="left"/>
                    <w:jc w:val="center"/>
                  </w:pPr>
                  <w:r>
                    <w:t xml:space="preserve">0.848-0.946</w:t>
                  </w:r>
                </w:p>
              </w:tc>
              <w:tc>
                <w:tcPr/>
                <w:p>
                  <w:pPr>
                    <w:pStyle w:val="Compact"/>
                    <w:jc w:val="left"/>
                    <w:jc w:val="center"/>
                  </w:pPr>
                  <w:r>
                    <w:t xml:space="preserve">0.917</w:t>
                  </w:r>
                </w:p>
              </w:tc>
              <w:tc>
                <w:tcPr/>
                <w:p>
                  <w:pPr>
                    <w:pStyle w:val="Compact"/>
                    <w:jc w:val="left"/>
                    <w:jc w:val="center"/>
                  </w:pPr>
                  <w:r>
                    <w:t xml:space="preserve">0.86-0.953</w:t>
                  </w:r>
                </w:p>
              </w:tc>
              <w:tc>
                <w:tcPr/>
                <w:p>
                  <w:pPr>
                    <w:pStyle w:val="Compact"/>
                    <w:jc w:val="left"/>
                    <w:jc w:val="center"/>
                  </w:pPr>
                  <w:r>
                    <w:t xml:space="preserve">0.9</w:t>
                  </w:r>
                </w:p>
              </w:tc>
              <w:tc>
                <w:tcPr/>
                <w:p>
                  <w:pPr>
                    <w:pStyle w:val="Compact"/>
                    <w:jc w:val="left"/>
                    <w:jc w:val="center"/>
                  </w:pPr>
                  <w:r>
                    <w:t xml:space="preserve">0.804-0.951</w:t>
                  </w:r>
                </w:p>
              </w:tc>
            </w:tr>
            <w:tr>
              <w:tc>
                <w:tcPr/>
                <w:p>
                  <w:pPr>
                    <w:pStyle w:val="Compact"/>
                    <w:jc w:val="left"/>
                    <w:jc w:val="center"/>
                  </w:pPr>
                  <w:r>
                    <w:t xml:space="preserve">Income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below poverty</w:t>
                  </w:r>
                </w:p>
              </w:tc>
              <w:tc>
                <w:tcPr/>
                <w:p>
                  <w:pPr>
                    <w:pStyle w:val="Compact"/>
                    <w:jc w:val="left"/>
                    <w:jc w:val="center"/>
                  </w:pPr>
                  <w:r>
                    <w:t xml:space="preserve">0.75</w:t>
                  </w:r>
                </w:p>
              </w:tc>
              <w:tc>
                <w:tcPr/>
                <w:p>
                  <w:pPr>
                    <w:pStyle w:val="Compact"/>
                    <w:jc w:val="left"/>
                    <w:jc w:val="center"/>
                  </w:pPr>
                  <w:r>
                    <w:t xml:space="preserve">0.651-0.833</w:t>
                  </w:r>
                </w:p>
              </w:tc>
              <w:tc>
                <w:tcPr/>
                <w:p>
                  <w:pPr>
                    <w:pStyle w:val="Compact"/>
                    <w:jc w:val="left"/>
                    <w:jc w:val="center"/>
                  </w:pPr>
                  <w:r>
                    <w:t xml:space="preserve">0.728</w:t>
                  </w:r>
                </w:p>
              </w:tc>
              <w:tc>
                <w:tcPr/>
                <w:p>
                  <w:pPr>
                    <w:pStyle w:val="Compact"/>
                    <w:jc w:val="left"/>
                    <w:jc w:val="center"/>
                  </w:pPr>
                  <w:r>
                    <w:t xml:space="preserve">0.635-0.804</w:t>
                  </w:r>
                </w:p>
              </w:tc>
              <w:tc>
                <w:tcPr/>
                <w:p>
                  <w:pPr>
                    <w:pStyle w:val="Compact"/>
                    <w:jc w:val="left"/>
                    <w:jc w:val="center"/>
                  </w:pPr>
                  <w:r>
                    <w:t xml:space="preserve">0.705</w:t>
                  </w:r>
                </w:p>
              </w:tc>
              <w:tc>
                <w:tcPr/>
                <w:p>
                  <w:pPr>
                    <w:pStyle w:val="Compact"/>
                    <w:jc w:val="left"/>
                    <w:jc w:val="center"/>
                  </w:pPr>
                  <w:r>
                    <w:t xml:space="preserve">0.526-0.835</w:t>
                  </w:r>
                </w:p>
              </w:tc>
              <w:tc>
                <w:tcPr/>
                <w:p>
                  <w:pPr>
                    <w:pStyle w:val="Compact"/>
                    <w:jc w:val="left"/>
                    <w:jc w:val="center"/>
                  </w:pPr>
                  <w:r>
                    <w:t xml:space="preserve">0.663</w:t>
                  </w:r>
                </w:p>
              </w:tc>
              <w:tc>
                <w:tcPr/>
                <w:p>
                  <w:pPr>
                    <w:pStyle w:val="Compact"/>
                    <w:jc w:val="left"/>
                    <w:jc w:val="center"/>
                  </w:pPr>
                  <w:r>
                    <w:t xml:space="preserve">0.478-0.815</w:t>
                  </w:r>
                </w:p>
              </w:tc>
              <w:tc>
                <w:tcPr/>
                <w:p>
                  <w:pPr>
                    <w:pStyle w:val="Compact"/>
                    <w:jc w:val="left"/>
                    <w:jc w:val="center"/>
                  </w:pPr>
                  <w:r>
                    <w:t xml:space="preserve">0.607</w:t>
                  </w:r>
                </w:p>
              </w:tc>
              <w:tc>
                <w:tcPr/>
                <w:p>
                  <w:pPr>
                    <w:pStyle w:val="Compact"/>
                    <w:jc w:val="left"/>
                    <w:jc w:val="center"/>
                  </w:pPr>
                  <w:r>
                    <w:t xml:space="preserve">0.366-0.801</w:t>
                  </w:r>
                </w:p>
              </w:tc>
            </w:tr>
            <w:tr>
              <w:tc>
                <w:tcPr/>
                <w:p>
                  <w:pPr>
                    <w:pStyle w:val="Compact"/>
                    <w:jc w:val="left"/>
                    <w:jc w:val="center"/>
                  </w:pPr>
                  <w:r>
                    <w:t xml:space="preserve">above poverty</w:t>
                  </w:r>
                </w:p>
              </w:tc>
              <w:tc>
                <w:tcPr/>
                <w:p>
                  <w:pPr>
                    <w:pStyle w:val="Compact"/>
                    <w:jc w:val="left"/>
                    <w:jc w:val="center"/>
                  </w:pPr>
                  <w:r>
                    <w:t xml:space="preserve">0.896</w:t>
                  </w:r>
                </w:p>
              </w:tc>
              <w:tc>
                <w:tcPr/>
                <w:p>
                  <w:pPr>
                    <w:pStyle w:val="Compact"/>
                    <w:jc w:val="left"/>
                    <w:jc w:val="center"/>
                  </w:pPr>
                  <w:r>
                    <w:t xml:space="preserve">0.854-0.929</w:t>
                  </w:r>
                </w:p>
              </w:tc>
              <w:tc>
                <w:tcPr/>
                <w:p>
                  <w:pPr>
                    <w:pStyle w:val="Compact"/>
                    <w:jc w:val="left"/>
                    <w:jc w:val="center"/>
                  </w:pPr>
                  <w:r>
                    <w:t xml:space="preserve">0.888</w:t>
                  </w:r>
                </w:p>
              </w:tc>
              <w:tc>
                <w:tcPr/>
                <w:p>
                  <w:pPr>
                    <w:pStyle w:val="Compact"/>
                    <w:jc w:val="left"/>
                    <w:jc w:val="center"/>
                  </w:pPr>
                  <w:r>
                    <w:t xml:space="preserve">0.848-0.918</w:t>
                  </w:r>
                </w:p>
              </w:tc>
              <w:tc>
                <w:tcPr/>
                <w:p>
                  <w:pPr>
                    <w:pStyle w:val="Compact"/>
                    <w:jc w:val="left"/>
                    <w:jc w:val="center"/>
                  </w:pPr>
                  <w:r>
                    <w:t xml:space="preserve">0.878</w:t>
                  </w:r>
                </w:p>
              </w:tc>
              <w:tc>
                <w:tcPr/>
                <w:p>
                  <w:pPr>
                    <w:pStyle w:val="Compact"/>
                    <w:jc w:val="left"/>
                    <w:jc w:val="center"/>
                  </w:pPr>
                  <w:r>
                    <w:t xml:space="preserve">0.798-0.929</w:t>
                  </w:r>
                </w:p>
              </w:tc>
              <w:tc>
                <w:tcPr/>
                <w:p>
                  <w:pPr>
                    <w:pStyle w:val="Compact"/>
                    <w:jc w:val="left"/>
                    <w:jc w:val="center"/>
                  </w:pPr>
                  <w:r>
                    <w:t xml:space="preserve">0.878</w:t>
                  </w:r>
                </w:p>
              </w:tc>
              <w:tc>
                <w:tcPr/>
                <w:p>
                  <w:pPr>
                    <w:pStyle w:val="Compact"/>
                    <w:jc w:val="left"/>
                    <w:jc w:val="center"/>
                  </w:pPr>
                  <w:r>
                    <w:t xml:space="preserve">0.795-0.93</w:t>
                  </w:r>
                </w:p>
              </w:tc>
              <w:tc>
                <w:tcPr/>
                <w:p>
                  <w:pPr>
                    <w:pStyle w:val="Compact"/>
                    <w:jc w:val="left"/>
                    <w:jc w:val="center"/>
                  </w:pPr>
                  <w:r>
                    <w:t xml:space="preserve">0.861</w:t>
                  </w:r>
                </w:p>
              </w:tc>
              <w:tc>
                <w:tcPr/>
                <w:p>
                  <w:pPr>
                    <w:pStyle w:val="Compact"/>
                    <w:jc w:val="left"/>
                    <w:jc w:val="center"/>
                  </w:pPr>
                  <w:r>
                    <w:t xml:space="preserve">0.738-0.931</w:t>
                  </w:r>
                </w:p>
              </w:tc>
            </w:tr>
            <w:tr>
              <w:tc>
                <w:tcPr/>
                <w:p>
                  <w:pPr>
                    <w:pStyle w:val="Compact"/>
                    <w:jc w:val="left"/>
                    <w:jc w:val="center"/>
                  </w:pPr>
                  <w:r>
                    <w:t xml:space="preserve">Age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older</w:t>
                  </w:r>
                </w:p>
              </w:tc>
              <w:tc>
                <w:tcPr/>
                <w:p>
                  <w:pPr>
                    <w:pStyle w:val="Compact"/>
                    <w:jc w:val="left"/>
                    <w:jc w:val="center"/>
                  </w:pPr>
                  <w:r>
                    <w:t xml:space="preserve">0.89</w:t>
                  </w:r>
                </w:p>
              </w:tc>
              <w:tc>
                <w:tcPr/>
                <w:p>
                  <w:pPr>
                    <w:pStyle w:val="Compact"/>
                    <w:jc w:val="left"/>
                    <w:jc w:val="center"/>
                  </w:pPr>
                  <w:r>
                    <w:t xml:space="preserve">0.838-0.928</w:t>
                  </w:r>
                </w:p>
              </w:tc>
              <w:tc>
                <w:tcPr/>
                <w:p>
                  <w:pPr>
                    <w:pStyle w:val="Compact"/>
                    <w:jc w:val="left"/>
                    <w:jc w:val="center"/>
                  </w:pPr>
                  <w:r>
                    <w:t xml:space="preserve">0.84</w:t>
                  </w:r>
                </w:p>
              </w:tc>
              <w:tc>
                <w:tcPr/>
                <w:p>
                  <w:pPr>
                    <w:pStyle w:val="Compact"/>
                    <w:jc w:val="left"/>
                    <w:jc w:val="center"/>
                  </w:pPr>
                  <w:r>
                    <w:t xml:space="preserve">0.779-0.886</w:t>
                  </w:r>
                </w:p>
              </w:tc>
              <w:tc>
                <w:tcPr/>
                <w:p>
                  <w:pPr>
                    <w:pStyle w:val="Compact"/>
                    <w:jc w:val="left"/>
                    <w:jc w:val="center"/>
                  </w:pPr>
                  <w:r>
                    <w:t xml:space="preserve">0.902</w:t>
                  </w:r>
                </w:p>
              </w:tc>
              <w:tc>
                <w:tcPr/>
                <w:p>
                  <w:pPr>
                    <w:pStyle w:val="Compact"/>
                    <w:jc w:val="left"/>
                    <w:jc w:val="center"/>
                  </w:pPr>
                  <w:r>
                    <w:t xml:space="preserve">0.823-0.949</w:t>
                  </w:r>
                </w:p>
              </w:tc>
              <w:tc>
                <w:tcPr/>
                <w:p>
                  <w:pPr>
                    <w:pStyle w:val="Compact"/>
                    <w:jc w:val="left"/>
                    <w:jc w:val="center"/>
                  </w:pPr>
                  <w:r>
                    <w:t xml:space="preserve">0.886</w:t>
                  </w:r>
                </w:p>
              </w:tc>
              <w:tc>
                <w:tcPr/>
                <w:p>
                  <w:pPr>
                    <w:pStyle w:val="Compact"/>
                    <w:jc w:val="left"/>
                    <w:jc w:val="center"/>
                  </w:pPr>
                  <w:r>
                    <w:t xml:space="preserve">0.792-0.941</w:t>
                  </w:r>
                </w:p>
              </w:tc>
              <w:tc>
                <w:tcPr/>
                <w:p>
                  <w:pPr>
                    <w:pStyle w:val="Compact"/>
                    <w:jc w:val="left"/>
                    <w:jc w:val="center"/>
                  </w:pPr>
                  <w:r>
                    <w:t xml:space="preserve">0.951</w:t>
                  </w:r>
                </w:p>
              </w:tc>
              <w:tc>
                <w:tcPr/>
                <w:p>
                  <w:pPr>
                    <w:pStyle w:val="Compact"/>
                    <w:jc w:val="left"/>
                    <w:jc w:val="center"/>
                  </w:pPr>
                  <w:r>
                    <w:t xml:space="preserve">0.884-0.981</w:t>
                  </w:r>
                </w:p>
              </w:tc>
            </w:tr>
            <w:tr>
              <w:tc>
                <w:tcPr/>
                <w:p>
                  <w:pPr>
                    <w:pStyle w:val="Compact"/>
                    <w:jc w:val="left"/>
                    <w:jc w:val="center"/>
                  </w:pPr>
                  <w:r>
                    <w:t xml:space="preserve">younger</w:t>
                  </w:r>
                </w:p>
              </w:tc>
              <w:tc>
                <w:tcPr/>
                <w:p>
                  <w:pPr>
                    <w:pStyle w:val="Compact"/>
                    <w:jc w:val="left"/>
                    <w:jc w:val="center"/>
                  </w:pPr>
                  <w:r>
                    <w:t xml:space="preserve">0.903</w:t>
                  </w:r>
                </w:p>
              </w:tc>
              <w:tc>
                <w:tcPr/>
                <w:p>
                  <w:pPr>
                    <w:pStyle w:val="Compact"/>
                    <w:jc w:val="left"/>
                    <w:jc w:val="center"/>
                  </w:pPr>
                  <w:r>
                    <w:t xml:space="preserve">0.862-0.932</w:t>
                  </w:r>
                </w:p>
              </w:tc>
              <w:tc>
                <w:tcPr/>
                <w:p>
                  <w:pPr>
                    <w:pStyle w:val="Compact"/>
                    <w:jc w:val="left"/>
                    <w:jc w:val="center"/>
                  </w:pPr>
                  <w:r>
                    <w:t xml:space="preserve">0.897</w:t>
                  </w:r>
                </w:p>
              </w:tc>
              <w:tc>
                <w:tcPr/>
                <w:p>
                  <w:pPr>
                    <w:pStyle w:val="Compact"/>
                    <w:jc w:val="left"/>
                    <w:jc w:val="center"/>
                  </w:pPr>
                  <w:r>
                    <w:t xml:space="preserve">0.86-0.925</w:t>
                  </w:r>
                </w:p>
              </w:tc>
              <w:tc>
                <w:tcPr/>
                <w:p>
                  <w:pPr>
                    <w:pStyle w:val="Compact"/>
                    <w:jc w:val="left"/>
                    <w:jc w:val="center"/>
                  </w:pPr>
                  <w:r>
                    <w:t xml:space="preserve">0.886</w:t>
                  </w:r>
                </w:p>
              </w:tc>
              <w:tc>
                <w:tcPr/>
                <w:p>
                  <w:pPr>
                    <w:pStyle w:val="Compact"/>
                    <w:jc w:val="left"/>
                    <w:jc w:val="center"/>
                  </w:pPr>
                  <w:r>
                    <w:t xml:space="preserve">0.809-0.933</w:t>
                  </w:r>
                </w:p>
              </w:tc>
              <w:tc>
                <w:tcPr/>
                <w:p>
                  <w:pPr>
                    <w:pStyle w:val="Compact"/>
                    <w:jc w:val="left"/>
                    <w:jc w:val="center"/>
                  </w:pPr>
                  <w:r>
                    <w:t xml:space="preserve">0.881</w:t>
                  </w:r>
                </w:p>
              </w:tc>
              <w:tc>
                <w:tcPr/>
                <w:p>
                  <w:pPr>
                    <w:pStyle w:val="Compact"/>
                    <w:jc w:val="left"/>
                    <w:jc w:val="center"/>
                  </w:pPr>
                  <w:r>
                    <w:t xml:space="preserve">0.801-0.931</w:t>
                  </w:r>
                </w:p>
              </w:tc>
              <w:tc>
                <w:tcPr/>
                <w:p>
                  <w:pPr>
                    <w:pStyle w:val="Compact"/>
                    <w:jc w:val="left"/>
                    <w:jc w:val="center"/>
                  </w:pPr>
                  <w:r>
                    <w:t xml:space="preserve">0.859</w:t>
                  </w:r>
                </w:p>
              </w:tc>
              <w:tc>
                <w:tcPr/>
                <w:p>
                  <w:pPr>
                    <w:pStyle w:val="Compact"/>
                    <w:jc w:val="left"/>
                    <w:jc w:val="center"/>
                  </w:pPr>
                  <w:r>
                    <w:t xml:space="preserve">0.735-0.932</w:t>
                  </w:r>
                </w:p>
              </w:tc>
            </w:tr>
          </w:tbl>
          <w:bookmarkEnd w:id="53"/>
          <w:p/>
        </w:tc>
      </w:tr>
    </w:tbl>
    <w:p>
      <w:pPr>
        <w:pStyle w:val="BodyText"/>
      </w:pPr>
      <w:r>
        <w:rPr>
          <w:vertAlign w:val="subscript"/>
        </w:rPr>
        <w:t xml:space="preserve">Source:</w:t>
      </w:r>
      <w:r>
        <w:rPr>
          <w:vertAlign w:val="subscript"/>
        </w:rPr>
        <w:t xml:space="preserve"> </w:t>
      </w:r>
      <w:hyperlink r:id="rId54">
        <w:r>
          <w:rPr>
            <w:rStyle w:val="Hyperlink"/>
            <w:vertAlign w:val="subscript"/>
          </w:rPr>
          <w:t xml:space="preserve">Make All Tables for Main Manuscript</w:t>
        </w:r>
      </w:hyperlink>
    </w:p>
    <w:bookmarkEnd w:id="55"/>
    <w:bookmarkStart w:id="56" w:name="feature-importance-1"/>
    <w:p>
      <w:pPr>
        <w:pStyle w:val="Heading3"/>
      </w:pPr>
      <w:r>
        <w:t xml:space="preserve">Feature Importance</w:t>
      </w:r>
    </w:p>
    <w:bookmarkEnd w:id="56"/>
    <w:bookmarkEnd w:id="57"/>
    <w:bookmarkStart w:id="58" w:name="discussion"/>
    <w:p>
      <w:pPr>
        <w:pStyle w:val="Heading2"/>
      </w:pPr>
      <w:r>
        <w:t xml:space="preserve">Discussion</w:t>
      </w:r>
    </w:p>
    <w:p>
      <w:pPr>
        <w:numPr>
          <w:ilvl w:val="0"/>
          <w:numId w:val="1003"/>
        </w:numPr>
        <w:pStyle w:val="Compact"/>
      </w:pPr>
      <w:r>
        <w:t xml:space="preserve">Improving model performance for unprivileged classes. Considering other important classes for SUD, such as geographic location, Improving diversity of training data</w:t>
      </w:r>
    </w:p>
    <w:bookmarkEnd w:id="58"/>
    <w:bookmarkStart w:id="102" w:name="references"/>
    <w:p>
      <w:pPr>
        <w:pStyle w:val="Heading2"/>
      </w:pPr>
      <w:r>
        <w:t xml:space="preserve">References</w:t>
      </w:r>
    </w:p>
    <w:bookmarkStart w:id="101" w:name="refs"/>
    <w:bookmarkStart w:id="60"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Cs/>
          <w:i/>
        </w:rPr>
        <w:t xml:space="preserve">Addictive Behaviors</w:t>
      </w:r>
      <w:r>
        <w:t xml:space="preserve"> </w:t>
      </w:r>
      <w:r>
        <w:t xml:space="preserve">83 (August): 42–47.</w:t>
      </w:r>
      <w:r>
        <w:t xml:space="preserve"> </w:t>
      </w:r>
      <w:hyperlink r:id="rId59">
        <w:r>
          <w:rPr>
            <w:rStyle w:val="Hyperlink"/>
          </w:rPr>
          <w:t xml:space="preserve">https://doi.org/10.1016/j.addbeh.2017.11.039</w:t>
        </w:r>
      </w:hyperlink>
      <w:r>
        <w:t xml:space="preserve">.</w:t>
      </w:r>
    </w:p>
    <w:bookmarkEnd w:id="60"/>
    <w:bookmarkStart w:id="62" w:name="ref-bickmanAchievingPrecisionMental2016a"/>
    <w:p>
      <w:pPr>
        <w:pStyle w:val="Bibliography"/>
      </w:pPr>
      <w:r>
        <w:t xml:space="preserve">Bickman, Leonard, Aaron R. Lyon, and Miranda Wolpert. 2016.</w:t>
      </w:r>
      <w:r>
        <w:t xml:space="preserve"> </w:t>
      </w:r>
      <w:r>
        <w:t xml:space="preserve">“Achieving</w:t>
      </w:r>
      <w:r>
        <w:t xml:space="preserve"> </w:t>
      </w:r>
      <w:r>
        <w:t xml:space="preserve">Precision Mental Health</w:t>
      </w:r>
      <w:r>
        <w:t xml:space="preserve"> </w:t>
      </w:r>
      <w:r>
        <w:t xml:space="preserve">Through</w:t>
      </w:r>
      <w:r>
        <w:t xml:space="preserve"> </w:t>
      </w:r>
      <w:r>
        <w:t xml:space="preserve">Effective Assessment</w:t>
      </w:r>
      <w:r>
        <w:t xml:space="preserve">,</w:t>
      </w:r>
      <w:r>
        <w:t xml:space="preserve"> </w:t>
      </w:r>
      <w:r>
        <w:t xml:space="preserve">Monitoring</w:t>
      </w:r>
      <w:r>
        <w:t xml:space="preserve">, and</w:t>
      </w:r>
      <w:r>
        <w:t xml:space="preserve"> </w:t>
      </w:r>
      <w:r>
        <w:t xml:space="preserve">Feedback Processes</w:t>
      </w:r>
      <w:r>
        <w:t xml:space="preserve">.”</w:t>
      </w:r>
      <w:r>
        <w:t xml:space="preserve"> </w:t>
      </w:r>
      <w:r>
        <w:rPr>
          <w:iCs/>
          <w:i/>
        </w:rPr>
        <w:t xml:space="preserve">Administration and Policy in Mental Health and Mental Health Services Research</w:t>
      </w:r>
      <w:r>
        <w:t xml:space="preserve"> </w:t>
      </w:r>
      <w:r>
        <w:t xml:space="preserve">43 (3): 271–76.</w:t>
      </w:r>
      <w:r>
        <w:t xml:space="preserve"> </w:t>
      </w:r>
      <w:hyperlink r:id="rId61">
        <w:r>
          <w:rPr>
            <w:rStyle w:val="Hyperlink"/>
          </w:rPr>
          <w:t xml:space="preserve">https://doi.org/10.1007/s10488-016-0718-5</w:t>
        </w:r>
      </w:hyperlink>
      <w:r>
        <w:t xml:space="preserve">.</w:t>
      </w:r>
    </w:p>
    <w:bookmarkEnd w:id="62"/>
    <w:bookmarkStart w:id="64"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3">
        <w:r>
          <w:rPr>
            <w:rStyle w:val="Hyperlink"/>
          </w:rPr>
          <w:t xml:space="preserve">https://doi.org/10.21231/GNT1-HW21</w:t>
        </w:r>
      </w:hyperlink>
      <w:r>
        <w:t xml:space="preserve">.</w:t>
      </w:r>
    </w:p>
    <w:bookmarkEnd w:id="64"/>
    <w:bookmarkStart w:id="66"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Cs/>
          <w:i/>
        </w:rPr>
        <w:t xml:space="preserve">Journal of Substance Abuse Treatment</w:t>
      </w:r>
      <w:r>
        <w:t xml:space="preserve"> </w:t>
      </w:r>
      <w:r>
        <w:t xml:space="preserve">46 (1): 29–35.</w:t>
      </w:r>
      <w:r>
        <w:t xml:space="preserve"> </w:t>
      </w:r>
      <w:hyperlink r:id="rId65">
        <w:r>
          <w:rPr>
            <w:rStyle w:val="Hyperlink"/>
          </w:rPr>
          <w:t xml:space="preserve">https://doi.org/10.1016/j.jsat.2013.08.004</w:t>
        </w:r>
      </w:hyperlink>
      <w:r>
        <w:t xml:space="preserve">.</w:t>
      </w:r>
    </w:p>
    <w:bookmarkEnd w:id="66"/>
    <w:bookmarkStart w:id="68"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Cs/>
          <w:i/>
        </w:rPr>
        <w:t xml:space="preserve">Behaviour Research and Therapy</w:t>
      </w:r>
      <w:r>
        <w:t xml:space="preserve"> </w:t>
      </w:r>
      <w:r>
        <w:t xml:space="preserve">123 (December): 103506.</w:t>
      </w:r>
      <w:r>
        <w:t xml:space="preserve"> </w:t>
      </w:r>
      <w:hyperlink r:id="rId67">
        <w:r>
          <w:rPr>
            <w:rStyle w:val="Hyperlink"/>
          </w:rPr>
          <w:t xml:space="preserve">https://doi.org/10.1016/j.brat.2019.103506</w:t>
        </w:r>
      </w:hyperlink>
      <w:r>
        <w:t xml:space="preserve">.</w:t>
      </w:r>
    </w:p>
    <w:bookmarkEnd w:id="68"/>
    <w:bookmarkStart w:id="70" w:name="ref-fronkStressAllostasisSubstance2020"/>
    <w:p>
      <w:pPr>
        <w:pStyle w:val="Bibliography"/>
      </w:pPr>
      <w:r>
        <w:t xml:space="preserve">Fronk, Gaylen E., Sarah J. Sant’Ana, Jesse T. Kaye, and John J. Curtin. 2020.</w:t>
      </w:r>
      <w:r>
        <w:t xml:space="preserve"> </w:t>
      </w:r>
      <w:r>
        <w:t xml:space="preserve">“Stress</w:t>
      </w:r>
      <w:r>
        <w:t xml:space="preserve"> </w:t>
      </w:r>
      <w:r>
        <w:t xml:space="preserve">Allostasis</w:t>
      </w:r>
      <w:r>
        <w:t xml:space="preserve"> </w:t>
      </w:r>
      <w:r>
        <w:t xml:space="preserve">in</w:t>
      </w:r>
      <w:r>
        <w:t xml:space="preserve"> </w:t>
      </w:r>
      <w:r>
        <w:t xml:space="preserve">Substance Use Disorders</w:t>
      </w:r>
      <w:r>
        <w:t xml:space="preserve">:</w:t>
      </w:r>
      <w:r>
        <w:t xml:space="preserve"> </w:t>
      </w:r>
      <w:r>
        <w:t xml:space="preserve">Promise</w:t>
      </w:r>
      <w:r>
        <w:t xml:space="preserve">,</w:t>
      </w:r>
      <w:r>
        <w:t xml:space="preserve"> </w:t>
      </w:r>
      <w:r>
        <w:t xml:space="preserve">Progress</w:t>
      </w:r>
      <w:r>
        <w:t xml:space="preserve">, and</w:t>
      </w:r>
      <w:r>
        <w:t xml:space="preserve"> </w:t>
      </w:r>
      <w:r>
        <w:t xml:space="preserve">Emerging Priorities</w:t>
      </w:r>
      <w:r>
        <w:t xml:space="preserve"> </w:t>
      </w:r>
      <w:r>
        <w:t xml:space="preserve">in</w:t>
      </w:r>
      <w:r>
        <w:t xml:space="preserve"> </w:t>
      </w:r>
      <w:r>
        <w:t xml:space="preserve">Clinical Research</w:t>
      </w:r>
      <w:r>
        <w:t xml:space="preserve">.”</w:t>
      </w:r>
      <w:r>
        <w:t xml:space="preserve"> </w:t>
      </w:r>
      <w:r>
        <w:rPr>
          <w:iCs/>
          <w:i/>
        </w:rPr>
        <w:t xml:space="preserve">Annual Review of Clinical Psychology</w:t>
      </w:r>
      <w:r>
        <w:t xml:space="preserve"> </w:t>
      </w:r>
      <w:r>
        <w:t xml:space="preserve">16 (1): 401–30.</w:t>
      </w:r>
      <w:r>
        <w:t xml:space="preserve"> </w:t>
      </w:r>
      <w:hyperlink r:id="rId69">
        <w:r>
          <w:rPr>
            <w:rStyle w:val="Hyperlink"/>
          </w:rPr>
          <w:t xml:space="preserve">https://doi.org/10.1146/annurev-clinpsy-102419-125016</w:t>
        </w:r>
      </w:hyperlink>
      <w:r>
        <w:t xml:space="preserve">.</w:t>
      </w:r>
    </w:p>
    <w:bookmarkEnd w:id="70"/>
    <w:bookmarkStart w:id="72"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Cs/>
          <w:i/>
        </w:rPr>
        <w:t xml:space="preserve">Drug and Alcohol Dependence</w:t>
      </w:r>
      <w:r>
        <w:t xml:space="preserve"> </w:t>
      </w:r>
      <w:r>
        <w:t xml:space="preserve">86 (1): 1–21.</w:t>
      </w:r>
      <w:r>
        <w:t xml:space="preserve"> </w:t>
      </w:r>
      <w:hyperlink r:id="rId71">
        <w:r>
          <w:rPr>
            <w:rStyle w:val="Hyperlink"/>
          </w:rPr>
          <w:t xml:space="preserve">https://doi.org/10.1016/j.drugalcdep.2006.05.012</w:t>
        </w:r>
      </w:hyperlink>
      <w:r>
        <w:t xml:space="preserve">.</w:t>
      </w:r>
    </w:p>
    <w:bookmarkEnd w:id="72"/>
    <w:bookmarkStart w:id="73" w:name="ref-hsiehSampleSizeTables1989"/>
    <w:p>
      <w:pPr>
        <w:pStyle w:val="Bibliography"/>
      </w:pPr>
      <w:r>
        <w:t xml:space="preserve">Hsieh, F. 1989.</w:t>
      </w:r>
      <w:r>
        <w:t xml:space="preserve"> </w:t>
      </w:r>
      <w:r>
        <w:t xml:space="preserve">“Sample Size Tables for Logistic Regression.”</w:t>
      </w:r>
      <w:r>
        <w:t xml:space="preserve"> </w:t>
      </w:r>
      <w:r>
        <w:rPr>
          <w:iCs/>
          <w:i/>
        </w:rPr>
        <w:t xml:space="preserve">Statistics in Medicine</w:t>
      </w:r>
      <w:r>
        <w:t xml:space="preserve"> </w:t>
      </w:r>
      <w:r>
        <w:t xml:space="preserve">8: 795–802.</w:t>
      </w:r>
    </w:p>
    <w:bookmarkEnd w:id="73"/>
    <w:bookmarkStart w:id="75"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Cs/>
          <w:i/>
        </w:rPr>
        <w:t xml:space="preserve">JAMA Network Open</w:t>
      </w:r>
      <w:r>
        <w:t xml:space="preserve"> </w:t>
      </w:r>
      <w:r>
        <w:t xml:space="preserve">3 (5): e205852.</w:t>
      </w:r>
      <w:r>
        <w:t xml:space="preserve"> </w:t>
      </w:r>
      <w:hyperlink r:id="rId74">
        <w:r>
          <w:rPr>
            <w:rStyle w:val="Hyperlink"/>
          </w:rPr>
          <w:t xml:space="preserve">https://doi.org/10.1001/jamanetworkopen.2020.5852</w:t>
        </w:r>
      </w:hyperlink>
      <w:r>
        <w:t xml:space="preserve">.</w:t>
      </w:r>
    </w:p>
    <w:bookmarkEnd w:id="75"/>
    <w:bookmarkStart w:id="77" w:name="ref-kuhnAppliedPredictiveModeling2018"/>
    <w:p>
      <w:pPr>
        <w:pStyle w:val="Bibliography"/>
      </w:pPr>
      <w:r>
        <w:t xml:space="preserve">Kuhn, Max, and Kjell Johnson. 2018.</w:t>
      </w:r>
      <w:r>
        <w:t xml:space="preserve"> </w:t>
      </w:r>
      <w:r>
        <w:rPr>
          <w:iCs/>
          <w:i/>
        </w:rPr>
        <w:t xml:space="preserve">Applied</w:t>
      </w:r>
      <w:r>
        <w:rPr>
          <w:iCs/>
          <w:i/>
        </w:rPr>
        <w:t xml:space="preserve"> </w:t>
      </w:r>
      <w:r>
        <w:rPr>
          <w:iCs/>
          <w:i/>
        </w:rPr>
        <w:t xml:space="preserve">Predictive Modeling</w:t>
      </w:r>
      <w:r>
        <w:t xml:space="preserve">. 1st ed. 2013, Corr. 2nd printing 2018 edition. New York: Springer.</w:t>
      </w:r>
      <w:r>
        <w:t xml:space="preserve"> </w:t>
      </w:r>
      <w:hyperlink r:id="rId76">
        <w:r>
          <w:rPr>
            <w:rStyle w:val="Hyperlink"/>
          </w:rPr>
          <w:t xml:space="preserve">https://doi.org/10.1007/978-1-4614-6849-3</w:t>
        </w:r>
      </w:hyperlink>
      <w:r>
        <w:t xml:space="preserve">.</w:t>
      </w:r>
    </w:p>
    <w:bookmarkEnd w:id="77"/>
    <w:bookmarkStart w:id="78"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78"/>
    <w:bookmarkStart w:id="80"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Cs/>
          <w:i/>
        </w:rPr>
        <w:t xml:space="preserve">Electronic Journal of Statistics</w:t>
      </w:r>
      <w:r>
        <w:t xml:space="preserve"> </w:t>
      </w:r>
      <w:r>
        <w:t xml:space="preserve">11 (2): 5052–80.</w:t>
      </w:r>
      <w:r>
        <w:t xml:space="preserve"> </w:t>
      </w:r>
      <w:hyperlink r:id="rId79">
        <w:r>
          <w:rPr>
            <w:rStyle w:val="Hyperlink"/>
          </w:rPr>
          <w:t xml:space="preserve">https://doi.org/10.1214/17-EJS1338SI</w:t>
        </w:r>
      </w:hyperlink>
      <w:r>
        <w:t xml:space="preserve">.</w:t>
      </w:r>
    </w:p>
    <w:bookmarkEnd w:id="80"/>
    <w:bookmarkStart w:id="81"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Cs/>
          <w:i/>
        </w:rPr>
        <w:t xml:space="preserve">Proceedings of the 31st</w:t>
      </w:r>
      <w:r>
        <w:rPr>
          <w:iCs/>
          <w:i/>
        </w:rPr>
        <w:t xml:space="preserve"> </w:t>
      </w:r>
      <w:r>
        <w:rPr>
          <w:iCs/>
          <w:i/>
        </w:rPr>
        <w:t xml:space="preserve">International Conference</w:t>
      </w:r>
      <w:r>
        <w:rPr>
          <w:iCs/>
          <w:i/>
        </w:rPr>
        <w:t xml:space="preserve"> </w:t>
      </w:r>
      <w:r>
        <w:rPr>
          <w:iCs/>
          <w:i/>
        </w:rPr>
        <w:t xml:space="preserve">on</w:t>
      </w:r>
      <w:r>
        <w:rPr>
          <w:iCs/>
          <w:i/>
        </w:rPr>
        <w:t xml:space="preserve"> </w:t>
      </w:r>
      <w:r>
        <w:rPr>
          <w:iCs/>
          <w:i/>
        </w:rPr>
        <w:t xml:space="preserve">Neural Information Processing Systems</w:t>
      </w:r>
      <w:r>
        <w:t xml:space="preserve">, 4768–77.</w:t>
      </w:r>
      <w:r>
        <w:t xml:space="preserve"> </w:t>
      </w:r>
      <w:r>
        <w:t xml:space="preserve">NIPS</w:t>
      </w:r>
      <w:r>
        <w:t xml:space="preserve">’17. Red Hook, NY, USA: Curran Associates Inc.</w:t>
      </w:r>
    </w:p>
    <w:bookmarkEnd w:id="81"/>
    <w:bookmarkStart w:id="82" w:name="X0900e084d2d8751b94683f82b04534ea811d54e"/>
    <w:p>
      <w:pPr>
        <w:pStyle w:val="Bibliography"/>
      </w:pPr>
      <w:r>
        <w:t xml:space="preserve">Marlatt, G. Alan, and Judith R. Gordon, eds. 1985.</w:t>
      </w:r>
      <w:r>
        <w:t xml:space="preserve"> </w:t>
      </w:r>
      <w:r>
        <w:rPr>
          <w:iCs/>
          <w:i/>
        </w:rPr>
        <w:t xml:space="preserve">Relapse</w:t>
      </w:r>
      <w:r>
        <w:rPr>
          <w:iCs/>
          <w:i/>
        </w:rPr>
        <w:t xml:space="preserve"> </w:t>
      </w:r>
      <w:r>
        <w:rPr>
          <w:iCs/>
          <w:i/>
        </w:rPr>
        <w:t xml:space="preserve">Prevention</w:t>
      </w:r>
      <w:r>
        <w:rPr>
          <w:iCs/>
          <w:i/>
        </w:rPr>
        <w:t xml:space="preserve">:</w:t>
      </w:r>
      <w:r>
        <w:rPr>
          <w:iCs/>
          <w:i/>
        </w:rPr>
        <w:t xml:space="preserve"> </w:t>
      </w:r>
      <w:r>
        <w:rPr>
          <w:iCs/>
          <w:i/>
        </w:rPr>
        <w:t xml:space="preserve">Maintenance Strategies</w:t>
      </w:r>
      <w:r>
        <w:rPr>
          <w:iCs/>
          <w:i/>
        </w:rPr>
        <w:t xml:space="preserve"> </w:t>
      </w:r>
      <w:r>
        <w:rPr>
          <w:iCs/>
          <w:i/>
        </w:rPr>
        <w:t xml:space="preserve">in the</w:t>
      </w:r>
      <w:r>
        <w:rPr>
          <w:iCs/>
          <w:i/>
        </w:rPr>
        <w:t xml:space="preserve"> </w:t>
      </w:r>
      <w:r>
        <w:rPr>
          <w:iCs/>
          <w:i/>
        </w:rPr>
        <w:t xml:space="preserve">Treatment</w:t>
      </w:r>
      <w:r>
        <w:rPr>
          <w:iCs/>
          <w:i/>
        </w:rPr>
        <w:t xml:space="preserve"> </w:t>
      </w:r>
      <w:r>
        <w:rPr>
          <w:iCs/>
          <w:i/>
        </w:rPr>
        <w:t xml:space="preserve">of</w:t>
      </w:r>
      <w:r>
        <w:rPr>
          <w:iCs/>
          <w:i/>
        </w:rPr>
        <w:t xml:space="preserve"> </w:t>
      </w:r>
      <w:r>
        <w:rPr>
          <w:iCs/>
          <w:i/>
        </w:rPr>
        <w:t xml:space="preserve">Addictive Behaviors</w:t>
      </w:r>
      <w:r>
        <w:t xml:space="preserve">. First edition. New York: The Guilford Press.</w:t>
      </w:r>
    </w:p>
    <w:bookmarkEnd w:id="82"/>
    <w:bookmarkStart w:id="84" w:name="ref-mohrPersonalSensingUnderstanding2017"/>
    <w:p>
      <w:pPr>
        <w:pStyle w:val="Bibliography"/>
      </w:pPr>
      <w:r>
        <w:t xml:space="preserve">Mohr, David C., Mi Zhang, and Stephen M. Schueller. 2017.</w:t>
      </w:r>
      <w:r>
        <w:t xml:space="preserve"> </w:t>
      </w:r>
      <w:r>
        <w:t xml:space="preserve">“Personal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Cs/>
          <w:i/>
        </w:rPr>
        <w:t xml:space="preserve">Annual Review of Clinical Psychology</w:t>
      </w:r>
      <w:r>
        <w:t xml:space="preserve"> </w:t>
      </w:r>
      <w:r>
        <w:t xml:space="preserve">13 (1): 23–47.</w:t>
      </w:r>
      <w:r>
        <w:t xml:space="preserve"> </w:t>
      </w:r>
      <w:hyperlink r:id="rId83">
        <w:r>
          <w:rPr>
            <w:rStyle w:val="Hyperlink"/>
          </w:rPr>
          <w:t xml:space="preserve">https://doi.org/10.1146/annurev-clinpsy-032816-044949</w:t>
        </w:r>
      </w:hyperlink>
      <w:r>
        <w:t xml:space="preserve">.</w:t>
      </w:r>
    </w:p>
    <w:bookmarkEnd w:id="84"/>
    <w:bookmarkStart w:id="86"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Cs/>
          <w:i/>
        </w:rPr>
        <w:t xml:space="preserve">Journal of Substance Abuse Treatment</w:t>
      </w:r>
      <w:r>
        <w:t xml:space="preserve"> </w:t>
      </w:r>
      <w:r>
        <w:t xml:space="preserve">137 (June): 108710.</w:t>
      </w:r>
      <w:r>
        <w:t xml:space="preserve"> </w:t>
      </w:r>
      <w:hyperlink r:id="rId85">
        <w:r>
          <w:rPr>
            <w:rStyle w:val="Hyperlink"/>
          </w:rPr>
          <w:t xml:space="preserve">https://doi.org/10.1016/j.jsat.2021.108710</w:t>
        </w:r>
      </w:hyperlink>
      <w:r>
        <w:t xml:space="preserve">.</w:t>
      </w:r>
    </w:p>
    <w:bookmarkEnd w:id="86"/>
    <w:bookmarkStart w:id="88"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Cs/>
          <w:i/>
        </w:rPr>
        <w:t xml:space="preserve">Drug and Alcohol Dependence</w:t>
      </w:r>
      <w:r>
        <w:t xml:space="preserve"> </w:t>
      </w:r>
      <w:r>
        <w:t xml:space="preserve">202 (September): 162–67.</w:t>
      </w:r>
      <w:r>
        <w:t xml:space="preserve"> </w:t>
      </w:r>
      <w:hyperlink r:id="rId87">
        <w:r>
          <w:rPr>
            <w:rStyle w:val="Hyperlink"/>
          </w:rPr>
          <w:t xml:space="preserve">https://doi.org/10.1016/j.drugalcdep.2019.05.017</w:t>
        </w:r>
      </w:hyperlink>
      <w:r>
        <w:t xml:space="preserve">.</w:t>
      </w:r>
    </w:p>
    <w:bookmarkEnd w:id="88"/>
    <w:bookmarkStart w:id="90"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Cs/>
          <w:i/>
        </w:rPr>
        <w:t xml:space="preserve">Psychology of Addictive Behaviors: Journal of the Society of Psychologists in Addictive Behaviors</w:t>
      </w:r>
      <w:r>
        <w:t xml:space="preserve"> </w:t>
      </w:r>
      <w:r>
        <w:t xml:space="preserve">36 (3): 296–306.</w:t>
      </w:r>
      <w:r>
        <w:t xml:space="preserve"> </w:t>
      </w:r>
      <w:hyperlink r:id="rId89">
        <w:r>
          <w:rPr>
            <w:rStyle w:val="Hyperlink"/>
          </w:rPr>
          <w:t xml:space="preserve">https://doi.org/10.1037/adb0000666</w:t>
        </w:r>
      </w:hyperlink>
      <w:r>
        <w:t xml:space="preserve">.</w:t>
      </w:r>
    </w:p>
    <w:bookmarkEnd w:id="90"/>
    <w:bookmarkStart w:id="92"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Cs/>
          <w:i/>
        </w:rPr>
        <w:t xml:space="preserve">Journal of Substance Abuse Treatment</w:t>
      </w:r>
      <w:r>
        <w:t xml:space="preserve"> </w:t>
      </w:r>
      <w:r>
        <w:t xml:space="preserve">127 (August): 108417.</w:t>
      </w:r>
      <w:r>
        <w:t xml:space="preserve"> </w:t>
      </w:r>
      <w:hyperlink r:id="rId91">
        <w:r>
          <w:rPr>
            <w:rStyle w:val="Hyperlink"/>
          </w:rPr>
          <w:t xml:space="preserve">https://doi.org/10.1016/j.jsat.2021.108417</w:t>
        </w:r>
      </w:hyperlink>
      <w:r>
        <w:t xml:space="preserve">.</w:t>
      </w:r>
    </w:p>
    <w:bookmarkEnd w:id="92"/>
    <w:bookmarkStart w:id="94"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Cs/>
          <w:i/>
        </w:rPr>
        <w:t xml:space="preserve">American Psychologist</w:t>
      </w:r>
      <w:r>
        <w:t xml:space="preserve"> </w:t>
      </w:r>
      <w:r>
        <w:t xml:space="preserve">59 (4): 224–35.</w:t>
      </w:r>
      <w:r>
        <w:t xml:space="preserve"> </w:t>
      </w:r>
      <w:hyperlink r:id="rId93">
        <w:r>
          <w:rPr>
            <w:rStyle w:val="Hyperlink"/>
          </w:rPr>
          <w:t xml:space="preserve">https://doi.org/10.1037/0003-066X.59.4.224</w:t>
        </w:r>
      </w:hyperlink>
      <w:r>
        <w:t xml:space="preserve">.</w:t>
      </w:r>
    </w:p>
    <w:bookmarkEnd w:id="94"/>
    <w:bookmarkStart w:id="96"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Cs/>
          <w:i/>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95">
        <w:r>
          <w:rPr>
            <w:rStyle w:val="Hyperlink"/>
          </w:rPr>
          <w:t xml:space="preserve">https://doi.org/10.1016/j.cpr.2007.01.002</w:t>
        </w:r>
      </w:hyperlink>
      <w:r>
        <w:t xml:space="preserve">.</w:t>
      </w:r>
    </w:p>
    <w:bookmarkEnd w:id="96"/>
    <w:bookmarkStart w:id="98"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Cs/>
          <w:i/>
        </w:rPr>
        <w:t xml:space="preserve">JMIR mHealth and uHealth</w:t>
      </w:r>
      <w:r>
        <w:t xml:space="preserve"> </w:t>
      </w:r>
      <w:r>
        <w:t xml:space="preserve">11 (1): e41833.</w:t>
      </w:r>
      <w:r>
        <w:t xml:space="preserve"> </w:t>
      </w:r>
      <w:hyperlink r:id="rId97">
        <w:r>
          <w:rPr>
            <w:rStyle w:val="Hyperlink"/>
          </w:rPr>
          <w:t xml:space="preserve">https://doi.org/10.2196/41833</w:t>
        </w:r>
      </w:hyperlink>
      <w:r>
        <w:t xml:space="preserve">.</w:t>
      </w:r>
    </w:p>
    <w:bookmarkEnd w:id="98"/>
    <w:bookmarkStart w:id="100" w:name="ref-wyantMachineLearningModels2023"/>
    <w:p>
      <w:pPr>
        <w:pStyle w:val="Bibliography"/>
      </w:pPr>
      <w:r>
        <w:t xml:space="preserve">Wyant, Kendra, Sarah June Kittleson Sant’Ana, Gaylen Fronk, and John J. Curtin. n.d.</w:t>
      </w:r>
      <w:r>
        <w:t xml:space="preserve"> </w:t>
      </w:r>
      <w:r>
        <w:t xml:space="preserve">“Machine Learning Models for Temporally Precise Lapse Prediction in Alcohol Use Disorder.”</w:t>
      </w:r>
      <w:r>
        <w:t xml:space="preserve"> </w:t>
      </w:r>
      <w:r>
        <w:rPr>
          <w:iCs/>
          <w:i/>
        </w:rPr>
        <w:t xml:space="preserve">Psychopathology and Clinical Science</w:t>
      </w:r>
      <w:r>
        <w:t xml:space="preserve">. Accessed September 27, 2023.</w:t>
      </w:r>
      <w:r>
        <w:t xml:space="preserve"> </w:t>
      </w:r>
      <w:hyperlink r:id="rId99">
        <w:r>
          <w:rPr>
            <w:rStyle w:val="Hyperlink"/>
          </w:rPr>
          <w:t xml:space="preserve">https://doi.org/10.31234/osf.io/cgsf7</w:t>
        </w:r>
      </w:hyperlink>
      <w:r>
        <w:t xml:space="preserve">.</w:t>
      </w:r>
    </w:p>
    <w:bookmarkEnd w:id="100"/>
    <w:bookmarkEnd w:id="101"/>
    <w:bookmarkEnd w:id="102"/>
    <w:bookmarkEnd w:id="1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hyperlink" Id="rId74" Target="https://doi.org/10.1001/jamanetworkopen.2020.5852" TargetMode="External" /><Relationship Type="http://schemas.openxmlformats.org/officeDocument/2006/relationships/hyperlink" Id="rId76" Target="https://doi.org/10.1007/978-1-4614-6849-3" TargetMode="External" /><Relationship Type="http://schemas.openxmlformats.org/officeDocument/2006/relationships/hyperlink" Id="rId61" Target="https://doi.org/10.1007/s10488-016-0718-5" TargetMode="External" /><Relationship Type="http://schemas.openxmlformats.org/officeDocument/2006/relationships/hyperlink" Id="rId59" Target="https://doi.org/10.1016/j.addbeh.2017.11.039" TargetMode="External" /><Relationship Type="http://schemas.openxmlformats.org/officeDocument/2006/relationships/hyperlink" Id="rId67" Target="https://doi.org/10.1016/j.brat.2019.103506" TargetMode="External" /><Relationship Type="http://schemas.openxmlformats.org/officeDocument/2006/relationships/hyperlink" Id="rId95" Target="https://doi.org/10.1016/j.cpr.2007.01.002" TargetMode="External" /><Relationship Type="http://schemas.openxmlformats.org/officeDocument/2006/relationships/hyperlink" Id="rId71" Target="https://doi.org/10.1016/j.drugalcdep.2006.05.012" TargetMode="External" /><Relationship Type="http://schemas.openxmlformats.org/officeDocument/2006/relationships/hyperlink" Id="rId87" Target="https://doi.org/10.1016/j.drugalcdep.2019.05.017" TargetMode="External" /><Relationship Type="http://schemas.openxmlformats.org/officeDocument/2006/relationships/hyperlink" Id="rId65" Target="https://doi.org/10.1016/j.jsat.2013.08.004" TargetMode="External" /><Relationship Type="http://schemas.openxmlformats.org/officeDocument/2006/relationships/hyperlink" Id="rId91" Target="https://doi.org/10.1016/j.jsat.2021.108417" TargetMode="External" /><Relationship Type="http://schemas.openxmlformats.org/officeDocument/2006/relationships/hyperlink" Id="rId85" Target="https://doi.org/10.1016/j.jsat.2021.108710" TargetMode="External" /><Relationship Type="http://schemas.openxmlformats.org/officeDocument/2006/relationships/hyperlink" Id="rId93" Target="https://doi.org/10.1037/0003-066X.59.4.224" TargetMode="External" /><Relationship Type="http://schemas.openxmlformats.org/officeDocument/2006/relationships/hyperlink" Id="rId89" Target="https://doi.org/10.1037/adb0000666" TargetMode="External" /><Relationship Type="http://schemas.openxmlformats.org/officeDocument/2006/relationships/hyperlink" Id="rId83" Target="https://doi.org/10.1146/annurev-clinpsy-032816-044949" TargetMode="External" /><Relationship Type="http://schemas.openxmlformats.org/officeDocument/2006/relationships/hyperlink" Id="rId69" Target="https://doi.org/10.1146/annurev-clinpsy-102419-125016" TargetMode="External" /><Relationship Type="http://schemas.openxmlformats.org/officeDocument/2006/relationships/hyperlink" Id="rId79" Target="https://doi.org/10.1214/17-EJS1338SI" TargetMode="External" /><Relationship Type="http://schemas.openxmlformats.org/officeDocument/2006/relationships/hyperlink" Id="rId63" Target="https://doi.org/10.21231/GNT1-HW21" TargetMode="External" /><Relationship Type="http://schemas.openxmlformats.org/officeDocument/2006/relationships/hyperlink" Id="rId97" Target="https://doi.org/10.2196/41833" TargetMode="External" /><Relationship Type="http://schemas.openxmlformats.org/officeDocument/2006/relationships/hyperlink" Id="rId99"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42" Target="https://jjcurtin.github.io/study_lag/notebooks\mak_tables-preview.html#cell-demopdf" TargetMode="External" /><Relationship Type="http://schemas.openxmlformats.org/officeDocument/2006/relationships/hyperlink" Id="rId40" Target="https://jjcurtin.github.io/study_lag/notebooks\mak_tables-preview.html#cell-tbl-demopdf" TargetMode="External" /><Relationship Type="http://schemas.openxmlformats.org/officeDocument/2006/relationships/hyperlink" Id="rId54" Target="https://jjcurtin.github.io/study_lag/notebooks\mak_tables-preview.html#cell-tbl-fairness"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74" Target="https://doi.org/10.1001/jamanetworkopen.2020.5852" TargetMode="External" /><Relationship Type="http://schemas.openxmlformats.org/officeDocument/2006/relationships/hyperlink" Id="rId76" Target="https://doi.org/10.1007/978-1-4614-6849-3" TargetMode="External" /><Relationship Type="http://schemas.openxmlformats.org/officeDocument/2006/relationships/hyperlink" Id="rId61" Target="https://doi.org/10.1007/s10488-016-0718-5" TargetMode="External" /><Relationship Type="http://schemas.openxmlformats.org/officeDocument/2006/relationships/hyperlink" Id="rId59" Target="https://doi.org/10.1016/j.addbeh.2017.11.039" TargetMode="External" /><Relationship Type="http://schemas.openxmlformats.org/officeDocument/2006/relationships/hyperlink" Id="rId67" Target="https://doi.org/10.1016/j.brat.2019.103506" TargetMode="External" /><Relationship Type="http://schemas.openxmlformats.org/officeDocument/2006/relationships/hyperlink" Id="rId95" Target="https://doi.org/10.1016/j.cpr.2007.01.002" TargetMode="External" /><Relationship Type="http://schemas.openxmlformats.org/officeDocument/2006/relationships/hyperlink" Id="rId71" Target="https://doi.org/10.1016/j.drugalcdep.2006.05.012" TargetMode="External" /><Relationship Type="http://schemas.openxmlformats.org/officeDocument/2006/relationships/hyperlink" Id="rId87" Target="https://doi.org/10.1016/j.drugalcdep.2019.05.017" TargetMode="External" /><Relationship Type="http://schemas.openxmlformats.org/officeDocument/2006/relationships/hyperlink" Id="rId65" Target="https://doi.org/10.1016/j.jsat.2013.08.004" TargetMode="External" /><Relationship Type="http://schemas.openxmlformats.org/officeDocument/2006/relationships/hyperlink" Id="rId91" Target="https://doi.org/10.1016/j.jsat.2021.108417" TargetMode="External" /><Relationship Type="http://schemas.openxmlformats.org/officeDocument/2006/relationships/hyperlink" Id="rId85" Target="https://doi.org/10.1016/j.jsat.2021.108710" TargetMode="External" /><Relationship Type="http://schemas.openxmlformats.org/officeDocument/2006/relationships/hyperlink" Id="rId93" Target="https://doi.org/10.1037/0003-066X.59.4.224" TargetMode="External" /><Relationship Type="http://schemas.openxmlformats.org/officeDocument/2006/relationships/hyperlink" Id="rId89" Target="https://doi.org/10.1037/adb0000666" TargetMode="External" /><Relationship Type="http://schemas.openxmlformats.org/officeDocument/2006/relationships/hyperlink" Id="rId83" Target="https://doi.org/10.1146/annurev-clinpsy-032816-044949" TargetMode="External" /><Relationship Type="http://schemas.openxmlformats.org/officeDocument/2006/relationships/hyperlink" Id="rId69" Target="https://doi.org/10.1146/annurev-clinpsy-102419-125016" TargetMode="External" /><Relationship Type="http://schemas.openxmlformats.org/officeDocument/2006/relationships/hyperlink" Id="rId79" Target="https://doi.org/10.1214/17-EJS1338SI" TargetMode="External" /><Relationship Type="http://schemas.openxmlformats.org/officeDocument/2006/relationships/hyperlink" Id="rId63" Target="https://doi.org/10.21231/GNT1-HW21" TargetMode="External" /><Relationship Type="http://schemas.openxmlformats.org/officeDocument/2006/relationships/hyperlink" Id="rId97" Target="https://doi.org/10.2196/41833" TargetMode="External" /><Relationship Type="http://schemas.openxmlformats.org/officeDocument/2006/relationships/hyperlink" Id="rId99"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42" Target="https://jjcurtin.github.io/study_lag/notebooks\mak_tables-preview.html#cell-demopdf" TargetMode="External" /><Relationship Type="http://schemas.openxmlformats.org/officeDocument/2006/relationships/hyperlink" Id="rId40" Target="https://jjcurtin.github.io/study_lag/notebooks\mak_tables-preview.html#cell-tbl-demopdf" TargetMode="External" /><Relationship Type="http://schemas.openxmlformats.org/officeDocument/2006/relationships/hyperlink" Id="rId54" Target="https://jjcurtin.github.io/study_lag/notebooks\mak_tables-preview.html#cell-tbl-fairness"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Jiachen (Coco) Yu; Gaylen E. Fronk; John J. Curtin</dc:creator>
  <cp:keywords>Substance use disorders, Precision mental health</cp:keywords>
  <dcterms:created xsi:type="dcterms:W3CDTF">2024-06-07T16:29:26Z</dcterms:created>
  <dcterms:modified xsi:type="dcterms:W3CDTF">2024-06-07T16:29:26Z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found some pretty cool results that have both high impact and important clinical implications. For example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2024-06-07</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