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37"/>
    <w:bookmarkEnd w:id="38"/>
    <w:bookmarkEnd w:id="39"/>
    <w:bookmarkEnd w:id="40"/>
    <w:bookmarkStart w:id="100"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1-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3"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1</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3"/>
    <w:bookmarkStart w:id="59"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2</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shap"/>
          <w:p>
            <w:pPr>
              <w:pStyle w:val="Compact"/>
              <w:jc w:val="center"/>
            </w:pPr>
            <w:r>
              <w:drawing>
                <wp:inline>
                  <wp:extent cx="5334000" cy="3333749"/>
                  <wp:effectExtent b="0" l="0" r="0" t="0"/>
                  <wp:docPr descr="" title="" id="55" name="Picture"/>
                  <a:graphic>
                    <a:graphicData uri="http://schemas.openxmlformats.org/drawingml/2006/picture">
                      <pic:pic>
                        <pic:nvPicPr>
                          <pic:cNvPr descr="index_files/figure-docx/notebooks-mak_figures-fig-shap-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Start w:id="60"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0"/>
    <w:bookmarkStart w:id="99" w:name="references"/>
    <w:p>
      <w:pPr>
        <w:pStyle w:val="Heading2"/>
      </w:pPr>
      <w:r>
        <w:t xml:space="preserve">References</w:t>
      </w:r>
    </w:p>
    <w:bookmarkStart w:id="98" w:name="refs"/>
    <w:bookmarkStart w:id="6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1">
        <w:r>
          <w:rPr>
            <w:rStyle w:val="Hyperlink"/>
          </w:rPr>
          <w:t xml:space="preserve">https://doi.org/10.1016/j.addbeh.2017.11.039</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69">
        <w:r>
          <w:rPr>
            <w:rStyle w:val="Hyperlink"/>
          </w:rPr>
          <w:t xml:space="preserve">https://doi.org/10.1016/j.drugalcdep.2006.05.012</w:t>
        </w:r>
      </w:hyperlink>
      <w:r>
        <w:t xml:space="preserve">.</w:t>
      </w:r>
    </w:p>
    <w:bookmarkEnd w:id="70"/>
    <w:bookmarkStart w:id="71"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1"/>
    <w:bookmarkStart w:id="73"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2">
        <w:r>
          <w:rPr>
            <w:rStyle w:val="Hyperlink"/>
          </w:rPr>
          <w:t xml:space="preserve">https://doi.org/10.1001/jamanetworkopen.2020.5852</w:t>
        </w:r>
      </w:hyperlink>
      <w:r>
        <w:t xml:space="preserve">.</w:t>
      </w:r>
    </w:p>
    <w:bookmarkEnd w:id="73"/>
    <w:bookmarkStart w:id="7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4">
        <w:r>
          <w:rPr>
            <w:rStyle w:val="Hyperlink"/>
          </w:rPr>
          <w:t xml:space="preserve">https://doi.org/10.1007/978-1-4614-6849-3</w:t>
        </w:r>
      </w:hyperlink>
      <w:r>
        <w:t xml:space="preserve">.</w:t>
      </w:r>
    </w:p>
    <w:bookmarkEnd w:id="75"/>
    <w:bookmarkStart w:id="7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6"/>
    <w:bookmarkStart w:id="7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7">
        <w:r>
          <w:rPr>
            <w:rStyle w:val="Hyperlink"/>
          </w:rPr>
          <w:t xml:space="preserve">https://doi.org/10.1214/17-EJS1338SI</w:t>
        </w:r>
      </w:hyperlink>
      <w:r>
        <w:t xml:space="preserve">.</w:t>
      </w:r>
    </w:p>
    <w:bookmarkEnd w:id="78"/>
    <w:bookmarkStart w:id="7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79"/>
    <w:bookmarkStart w:id="8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0"/>
    <w:bookmarkStart w:id="8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1">
        <w:r>
          <w:rPr>
            <w:rStyle w:val="Hyperlink"/>
          </w:rPr>
          <w:t xml:space="preserve">https://doi.org/10.1016/j.jsat.2021.108710</w:t>
        </w:r>
      </w:hyperlink>
      <w:r>
        <w:t xml:space="preserve">.</w:t>
      </w:r>
    </w:p>
    <w:bookmarkEnd w:id="82"/>
    <w:bookmarkStart w:id="8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3">
        <w:r>
          <w:rPr>
            <w:rStyle w:val="Hyperlink"/>
          </w:rPr>
          <w:t xml:space="preserve">https://doi.org/10.1016/j.drugalcdep.2019.05.017</w:t>
        </w:r>
      </w:hyperlink>
      <w:r>
        <w:t xml:space="preserve">.</w:t>
      </w:r>
    </w:p>
    <w:bookmarkEnd w:id="84"/>
    <w:bookmarkStart w:id="8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2024-07-30T12:42:40Z</dcterms:created>
  <dcterms:modified xsi:type="dcterms:W3CDTF">2024-07-30T12:42:40Z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