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9.jpg" ContentType="image/jpe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Lagged</w:t>
      </w:r>
      <w:r>
        <w:t xml:space="preserve"> </w:t>
      </w:r>
      <w:r>
        <w:t xml:space="preserve">Predictions</w:t>
      </w:r>
      <w:r>
        <w:t xml:space="preserve"> </w:t>
      </w:r>
      <w:r>
        <w:t xml:space="preserve">of</w:t>
      </w:r>
      <w:r>
        <w:t xml:space="preserve"> </w:t>
      </w:r>
      <w:r>
        <w:t xml:space="preserve">Next</w:t>
      </w:r>
      <w:r>
        <w:t xml:space="preserve"> </w:t>
      </w:r>
      <w:r>
        <w:t xml:space="preserve">Week</w:t>
      </w:r>
      <w:r>
        <w:t xml:space="preserve"> </w:t>
      </w:r>
      <w:r>
        <w:t xml:space="preserve">Alcohol</w:t>
      </w:r>
      <w:r>
        <w:t xml:space="preserve"> </w:t>
      </w:r>
      <w:r>
        <w:t xml:space="preserve">Use</w:t>
      </w:r>
      <w:r>
        <w:t xml:space="preserve"> </w:t>
      </w:r>
      <w:r>
        <w:t xml:space="preserve">for</w:t>
      </w:r>
      <w:r>
        <w:t xml:space="preserve"> </w:t>
      </w:r>
      <w:r>
        <w:t xml:space="preserve">Precision</w:t>
      </w:r>
      <w:r>
        <w:t xml:space="preserve"> </w:t>
      </w:r>
      <w:r>
        <w:t xml:space="preserve">Mental</w:t>
      </w:r>
      <w:r>
        <w:t xml:space="preserve"> </w:t>
      </w:r>
      <w:r>
        <w:t xml:space="preserve">Health</w:t>
      </w:r>
      <w:r>
        <w:t xml:space="preserve"> </w:t>
      </w:r>
      <w:r>
        <w:t xml:space="preserve">Support</w:t>
      </w:r>
    </w:p>
    <w:p>
      <w:pPr>
        <w:pStyle w:val="Author"/>
      </w:pPr>
      <w:r>
        <w:t xml:space="preserve">Kendra</w:t>
      </w:r>
      <w:r>
        <w:t xml:space="preserve"> </w:t>
      </w:r>
      <w:r>
        <w:t xml:space="preserve">Wyant</w:t>
      </w:r>
    </w:p>
    <w:p>
      <w:pPr>
        <w:pStyle w:val="Author"/>
      </w:pPr>
      <w:r>
        <w:t xml:space="preserve">Gaylen</w:t>
      </w:r>
      <w:r>
        <w:t xml:space="preserve"> </w:t>
      </w:r>
      <w:r>
        <w:t xml:space="preserve">E.</w:t>
      </w:r>
      <w:r>
        <w:t xml:space="preserve"> </w:t>
      </w:r>
      <w:r>
        <w:t xml:space="preserve">Fronk</w:t>
      </w:r>
    </w:p>
    <w:p>
      <w:pPr>
        <w:pStyle w:val="Author"/>
      </w:pPr>
      <w:r>
        <w:t xml:space="preserve">Jiachen</w:t>
      </w:r>
      <w:r>
        <w:t xml:space="preserve"> </w:t>
      </w:r>
      <w:r>
        <w:t xml:space="preserve">Yu</w:t>
      </w:r>
    </w:p>
    <w:p>
      <w:pPr>
        <w:pStyle w:val="Author"/>
      </w:pPr>
      <w:r>
        <w:t xml:space="preserve">John</w:t>
      </w:r>
      <w:r>
        <w:t xml:space="preserve"> </w:t>
      </w:r>
      <w:r>
        <w:t xml:space="preserve">J.</w:t>
      </w:r>
      <w:r>
        <w:t xml:space="preserve"> </w:t>
      </w:r>
      <w:r>
        <w:t xml:space="preserve">Curtin</w:t>
      </w:r>
    </w:p>
    <w:p>
      <w:pPr>
        <w:pStyle w:val="Date"/>
      </w:pPr>
      <w:r>
        <w:t xml:space="preserve">2024-08-02</w:t>
      </w:r>
    </w:p>
    <w:p>
      <w:pPr>
        <w:pStyle w:val="AbstractTitle"/>
      </w:pPr>
      <w:r>
        <w:t xml:space="preserve">Abstract</w:t>
      </w:r>
    </w:p>
    <w:p>
      <w:pPr>
        <w:pStyle w:val="Abstract"/>
      </w:pPr>
      <w:r>
        <w:t xml:space="preserve">This</w:t>
      </w:r>
      <w:r>
        <w:t xml:space="preserve"> </w:t>
      </w:r>
      <w:r>
        <w:t xml:space="preserve">study</w:t>
      </w:r>
      <w:r>
        <w:t xml:space="preserve"> </w:t>
      </w:r>
      <w:r>
        <w:t xml:space="preserve">found</w:t>
      </w:r>
      <w:r>
        <w:t xml:space="preserve"> </w:t>
      </w:r>
      <w:r>
        <w:t xml:space="preserve">some</w:t>
      </w:r>
      <w:r>
        <w:t xml:space="preserve"> </w:t>
      </w:r>
      <w:r>
        <w:t xml:space="preserve">pretty</w:t>
      </w:r>
      <w:r>
        <w:t xml:space="preserve"> </w:t>
      </w:r>
      <w:r>
        <w:t xml:space="preserve">cool</w:t>
      </w:r>
      <w:r>
        <w:t xml:space="preserve"> </w:t>
      </w:r>
      <w:r>
        <w:t xml:space="preserve">results</w:t>
      </w:r>
      <w:r>
        <w:t xml:space="preserve"> </w:t>
      </w:r>
      <w:r>
        <w:t xml:space="preserve">that</w:t>
      </w:r>
      <w:r>
        <w:t xml:space="preserve"> </w:t>
      </w:r>
      <w:r>
        <w:t xml:space="preserve">have</w:t>
      </w:r>
      <w:r>
        <w:t xml:space="preserve"> </w:t>
      </w:r>
      <w:r>
        <w:t xml:space="preserve">both</w:t>
      </w:r>
      <w:r>
        <w:t xml:space="preserve"> </w:t>
      </w:r>
      <w:r>
        <w:t xml:space="preserve">high</w:t>
      </w:r>
      <w:r>
        <w:t xml:space="preserve"> </w:t>
      </w:r>
      <w:r>
        <w:t xml:space="preserve">impact</w:t>
      </w:r>
      <w:r>
        <w:t xml:space="preserve"> </w:t>
      </w:r>
      <w:r>
        <w:t xml:space="preserve">and</w:t>
      </w:r>
      <w:r>
        <w:t xml:space="preserve"> </w:t>
      </w:r>
      <w:r>
        <w:t xml:space="preserve">important</w:t>
      </w:r>
      <w:r>
        <w:t xml:space="preserve"> </w:t>
      </w:r>
      <w:r>
        <w:t xml:space="preserve">clinical</w:t>
      </w:r>
      <w:r>
        <w:t xml:space="preserve"> </w:t>
      </w:r>
      <w:r>
        <w:t xml:space="preserve">implications.</w:t>
      </w:r>
      <w:r>
        <w:t xml:space="preserve"> </w:t>
      </w:r>
      <w:r>
        <w:t xml:space="preserve">For</w:t>
      </w:r>
      <w:r>
        <w:t xml:space="preserve"> </w:t>
      </w:r>
      <w:r>
        <w:t xml:space="preserve">example</w:t>
      </w:r>
      <w:r>
        <w:t xml:space="preserve"> </w:t>
      </w:r>
      <w:r>
        <w:t xml:space="preserve">…</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1" w:name="introduction"/>
    <w:p>
      <w:pPr>
        <w:pStyle w:val="Heading1"/>
      </w:pPr>
      <w:r>
        <w:t xml:space="preserve">Introduction</w:t>
      </w:r>
    </w:p>
    <w:p>
      <w:pPr>
        <w:pStyle w:val="FirstParagraph"/>
      </w:pPr>
      <w:r>
        <w:t xml:space="preserve">Precision medicine has been a goal in healthcare for over half a century</w:t>
      </w:r>
      <w:r>
        <w:t xml:space="preserve"> </w:t>
      </w:r>
      <w:r>
        <w:t xml:space="preserve">(DeRubeis 2019)</w:t>
      </w:r>
      <w:r>
        <w:t xml:space="preserve">. Traditionally, precision medicine seeks to answer the question of</w:t>
      </w:r>
      <w:r>
        <w:t xml:space="preserve"> </w:t>
      </w:r>
      <w:r>
        <w:rPr>
          <w:i/>
          <w:iCs/>
        </w:rPr>
        <w:t xml:space="preserve">how</w:t>
      </w:r>
      <w:r>
        <w:t xml:space="preserve"> </w:t>
      </w:r>
      <w:r>
        <w:t xml:space="preserve">we best treat a specific individual, given their unique combination of genetic, lifestyle, and environmental characteristics (e.g., which medication is most effective for whom).</w:t>
      </w:r>
    </w:p>
    <w:p>
      <w:pPr>
        <w:pStyle w:val="BodyText"/>
      </w:pPr>
      <w:r>
        <w:t xml:space="preserve">Today, this approach is also applied to chronic mental health conditions (i.e., precision mental health) such as depression, substance use disorders, and suicide. Mental health conditions are complex, fluctuating processes. Medical conditions often have clear biological precursors, which may be treated well with a single medication. In contrast, mental health conditions are products of numerous psychosocial factors, and treatments must be selected from a wide array of psychosocial supports. Moreover, the factors driving mental health conditions differ between individuals and can change within an individual over time. Thus, precision mental health must consider both the</w:t>
      </w:r>
      <w:r>
        <w:t xml:space="preserve"> </w:t>
      </w:r>
      <w:r>
        <w:rPr>
          <w:i/>
          <w:iCs/>
        </w:rPr>
        <w:t xml:space="preserve">how</w:t>
      </w:r>
      <w:r>
        <w:t xml:space="preserve"> </w:t>
      </w:r>
      <w:r>
        <w:t xml:space="preserve">and the</w:t>
      </w:r>
      <w:r>
        <w:t xml:space="preserve"> </w:t>
      </w:r>
      <w:r>
        <w:rPr>
          <w:i/>
          <w:iCs/>
        </w:rPr>
        <w:t xml:space="preserve">when</w:t>
      </w:r>
      <w:r>
        <w:t xml:space="preserve"> </w:t>
      </w:r>
      <w:r>
        <w:t xml:space="preserve">(e.g., which treatment is most effective for whom at what moment).</w:t>
      </w:r>
    </w:p>
    <w:p>
      <w:pPr>
        <w:pStyle w:val="BodyText"/>
      </w:pPr>
      <w:r>
        <w:t xml:space="preserve">There has been long-standing interest in precision mental health and substance use disorders. An early example is the Project MATCH research group, which attempted to match individuals with alcohol use disorder to their optimal treatment based on baseline measures of individual characteristics</w:t>
      </w:r>
      <w:r>
        <w:t xml:space="preserve"> </w:t>
      </w:r>
      <w:r>
        <w:t xml:space="preserve">(Project Match Research Group 1997)</w:t>
      </w:r>
      <w:r>
        <w:t xml:space="preserve">. The study did not find any differences in treatment success. This can likely be attributed to 1) low-dimensional analyses that failed to capture the complex and heterogeneous nature of substance use disorders; and 2) their use of static distal features to predict a non-linear, time-varying course of recovery, lapse, and relapse</w:t>
      </w:r>
      <w:r>
        <w:t xml:space="preserve"> </w:t>
      </w:r>
      <w:r>
        <w:t xml:space="preserve">(Witkiewitz and Marlatt 2007)</w:t>
      </w:r>
      <w:r>
        <w:t xml:space="preserve">. In other words, they used overly simplistic models to address the question of</w:t>
      </w:r>
      <w:r>
        <w:t xml:space="preserve"> </w:t>
      </w:r>
      <w:r>
        <w:rPr>
          <w:i/>
          <w:iCs/>
        </w:rPr>
        <w:t xml:space="preserve">how</w:t>
      </w:r>
      <w:r>
        <w:t xml:space="preserve"> </w:t>
      </w:r>
      <w:r>
        <w:t xml:space="preserve">and did not consider the question of</w:t>
      </w:r>
      <w:r>
        <w:t xml:space="preserve"> </w:t>
      </w:r>
      <w:r>
        <w:rPr>
          <w:i/>
          <w:iCs/>
        </w:rPr>
        <w:t xml:space="preserve">when</w:t>
      </w:r>
      <w:r>
        <w:t xml:space="preserve">.</w:t>
      </w:r>
    </w:p>
    <w:p>
      <w:pPr>
        <w:pStyle w:val="BodyText"/>
      </w:pPr>
      <w:r>
        <w:t xml:space="preserve">The</w:t>
      </w:r>
      <w:r>
        <w:t xml:space="preserve"> </w:t>
      </w:r>
      <w:r>
        <w:rPr>
          <w:i/>
          <w:iCs/>
        </w:rPr>
        <w:t xml:space="preserve">when</w:t>
      </w:r>
      <w:r>
        <w:t xml:space="preserve"> </w:t>
      </w:r>
      <w:r>
        <w:t xml:space="preserve">is particularly important for predicting discrete symptoms or behaviors. Take the example of lapses, discrete instances of goal inconsistent substance use. Lapses are a clinically important target for substance use treatment. They are often an early warning sign of relapse, and maladaptive responses to lapses can undermine recovery. For some substances, even a single lapse can result in an overdose and/or death. It would be unreasonable to expect that we could predict a lapse with any temporal precision using only features that become more distal as time progresses. Rather, lapse prediction requires dense, long-term monitoring of symptoms and related states proximal to the outcome.</w:t>
      </w:r>
    </w:p>
    <w:p>
      <w:pPr>
        <w:pStyle w:val="BodyText"/>
      </w:pPr>
      <w:r>
        <w:t xml:space="preserve">Recent advances in both personal sensing and machine learning may address these barriers to successful precision mental health. Personal sensing allows for frequent, longitudinal measurement of changes in proximal risk (e.g., for a lapse) with high temporal precision. Machine learning uses high dimensional inputs that can capture the complexity of mental health conditions. Moreover, tools from machine learning can be applied to models to understand which factors are important to a specific individual at a specific moment in time.</w:t>
      </w:r>
    </w:p>
    <w:p>
      <w:pPr>
        <w:pStyle w:val="BodyText"/>
      </w:pPr>
      <w:r>
        <w:t xml:space="preserve">Ecological momentary assessment (EMA) may be particularly well-suited for these algorithms. It offers momentary subjective insight into constructs that can be easily mapped onto modular forms of treatment, such as the relapse prevention model</w:t>
      </w:r>
      <w:r>
        <w:t xml:space="preserve"> </w:t>
      </w:r>
      <w:r>
        <w:t xml:space="preserve">(Marlatt and Gordon 1985; Witkiewitz and Marlatt 2004)</w:t>
      </w:r>
      <w:r>
        <w:t xml:space="preserve">. EMA also appears to be well tolerated by individuals with substance use disorders</w:t>
      </w:r>
      <w:r>
        <w:t xml:space="preserve"> </w:t>
      </w:r>
      <w:r>
        <w:t xml:space="preserve">(Wyant et al. 2023)</w:t>
      </w:r>
      <w:r>
        <w:t xml:space="preserve">. Thus, it can serve as an important signal for predicting substance use outcomes and interpreting clinically relevant features over a sustained period.</w:t>
      </w:r>
      <w:r>
        <w:t xml:space="preserve"> </w:t>
      </w:r>
      <w:r>
        <w:t xml:space="preserve"> </w:t>
      </w:r>
      <w:r>
        <w:t xml:space="preserve">Promising preliminary work suggests it is possible to build EMA models that predict immediate lapses back to substance use</w:t>
      </w:r>
      <w:r>
        <w:t xml:space="preserve"> </w:t>
      </w:r>
      <w:r>
        <w:t xml:space="preserve">(Walters et al. 2021; Bae et al. 2018; Soyster, Ashlock, and Fisher 2022; Chih et al. 2014)</w:t>
      </w:r>
      <w:r>
        <w:t xml:space="preserve">. In a previous study from our group, we demonstrated that we can do this very well. We used 4X daily EMA with questions designed to measure theoretically-implicated risk factors including past use, craving, past pleasant events, past and future risky situations, past and future stressful events, emotional valence and arousal, and self-efficacy. We showed that it was possible to predict immediate alcohol lapses within the next week, day, and hour with clinically meaningful accuracy - area under the receiver operating curves (auROCs) of 0.90, 0.91, and 0.93, respectively</w:t>
      </w:r>
      <w:r>
        <w:t xml:space="preserve"> </w:t>
      </w:r>
      <w:r>
        <w:t xml:space="preserve">(Wyant et al. 2024)</w:t>
      </w:r>
      <w:r>
        <w:t xml:space="preserve">. We also characterized the relative importance of features contributing to these risk probabilities for specific individuals at specific moments in time. These models are well-suited to make algorithm-guided recommendations to address immediate risks - for example, recommending a coping with craving activity when someone has increased craving, or recommending a guided relaxation video when someone is reporting recent stressful events. Importantly, these supports can be available 24/7 (e.g., in a digital therapeutic) for an individual, allowing them to take action right away.</w:t>
      </w:r>
    </w:p>
    <w:p>
      <w:pPr>
        <w:pStyle w:val="BodyText"/>
      </w:pPr>
      <w:r>
        <w:t xml:space="preserve">However, many interventions cannot be self-contained in a digital therapeutic and take time to set up. For example, someone who has reported recent past alcohol use and low abstinence self-efficacy might be encouraged to attend a self-help meeting, plan an outing with important people in their life, or schedule an appointment with a therapist. These multimodal interventions (i.e., combined human and digital interventions) are not available 24/7. A</w:t>
      </w:r>
      <w:r>
        <w:t xml:space="preserve"> </w:t>
      </w:r>
      <w:r>
        <w:rPr>
          <w:i/>
          <w:iCs/>
        </w:rPr>
        <w:t xml:space="preserve">time-lagged</w:t>
      </w:r>
      <w:r>
        <w:t xml:space="preserve"> </w:t>
      </w:r>
      <w:r>
        <w:t xml:space="preserve">model with predictions shifted further into the future could provide patients with increased lead time to implement supports that might not be immediately available to them.</w:t>
      </w:r>
    </w:p>
    <w:p>
      <w:pPr>
        <w:pStyle w:val="BodyText"/>
      </w:pPr>
      <w:r>
        <w:t xml:space="preserve">In this study, we compared the performance of one of our models from a previous study</w:t>
      </w:r>
      <w:r>
        <w:t xml:space="preserve"> </w:t>
      </w:r>
      <w:r>
        <w:t xml:space="preserve">(Wyant et al. 2024)</w:t>
      </w:r>
      <w:r>
        <w:t xml:space="preserve"> </w:t>
      </w:r>
      <w:r>
        <w:t xml:space="preserve">with models using increased lag time between predictions and outcomes. Specifically, we used the same EMA features as our immediate model and train new models to predict the probability of a lapse beginning one day (24 hours), three days (72 hours), one week (168 hours), or two weeks (336 hours) into the future. Our primary objective was to assess how well models perform with increasing lag time.</w:t>
      </w:r>
    </w:p>
    <w:bookmarkEnd w:id="21"/>
    <w:bookmarkStart w:id="46" w:name="methods"/>
    <w:p>
      <w:pPr>
        <w:pStyle w:val="Heading1"/>
      </w:pPr>
      <w:r>
        <w:t xml:space="preserve">Methods</w:t>
      </w:r>
    </w:p>
    <w:bookmarkStart w:id="23" w:name="transparency-and-openness"/>
    <w:p>
      <w:pPr>
        <w:pStyle w:val="Heading2"/>
      </w:pPr>
      <w:r>
        <w:t xml:space="preserve">Transparency and Openness</w:t>
      </w:r>
    </w:p>
    <w:p>
      <w:pPr>
        <w:pStyle w:val="FirstParagraph"/>
      </w:pPr>
      <w:r>
        <w:t xml:space="preserve">We adhere to research transparency principles that are crucial for robust and replicable science. We preregistered our data analytic strategy. We reported how we determined the sample size, all data exclusions, all manipulations, and all study measures. We provide a transparency report in the supplement. Finally, our data, analysis scripts, annotated results, questionnaires, and other study materials are publicly available (</w:t>
      </w:r>
      <w:hyperlink r:id="rId22">
        <w:r>
          <w:rPr>
            <w:rStyle w:val="Hyperlink"/>
          </w:rPr>
          <w:t xml:space="preserve">https://osf.io/xta67/</w:t>
        </w:r>
      </w:hyperlink>
      <w:r>
        <w:t xml:space="preserve">).</w:t>
      </w:r>
    </w:p>
    <w:bookmarkEnd w:id="23"/>
    <w:bookmarkStart w:id="24" w:name="participants"/>
    <w:p>
      <w:pPr>
        <w:pStyle w:val="Heading2"/>
      </w:pPr>
      <w:r>
        <w:t xml:space="preserve">Participants</w:t>
      </w:r>
    </w:p>
    <w:p>
      <w:pPr>
        <w:pStyle w:val="FirstParagraph"/>
      </w:pPr>
      <w:r>
        <w:t xml:space="preserve">We recruited participants in early recovery (1-8 weeks of abstinence) from moderate to severe alcohol use disorder in Madison, Wisconsin, US for a three month longitudinal study. One hundred fifty one participants were included in our analyses. We used data from all participants included in our previous study (see</w:t>
      </w:r>
      <w:r>
        <w:t xml:space="preserve"> </w:t>
      </w:r>
      <w:r>
        <w:t xml:space="preserve">(Wyant et al. 2024)</w:t>
      </w:r>
      <w:r>
        <w:t xml:space="preserve"> </w:t>
      </w:r>
      <w:r>
        <w:t xml:space="preserve">for enrollment and disposition information). This sample size was determined based on traditional power analysis methods for logistic regression</w:t>
      </w:r>
      <w:r>
        <w:t xml:space="preserve"> </w:t>
      </w:r>
      <w:r>
        <w:t xml:space="preserve">(Hsieh 1989)</w:t>
      </w:r>
      <w:r>
        <w:t xml:space="preserve"> </w:t>
      </w:r>
      <w:r>
        <w:t xml:space="preserve">because comparable approaches for machine learning models have not yet been validated. Participants were recruited through print and targeted digital advertisements and partnerships with treatment centers. We required that participants:</w:t>
      </w:r>
    </w:p>
    <w:p>
      <w:pPr>
        <w:pStyle w:val="Compact"/>
        <w:numPr>
          <w:ilvl w:val="0"/>
          <w:numId w:val="1001"/>
        </w:numPr>
      </w:pPr>
      <w:r>
        <w:t xml:space="preserve">were age 18 or older,</w:t>
      </w:r>
    </w:p>
    <w:p>
      <w:pPr>
        <w:pStyle w:val="Compact"/>
        <w:numPr>
          <w:ilvl w:val="0"/>
          <w:numId w:val="1001"/>
        </w:numPr>
      </w:pPr>
      <w:r>
        <w:t xml:space="preserve">could write and read in English,</w:t>
      </w:r>
    </w:p>
    <w:p>
      <w:pPr>
        <w:pStyle w:val="Compact"/>
        <w:numPr>
          <w:ilvl w:val="0"/>
          <w:numId w:val="1001"/>
        </w:numPr>
      </w:pPr>
      <w:r>
        <w:t xml:space="preserve">had at least moderate AUD (&gt;= 4 self-reported DSM-5 symptoms),</w:t>
      </w:r>
    </w:p>
    <w:p>
      <w:pPr>
        <w:pStyle w:val="Compact"/>
        <w:numPr>
          <w:ilvl w:val="0"/>
          <w:numId w:val="1001"/>
        </w:numPr>
      </w:pPr>
      <w:r>
        <w:t xml:space="preserve">were abstinent from alcohol for 1-8 weeks, and</w:t>
      </w:r>
    </w:p>
    <w:p>
      <w:pPr>
        <w:pStyle w:val="Compact"/>
        <w:numPr>
          <w:ilvl w:val="0"/>
          <w:numId w:val="1001"/>
        </w:numPr>
      </w:pPr>
      <w:r>
        <w:t xml:space="preserve">were willing to use a single smartphone (personal or study provided) while on study.</w:t>
      </w:r>
    </w:p>
    <w:p>
      <w:pPr>
        <w:pStyle w:val="FirstParagraph"/>
      </w:pPr>
      <w:r>
        <w:t xml:space="preserve">We also excluded participants exhibiting severe symptoms of psychosis or paranoia.</w:t>
      </w:r>
    </w:p>
    <w:bookmarkEnd w:id="24"/>
    <w:bookmarkStart w:id="25" w:name="procedure"/>
    <w:p>
      <w:pPr>
        <w:pStyle w:val="Heading2"/>
      </w:pPr>
      <w:r>
        <w:t xml:space="preserve">Procedure</w:t>
      </w:r>
    </w:p>
    <w:p>
      <w:pPr>
        <w:pStyle w:val="FirstParagraph"/>
      </w:pPr>
      <w: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while on study. Other personal sensing data streams (geolocation, cellular communications, sleep quality, and audio check-ins) were collected as part of the parent grant’s aims (R01 AA024391). Participants could earn up to $150/month if they completed all study visits, had 10% or less missing EMA data and opted in to provide data for other personal sensing data streams.</w:t>
      </w:r>
    </w:p>
    <w:bookmarkEnd w:id="25"/>
    <w:bookmarkStart w:id="28" w:name="measures"/>
    <w:p>
      <w:pPr>
        <w:pStyle w:val="Heading2"/>
      </w:pPr>
      <w:r>
        <w:t xml:space="preserve">Measures</w:t>
      </w:r>
    </w:p>
    <w:bookmarkStart w:id="26" w:name="ecological-momentary-assessments"/>
    <w:p>
      <w:pPr>
        <w:pStyle w:val="Heading3"/>
      </w:pPr>
      <w:r>
        <w:t xml:space="preserve">Ecological Momentary Assessments</w:t>
      </w:r>
    </w:p>
    <w:p>
      <w:pPr>
        <w:pStyle w:val="FirstParagraph"/>
      </w:pPr>
      <w:r>
        <w:t xml:space="preserve">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the meaning of each question during their intake visit.</w:t>
      </w:r>
    </w:p>
    <w:p>
      <w:pPr>
        <w:pStyle w:val="BodyText"/>
      </w:pPr>
      <w:r>
        <w:t xml:space="preserve">On all EMAs, participants reported dates/times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w:t>
      </w:r>
    </w:p>
    <w:p>
      <w:pPr>
        <w:pStyle w:val="BodyText"/>
      </w:pPr>
      <w:r>
        <w:t xml:space="preserve">On the first EMA each day, participants also rated the likelihood of encountering risky situations and stressful events in the next week and the likelihood that they would drink alcohol in the next week (i.e., abstinence self-efficacy).</w:t>
      </w:r>
    </w:p>
    <w:bookmarkEnd w:id="26"/>
    <w:bookmarkStart w:id="27" w:name="individual-characteristics"/>
    <w:p>
      <w:pPr>
        <w:pStyle w:val="Heading3"/>
      </w:pPr>
      <w:r>
        <w:t xml:space="preserve">Individual Characteristics</w:t>
      </w:r>
    </w:p>
    <w:p>
      <w:pPr>
        <w:pStyle w:val="FirstParagraph"/>
      </w:pPr>
      <w:r>
        <w:t xml:space="preserve">We collected self-report information about demographics (age, sex, race, ethnicity, education, marital status, employment, and income) and AUD symptom count to characterize our sample. Demographic information was also included as features in our models and a subset (sex, race, ethnicity, and income) used for model fairness analyses.</w:t>
      </w:r>
    </w:p>
    <w:p>
      <w:pPr>
        <w:pStyle w:val="BodyText"/>
      </w:pPr>
      <w:r>
        <w:t xml:space="preserve">As part of the aims of the parent project we collected many other trait and state measures throughout the study. A complete list of all measures can be found on our study’s OSF page.</w:t>
      </w:r>
    </w:p>
    <w:bookmarkEnd w:id="27"/>
    <w:bookmarkEnd w:id="28"/>
    <w:bookmarkStart w:id="45" w:name="data-analytic-strategy"/>
    <w:p>
      <w:pPr>
        <w:pStyle w:val="Heading2"/>
      </w:pPr>
      <w:r>
        <w:t xml:space="preserve">Data Analytic Strategy</w:t>
      </w:r>
    </w:p>
    <w:p>
      <w:pPr>
        <w:pStyle w:val="FirstParagraph"/>
      </w:pPr>
      <w:r>
        <w:t xml:space="preserve">Data preprocessing, modeling, and Bayesian analyses were done in R using the tidymodels ecosystem</w:t>
      </w:r>
      <w:r>
        <w:t xml:space="preserve"> </w:t>
      </w:r>
      <w:r>
        <w:t xml:space="preserve">(Kuhn and Wickham 2020; Kuhn 2022; Goodrich et al. 2023)</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p>
    <w:bookmarkStart w:id="34" w:name="predictions"/>
    <w:p>
      <w:pPr>
        <w:pStyle w:val="Heading3"/>
      </w:pPr>
      <w:r>
        <w:t xml:space="preserve">Predictions</w:t>
      </w:r>
    </w:p>
    <w:p>
      <w:pPr>
        <w:pStyle w:val="FirstParagraph"/>
      </w:pPr>
      <w:hyperlink w:anchor="fig-methods">
        <w:r>
          <w:rPr>
            <w:rStyle w:val="Hyperlink"/>
          </w:rPr>
          <w:t xml:space="preserve">Figure 1</w:t>
        </w:r>
      </w:hyperlink>
      <w:r>
        <w:t xml:space="preserve"> </w:t>
      </w:r>
      <w:r>
        <w:t xml:space="preserve">shows how we established prediction time points, windows, and lags. All available data up until, but not including, the prediction time point was used to generate model predictions. Prediction time points were updated hourly (Panel A). The first prediction time point for each participant was 24 hours from midnight on their study start date. This ensured at least 24 hours of past EMAs for future lapse prediction at these first time points. Subsequent predictions time points for each participant repeatedly rolled hour-by-hour until the end of their study participation.</w:t>
      </w:r>
    </w:p>
    <w:p>
      <w:pPr>
        <w:pStyle w:val="BodyText"/>
      </w:pPr>
      <w:r>
        <w:t xml:space="preserve">The prediction window width was one week. Prediction windows rolled forward hour-by-hour with the prediction time point (Panel B). There were five possible lag times between the prediction time point and start of the prediction window. A prediction window either started immediately after the prediction time point (0 lag) or was lagged by 24, 72, 168, or 336 hours.</w:t>
      </w:r>
    </w:p>
    <w:p>
      <w:pPr>
        <w:pStyle w:val="BodyText"/>
      </w:pPr>
      <w:r>
        <w:t xml:space="preserve">Therefore, our models provided hour-by-hour probabilities of an alcohol lapse in the next week pushed out up to two weeks into the future.</w:t>
      </w:r>
    </w:p>
    <w:tbl>
      <w:tblPr>
        <w:tblStyle w:val="Table"/>
        <w:tblW w:type="pct" w:w="5000"/>
        <w:tblLayout w:type="fixed"/>
        <w:tblLook w:firstRow="0" w:lastRow="0" w:firstColumn="0" w:lastColumn="0" w:noHBand="0" w:noVBand="0" w:val="0000"/>
      </w:tblPr>
      <w:tblGrid>
        <w:gridCol w:w="7920"/>
      </w:tblGrid>
      <w:tr>
        <w:tc>
          <w:tcPr/>
          <w:bookmarkStart w:id="32" w:name="fig-methods"/>
          <w:p>
            <w:pPr>
              <w:pStyle w:val="Compact"/>
              <w:jc w:val="center"/>
            </w:pPr>
            <w:r>
              <w:drawing>
                <wp:inline>
                  <wp:extent cx="5334000" cy="4360157"/>
                  <wp:effectExtent b="0" l="0" r="0" t="0"/>
                  <wp:docPr descr="" title="" id="30" name="Picture"/>
                  <a:graphic>
                    <a:graphicData uri="http://schemas.openxmlformats.org/drawingml/2006/picture">
                      <pic:pic>
                        <pic:nvPicPr>
                          <pic:cNvPr descr="index_files/figure-docx/notebooks-mak_figures-fig-methods-output-1.jpeg" id="31" name="Picture"/>
                          <pic:cNvPicPr>
                            <a:picLocks noChangeArrowheads="1" noChangeAspect="1"/>
                          </pic:cNvPicPr>
                        </pic:nvPicPr>
                        <pic:blipFill>
                          <a:blip r:embed="rId29"/>
                          <a:stretch>
                            <a:fillRect/>
                          </a:stretch>
                        </pic:blipFill>
                        <pic:spPr bwMode="auto">
                          <a:xfrm>
                            <a:off x="0" y="0"/>
                            <a:ext cx="5334000" cy="43601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We used all available data up until the prediction timepoint to generate features using varying scoring epochs. Prediction timepoints rolled forward hour-by-hour (Panel A). Prediction windows were 1 week wide. A prediction window started immediately after the prediction timepoint (0 lag) or was lagged by 24, 72, 168, or 336 hours (Panel B).</w:t>
            </w:r>
          </w:p>
          <w:bookmarkEnd w:id="32"/>
        </w:tc>
      </w:tr>
    </w:tbl>
    <w:p>
      <w:pPr>
        <w:pStyle w:val="BodyText"/>
      </w:pPr>
      <w:r>
        <w:rPr>
          <w:vertAlign w:val="subscript"/>
        </w:rPr>
        <w:t xml:space="preserve">Source:</w:t>
      </w:r>
      <w:r>
        <w:rPr>
          <w:vertAlign w:val="subscript"/>
        </w:rPr>
        <w:t xml:space="preserve"> </w:t>
      </w:r>
      <w:hyperlink r:id="rId33">
        <w:r>
          <w:rPr>
            <w:rStyle w:val="Hyperlink"/>
            <w:vertAlign w:val="subscript"/>
          </w:rPr>
          <w:t xml:space="preserve">Make All Figures for Main Manuscript</w:t>
        </w:r>
      </w:hyperlink>
    </w:p>
    <w:bookmarkEnd w:id="34"/>
    <w:bookmarkStart w:id="35" w:name="labels"/>
    <w:p>
      <w:pPr>
        <w:pStyle w:val="Heading3"/>
      </w:pPr>
      <w:r>
        <w:t xml:space="preserve">Labels</w:t>
      </w:r>
    </w:p>
    <w:p>
      <w:pPr>
        <w:pStyle w:val="FirstParagraph"/>
      </w:pPr>
      <w:r>
        <w:t xml:space="preserve">The start and end date/time of past drinking episodes were reported on the first EMA item. A prediction window was labeled</w:t>
      </w:r>
      <w:r>
        <w:t xml:space="preserve"> </w:t>
      </w:r>
      <w:r>
        <w:rPr>
          <w:i/>
          <w:iCs/>
        </w:rPr>
        <w:t xml:space="preserve">lapse</w:t>
      </w:r>
      <w:r>
        <w:t xml:space="preserve"> </w:t>
      </w:r>
      <w:r>
        <w:t xml:space="preserve">if the start date/hour of any drinking episode fell within that window. A window was labeled</w:t>
      </w:r>
      <w:r>
        <w:t xml:space="preserve"> </w:t>
      </w:r>
      <w:r>
        <w:rPr>
          <w:i/>
          <w:iCs/>
        </w:rPr>
        <w:t xml:space="preserve">no lapse</w:t>
      </w:r>
      <w:r>
        <w:t xml:space="preserve"> </w:t>
      </w:r>
      <w:r>
        <w:t xml:space="preserve">if no alcohol use occurred within that window +/- 24 hours. If no alcohol use occurred within the window but did occur within 24 hours of the start or end of the window, the window was excluded.</w:t>
      </w:r>
    </w:p>
    <w:p>
      <w:pPr>
        <w:pStyle w:val="BodyText"/>
      </w:pPr>
      <w:r>
        <w:t xml:space="preserve">We ended up with a total of 270,081 labels for our baseline (no lag) model, 266,599 labels for our 24 hour lagged model, 259,643 labels for our 72 hour lagged model, 245,707 labels for our 168 hour lagged model, and 221,206 labels for our 336 hour lagged model.</w:t>
      </w:r>
    </w:p>
    <w:bookmarkEnd w:id="35"/>
    <w:bookmarkStart w:id="36"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For our no lag models this included all data prior to the hour of the start of the prediction window. For our lagged models, the last EMA data used for feature engineering were collected up to 24 hours, 72 hours, 168 hours, or 336 hours prior to the start of the prediction window.</w:t>
      </w:r>
    </w:p>
    <w:p>
      <w:pPr>
        <w:pStyle w:val="BodyText"/>
      </w:pPr>
      <w:r>
        <w:t xml:space="preserve">A total of 279 features were derived from two data sources:</w:t>
      </w:r>
    </w:p>
    <w:p>
      <w:pPr>
        <w:numPr>
          <w:ilvl w:val="0"/>
          <w:numId w:val="1002"/>
        </w:numPr>
      </w:pPr>
      <w:r>
        <w:rPr>
          <w:i/>
          <w:iCs/>
        </w:rPr>
        <w:t xml:space="preserve">Demographics</w:t>
      </w:r>
      <w:r>
        <w:t xml:space="preserve">: We created quantitative features for age and personal income, and dummy-coded features for sex, race/ethnicity, marital status, education, and employment.</w:t>
      </w:r>
    </w:p>
    <w:p>
      <w:pPr>
        <w:numPr>
          <w:ilvl w:val="0"/>
          <w:numId w:val="1002"/>
        </w:numPr>
      </w:pPr>
      <w:r>
        <w:rPr>
          <w:i/>
          <w:iCs/>
        </w:rPr>
        <w:t xml:space="preserve">Previous EMA responses</w:t>
      </w:r>
      <w:r>
        <w:t xml:space="preserve">: We created raw EMA and change features for varying scoring epochs (i.e., 12, 24, 48, 72, and 168 hours) before the start of the prediction window for all EMA items. Raw features included min, max, and median scores for each EMA item across all EMAs in each epoch for that participant. We calculated change features by subtracting the participants’ overall mean score for each EMA item (using all EMAs collected before the start of the prediction window) from the associated raw feature. We also created raw and change features based on the most recent response for each EMA question and raw and change rate features from previously reported lapses and number of completed EMAs.</w:t>
      </w:r>
    </w:p>
    <w:p>
      <w:pPr>
        <w:pStyle w:val="FirstParagraph"/>
      </w:pPr>
      <w:r>
        <w:t xml:space="preserve">Other generic feature engineering steps included imputing missing data (median imputation for numeric features, mode imputation for nominal features) and removing zero and near-zero variance features as determined from held-in data (see Cross-validation section below).</w:t>
      </w:r>
    </w:p>
    <w:bookmarkEnd w:id="36"/>
    <w:bookmarkStart w:id="44" w:name="model-training-and-evaluation"/>
    <w:p>
      <w:pPr>
        <w:pStyle w:val="Heading3"/>
      </w:pPr>
      <w:r>
        <w:t xml:space="preserve">Model Training and Evaluation</w:t>
      </w:r>
    </w:p>
    <w:bookmarkStart w:id="37" w:name="model-configurations"/>
    <w:p>
      <w:pPr>
        <w:pStyle w:val="Heading4"/>
      </w:pPr>
      <w:r>
        <w:t xml:space="preserve">Model Configurations</w:t>
      </w:r>
    </w:p>
    <w:p>
      <w:pPr>
        <w:pStyle w:val="FirstParagraph"/>
      </w:pPr>
      <w:r>
        <w:t xml:space="preserve">We trained and evaluated five separate classification models: one baseline (no lag) model and one model for 24 hour, 72 hour, 168 hour, and 336 hour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w:t>
      </w:r>
      <w:r>
        <w:t xml:space="preserve"> </w:t>
      </w:r>
      <w:r>
        <w:t xml:space="preserve">(Kuhn and Johnson 2018)</w:t>
      </w:r>
      <w:r>
        <w:t xml:space="preserve">.</w:t>
      </w:r>
    </w:p>
    <w:p>
      <w:pPr>
        <w:pStyle w:val="BodyText"/>
      </w:pPr>
      <w:r>
        <w:t xml:space="preserve">Candidate model configurations differed across sensible values for key hyperparameters. They also differed on outcome resampling method (i.e., no resampling and up-sampling and down-sampling of the outcome using majority/no lapse to minority/lapse ratios ranging from 1:1 to 2:1). We calibrated predicted probabilities using the beta distribution to support optimal decision-making under variable outcome distributions</w:t>
      </w:r>
      <w:r>
        <w:t xml:space="preserve"> </w:t>
      </w:r>
      <w:r>
        <w:t xml:space="preserve">(Kull, Filho, and Flach 2017)</w:t>
      </w:r>
      <w:r>
        <w:t xml:space="preserve">.</w:t>
      </w:r>
    </w:p>
    <w:bookmarkEnd w:id="37"/>
    <w:bookmarkStart w:id="38" w:name="cross-validation"/>
    <w:p>
      <w:pPr>
        <w:pStyle w:val="Heading4"/>
      </w:pPr>
      <w:r>
        <w:t xml:space="preserve">Cross-validation</w:t>
      </w:r>
    </w:p>
    <w:p>
      <w:pPr>
        <w:pStyle w:val="FirstParagraph"/>
      </w:pPr>
      <w:r>
        <w:t xml:space="preserve">We used participant-grouped, nested cross-validation for model training, selection, and evaluation with auROC. auROC indexes the probability that the model will predict a higher score for a randomly selected positive case (lapse) relative to a randomly selected negative case (no lapse). Grouped cross-validation assigns all data from a participant as either held-in or held-out to avoid bias introduced when predicting a participant’s data from their own data. We used 1 repeat of 10-fold cross-validation for the inner loops (i.e.,</w:t>
      </w:r>
      <w:r>
        <w:t xml:space="preserve"> </w:t>
      </w:r>
      <w:r>
        <w:rPr>
          <w:i/>
          <w:iCs/>
        </w:rPr>
        <w:t xml:space="preserve">validation</w:t>
      </w:r>
      <w:r>
        <w:t xml:space="preserve"> </w:t>
      </w:r>
      <w:r>
        <w:t xml:space="preserve">sets) and 3 repeats of 10-fold cross-validation for the outer loop (i.e.,</w:t>
      </w:r>
      <w:r>
        <w:t xml:space="preserve"> </w:t>
      </w:r>
      <w:r>
        <w:rPr>
          <w:i/>
          <w:iCs/>
        </w:rPr>
        <w:t xml:space="preserve">test</w:t>
      </w:r>
      <w:r>
        <w:t xml:space="preserve"> </w:t>
      </w:r>
      <w:r>
        <w:t xml:space="preserve">sets). Best model configurations were selected using median auROC across the 10 validation sets. Final performance evaluation of those best model configurations used median auROC across the 30 test sets.</w:t>
      </w:r>
    </w:p>
    <w:bookmarkEnd w:id="38"/>
    <w:bookmarkStart w:id="40" w:name="bayesian-model"/>
    <w:p>
      <w:pPr>
        <w:pStyle w:val="Heading4"/>
      </w:pPr>
      <w:r>
        <w:t xml:space="preserve">Bayesian Model</w:t>
      </w:r>
    </w:p>
    <w:p>
      <w:pPr>
        <w:pStyle w:val="FirstParagraph"/>
      </w:pPr>
      <w: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w:t>
      </w:r>
      <w:r>
        <w:t xml:space="preserve"> </w:t>
      </w:r>
      <w:r>
        <w:t xml:space="preserve">(RStudio Team 2020; Gabry and Goodrich 2023)</w:t>
      </w:r>
      <w:r>
        <w:t xml:space="preserve">, we used the rstanarm default autoscaled, weakly informative, data-dependent priors that take into account the order of magnitude of the variables to provide some regularization to stabilize computation and avoid over-fitting.</w:t>
      </w:r>
      <w:r>
        <w:rPr>
          <w:rStyle w:val="FootnoteReference"/>
        </w:rPr>
        <w:footnoteReference w:id="39"/>
      </w:r>
      <w:r>
        <w:t xml:space="preserve"> </w:t>
      </w:r>
      <w:r>
        <w:t xml:space="preserve">We set two random intercepts to account for our resampling method: one for the repeat, and another for the fold nested within repeat. We specified two sets of contrasts for model comparisons. The first set compared each lagged model to the baseline model (0 lag vs. 24 hour lag, 0 lag vs. 72 hour lag, 0 lag vs. 168 lag, 0 lag vs. 336 lag). The second set compared adjacently lagged models (24 hour lag vs. 72 hour lag, 72 hour lag vs. 168 hour lag, 168 hour lag vs. 336 hour lag). auROCs were transformed using the logit function and regressed as a function of model contrast.</w:t>
      </w:r>
    </w:p>
    <w:p>
      <w:pPr>
        <w:pStyle w:val="BodyText"/>
      </w:pPr>
      <w:r>
        <w:t xml:space="preserve">From the Bayesian model we obtained the posterior distribution (transformed back from logit) and Bayeisan CIs for all five models. To evaluate our models’ overall performance we report the median posterior probability for auROC and Bayesian CIs. This represents our best estimate for the magnitude of the auROC parameter for each model. If the confidence intervals do not contain .5 (chance performance), this suggests our model is capturing signal in the data.</w:t>
      </w:r>
    </w:p>
    <w:p>
      <w:pPr>
        <w:pStyle w:val="BodyText"/>
      </w:pPr>
      <w: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 If there was a probability &gt;.95 that the more lagged model’s performance was worse, we labeled the model contrast as significant.</w:t>
      </w:r>
    </w:p>
    <w:bookmarkEnd w:id="40"/>
    <w:bookmarkStart w:id="42" w:name="fairness-benchmarks"/>
    <w:p>
      <w:pPr>
        <w:pStyle w:val="Heading4"/>
      </w:pPr>
      <w:r>
        <w:t xml:space="preserve">Fairness Benchmarks</w:t>
      </w:r>
    </w:p>
    <w:p>
      <w:pPr>
        <w:pStyle w:val="FirstParagraph"/>
      </w:pPr>
      <w:r>
        <w:t xml:space="preserve">We aim for the responsible and transparent reporting of model performance and clinical utility. In these efforts, we calculated the median posterior probability and 95% Bayesian CI for auROC for each model separately for three dichotomized demographic groups with potential disparities in access to substance use treatment - race and ethnicity (non-Hispanic White vs. non-White)</w:t>
      </w:r>
      <w:r>
        <w:t xml:space="preserve"> </w:t>
      </w:r>
      <w:r>
        <w:t xml:space="preserve">(Pinedo 2019; Kilaru et al. 2020)</w:t>
      </w:r>
      <w:r>
        <w:t xml:space="preserve">, income (above poverty vs. below poverty)</w:t>
      </w:r>
      <w:r>
        <w:t xml:space="preserve"> </w:t>
      </w:r>
      <w:r>
        <w:t xml:space="preserve">(Olfson et al. 2022)</w:t>
      </w:r>
      <w:r>
        <w:t xml:space="preserve">, and sex at birth (male vs. female)</w:t>
      </w:r>
      <w:r>
        <w:t xml:space="preserve"> </w:t>
      </w:r>
      <w:r>
        <w:t xml:space="preserve">(Greenfield et al. 2007; Kilaru et al. 2020)</w:t>
      </w:r>
      <w:r>
        <w:t xml:space="preserve">.</w:t>
      </w:r>
    </w:p>
    <w:p>
      <w:pPr>
        <w:pStyle w:val="BodyText"/>
      </w:pPr>
      <w:r>
        <w:t xml:space="preserve">We also acknowledge that models that work for only a subset of people, if implemented, could widen existing treatment disparities. We conducted Bayesian group comparisons to assess the likelihood that the model performs differently by group. We report the median difference and range in posterior probabilities across all models. The median auROC and Bayesian CIs are reported separately by group and model in the supplement.</w:t>
      </w:r>
      <w:r>
        <w:rPr>
          <w:rStyle w:val="FootnoteReference"/>
        </w:rPr>
        <w:footnoteReference w:id="41"/>
      </w:r>
    </w:p>
    <w:bookmarkEnd w:id="42"/>
    <w:bookmarkStart w:id="43" w:name="feature-importance"/>
    <w:p>
      <w:pPr>
        <w:pStyle w:val="Heading4"/>
      </w:pPr>
      <w:r>
        <w:t xml:space="preserve">Feature Importance</w:t>
      </w:r>
    </w:p>
    <w:p>
      <w:pPr>
        <w:pStyle w:val="FirstParagraph"/>
      </w:pPr>
      <w:r>
        <w:t xml:space="preserve">We calculated Shapley values in log-odds units for binary classification models from the 30 test sets to provide a description of the importance of categories of features across our five models</w:t>
      </w:r>
      <w:r>
        <w:t xml:space="preserve"> </w:t>
      </w:r>
      <w:r>
        <w:t xml:space="preserve">(Lundberg and Lee 2017)</w:t>
      </w:r>
      <w:r>
        <w:t xml:space="preserve">. We averaged the three Shapley values for each observation for each feature (i.e., across the three repeats) to increase their stability. An inherent property of Shapley values is their additivity, allowing us to combine features into feature categories. We created separate feature categories for each of the nine EMA questions, the rates of past alcohol use and missing surveys, the time of day and day of the week of the start of the prediction window, and the seven demographic variables included in the models. We calculated the local (i.e., for each observation) importance for each category of features by adding Shapley values across all features in a category, separately for each observation. We calculated global importance for each feature category by averaging the absolute value of the Shapley values of all features in the category across all observations. These local and global importance scores based on Shapley values allow us to contextualize relative feature importance for each model.</w:t>
      </w:r>
    </w:p>
    <w:bookmarkEnd w:id="43"/>
    <w:bookmarkEnd w:id="44"/>
    <w:bookmarkEnd w:id="45"/>
    <w:bookmarkEnd w:id="46"/>
    <w:bookmarkStart w:id="111" w:name="results"/>
    <w:p>
      <w:pPr>
        <w:pStyle w:val="Heading1"/>
      </w:pPr>
      <w:r>
        <w:t xml:space="preserve">Results</w:t>
      </w:r>
    </w:p>
    <w:bookmarkStart w:id="49" w:name="demographic-and-lapse-characteristics"/>
    <w:p>
      <w:pPr>
        <w:pStyle w:val="Heading2"/>
      </w:pPr>
      <w:r>
        <w:t xml:space="preserve">Demographic and Lapse Characteristics</w:t>
      </w:r>
    </w:p>
    <w:p>
      <w:pPr>
        <w:pStyle w:val="FirstParagraph"/>
      </w:pPr>
      <w:r>
        <w:t xml:space="preserve">There were approximately equal numbers of men (N=77; 51.0%) and women (N=74; 49.0%) who ranged in age from 21 - 72 years old. The sample was majority White (N=131; 86.8%) and non-Hispanic (N=147; 97.4%). Participants self-reported a median of 9.0 DSM-5 symptoms of AUD (mean=8.9; SD=1.9; range=4.0-11.0). Most participants (N=84; 55.6%) reported one or more lapses during participation. The median number of lapses per participant while on-study was 1.0 (mean=6.8; SD = 12.0; range=0.0-75.0).</w:t>
      </w:r>
      <w:r>
        <w:t xml:space="preserve"> </w:t>
      </w:r>
      <w:hyperlink w:anchor="tbl-demohtml">
        <w:r>
          <w:rPr>
            <w:rStyle w:val="Hyperlink"/>
          </w:rPr>
          <w:t xml:space="preserve">Table 1</w:t>
        </w:r>
      </w:hyperlink>
      <w:r>
        <w:t xml:space="preserve"> </w:t>
      </w:r>
      <w:r>
        <w:t xml:space="preserve">provides more detail on demographic and lapse characteristics of the sample.</w:t>
      </w:r>
    </w:p>
    <w:tbl>
      <w:tblPr>
        <w:tblStyle w:val="Table"/>
        <w:tblW w:type="pct" w:w="5000"/>
        <w:tblLayout w:type="fixed"/>
        <w:tblLook w:firstRow="0" w:lastRow="0" w:firstColumn="0" w:lastColumn="0" w:noHBand="0" w:noVBand="0" w:val="0000"/>
      </w:tblPr>
      <w:tblGrid>
        <w:gridCol w:w="7920"/>
      </w:tblGrid>
      <w:tr>
        <w:tc>
          <w:tcPr/>
          <w:bookmarkStart w:id="47" w:name="tbl-demohtml"/>
          <w:p>
            <w:pPr>
              <w:jc w:val="center"/>
            </w:pPr>
            <w:pPr>
              <w:jc w:val="start"/>
              <w:spacing w:before="200"/>
              <w:pStyle w:val="ImageCaption"/>
            </w:pPr>
            <w:r>
              <w:t xml:space="preserve">Table 1: Demographic and Lapse Characteristics</w:t>
            </w:r>
          </w:p>
          <w:tbl>
            <w:tblPr>
              <w:tblStyle w:val="Table"/>
              <w:tblW w:type="pct" w:w="4894"/>
              <w:tblLayout w:type="fixed"/>
              <w:tblLook w:firstRow="1" w:lastRow="0" w:firstColumn="0" w:lastColumn="0" w:noHBand="0" w:noVBand="0" w:val="0020"/>
            </w:tblPr>
            <w:tblGrid>
              <w:gridCol w:w="3622"/>
              <w:gridCol w:w="505"/>
              <w:gridCol w:w="589"/>
              <w:gridCol w:w="926"/>
              <w:gridCol w:w="926"/>
              <w:gridCol w:w="1179"/>
            </w:tblGrid>
            <w:tr>
              <w:trPr>
                <w:tblHeader w:val="on"/>
              </w:trPr>
              <w:tc>
                <w:tcPr/>
                <w:p>
                  <w:pPr>
                    <w:pStyle w:val="Compact"/>
                    <w:jc w:val="left"/>
                    <w:jc w:val="center"/>
                  </w:pPr>
                  <w:r>
                    <w:t xml:space="preserve">var</w:t>
                  </w: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41</w:t>
                  </w:r>
                </w:p>
              </w:tc>
              <w:tc>
                <w:tcPr/>
                <w:p>
                  <w:pPr>
                    <w:pStyle w:val="Compact"/>
                    <w:jc w:val="left"/>
                    <w:jc w:val="center"/>
                  </w:pPr>
                  <w:r>
                    <w:t xml:space="preserve">11.9</w:t>
                  </w:r>
                </w:p>
              </w:tc>
              <w:tc>
                <w:tcPr/>
                <w:p>
                  <w:pPr>
                    <w:pStyle w:val="Compact"/>
                    <w:jc w:val="left"/>
                    <w:jc w:val="center"/>
                  </w:pPr>
                  <w:r>
                    <w:t xml:space="preserve">21-72</w:t>
                  </w:r>
                </w:p>
              </w:tc>
            </w:tr>
            <w:tr>
              <w:tc>
                <w:tcPr/>
                <w:p>
                  <w:pPr>
                    <w:pStyle w:val="Compact"/>
                    <w:jc w:val="left"/>
                    <w:jc w:val="center"/>
                  </w:pPr>
                  <w:r>
                    <w:t xml:space="preserve">Sex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77</w:t>
                  </w:r>
                </w:p>
              </w:tc>
              <w:tc>
                <w:tcPr/>
                <w:p>
                  <w:pPr>
                    <w:pStyle w:val="Compact"/>
                    <w:jc w:val="right"/>
                    <w:jc w:val="center"/>
                  </w:pPr>
                  <w:r>
                    <w:t xml:space="preserve">51.0</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131</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4</w:t>
                  </w:r>
                </w:p>
              </w:tc>
              <w:tc>
                <w:tcPr/>
                <w:p>
                  <w:pPr>
                    <w:pStyle w:val="Compact"/>
                    <w:jc w:val="right"/>
                    <w:jc w:val="center"/>
                  </w:pPr>
                  <w:r>
                    <w:t xml:space="preserve">2.6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147</w:t>
                  </w:r>
                </w:p>
              </w:tc>
              <w:tc>
                <w:tcPr/>
                <w:p>
                  <w:pPr>
                    <w:pStyle w:val="Compact"/>
                    <w:jc w:val="right"/>
                    <w:jc w:val="center"/>
                  </w:pPr>
                  <w:r>
                    <w:t xml:space="preserve">97.4</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41</w:t>
                  </w:r>
                </w:p>
              </w:tc>
              <w:tc>
                <w:tcPr/>
                <w:p>
                  <w:pPr>
                    <w:pStyle w:val="Compact"/>
                    <w:jc w:val="right"/>
                    <w:jc w:val="center"/>
                  </w:pPr>
                  <w:r>
                    <w:t xml:space="preserve">27.2</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58</w:t>
                  </w:r>
                </w:p>
              </w:tc>
              <w:tc>
                <w:tcPr/>
                <w:p>
                  <w:pPr>
                    <w:pStyle w:val="Compact"/>
                    <w:jc w:val="right"/>
                    <w:jc w:val="center"/>
                  </w:pPr>
                  <w:r>
                    <w:t xml:space="preserve">38.4</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23</w:t>
                  </w:r>
                </w:p>
              </w:tc>
              <w:tc>
                <w:tcPr/>
                <w:p>
                  <w:pPr>
                    <w:pStyle w:val="Compact"/>
                    <w:jc w:val="right"/>
                    <w:jc w:val="center"/>
                  </w:pPr>
                  <w:r>
                    <w:t xml:space="preserve">15.2</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Employed full-time</w:t>
                  </w:r>
                </w:p>
              </w:tc>
              <w:tc>
                <w:tcPr/>
                <w:p>
                  <w:pPr>
                    <w:pStyle w:val="Compact"/>
                    <w:jc w:val="right"/>
                    <w:jc w:val="center"/>
                  </w:pPr>
                  <w:r>
                    <w:t xml:space="preserve">72</w:t>
                  </w:r>
                </w:p>
              </w:tc>
              <w:tc>
                <w:tcPr/>
                <w:p>
                  <w:pPr>
                    <w:pStyle w:val="Compact"/>
                    <w:jc w:val="right"/>
                    <w:jc w:val="center"/>
                  </w:pPr>
                  <w:r>
                    <w:t xml:space="preserve">47.7</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26</w:t>
                  </w:r>
                </w:p>
              </w:tc>
              <w:tc>
                <w:tcPr/>
                <w:p>
                  <w:pPr>
                    <w:pStyle w:val="Compact"/>
                    <w:jc w:val="right"/>
                    <w:jc w:val="center"/>
                  </w:pPr>
                  <w:r>
                    <w:t xml:space="preserve">17.2</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w:t>
                  </w:r>
                  <w:r>
                    <w:t xml:space="preserve"> </w:t>
                  </w:r>
                  <w:r>
                    <w:t xml:space="preserve">maternity leave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9</w:t>
                  </w:r>
                </w:p>
              </w:tc>
              <w:tc>
                <w:tcPr/>
                <w:p>
                  <w:pPr>
                    <w:pStyle w:val="Compact"/>
                    <w:jc w:val="right"/>
                    <w:jc w:val="center"/>
                  </w:pPr>
                  <w:r>
                    <w:t xml:space="preserve">6.0</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$34,298</w:t>
                  </w:r>
                </w:p>
              </w:tc>
              <w:tc>
                <w:tcPr/>
                <w:p>
                  <w:pPr>
                    <w:pStyle w:val="Compact"/>
                    <w:jc w:val="left"/>
                    <w:jc w:val="center"/>
                  </w:pPr>
                  <w:r>
                    <w:t xml:space="preserve">$31,807</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Never married</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21.2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45</w:t>
                  </w:r>
                </w:p>
              </w:tc>
              <w:tc>
                <w:tcPr/>
                <w:p>
                  <w:pPr>
                    <w:pStyle w:val="Compact"/>
                    <w:jc w:val="right"/>
                    <w:jc w:val="center"/>
                  </w:pPr>
                  <w:r>
                    <w:t xml:space="preserve">29.8</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3.3</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DSM-5 AUD Symptom Count</w:t>
                  </w:r>
                </w:p>
              </w:tc>
              <w:tc>
                <w:tcPr/>
                <w:p>
                  <w:pPr>
                    <w:pStyle w:val="Compact"/>
                  </w:pPr>
                </w:p>
              </w:tc>
              <w:tc>
                <w:tcPr/>
                <w:p>
                  <w:pPr>
                    <w:pStyle w:val="Compact"/>
                  </w:pPr>
                </w:p>
              </w:tc>
              <w:tc>
                <w:tcPr/>
                <w:p>
                  <w:pPr>
                    <w:pStyle w:val="Compact"/>
                    <w:jc w:val="left"/>
                    <w:jc w:val="center"/>
                  </w:pPr>
                  <w:r>
                    <w:t xml:space="preserve">8.9</w:t>
                  </w:r>
                </w:p>
              </w:tc>
              <w:tc>
                <w:tcPr/>
                <w:p>
                  <w:pPr>
                    <w:pStyle w:val="Compact"/>
                    <w:jc w:val="left"/>
                    <w:jc w:val="center"/>
                  </w:pPr>
                  <w:r>
                    <w:t xml:space="preserve">1.9</w:t>
                  </w:r>
                </w:p>
              </w:tc>
              <w:tc>
                <w:tcPr/>
                <w:p>
                  <w:pPr>
                    <w:pStyle w:val="Compact"/>
                    <w:jc w:val="left"/>
                    <w:jc w:val="center"/>
                  </w:pPr>
                  <w:r>
                    <w:t xml:space="preserve">4-11</w:t>
                  </w:r>
                </w:p>
              </w:tc>
            </w:tr>
            <w:tr>
              <w:tc>
                <w:tcPr/>
                <w:p>
                  <w:pPr>
                    <w:pStyle w:val="Compact"/>
                    <w:jc w:val="left"/>
                    <w:jc w:val="center"/>
                  </w:pPr>
                  <w:r>
                    <w:t xml:space="preserve">Reported 1 or More Lapse During Study</w:t>
                  </w:r>
                  <w:r>
                    <w:t xml:space="preserve"> </w:t>
                  </w:r>
                  <w:r>
                    <w:t xml:space="preserve">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Number of reported lapses</w:t>
                  </w:r>
                </w:p>
              </w:tc>
              <w:tc>
                <w:tcPr/>
                <w:p>
                  <w:pPr>
                    <w:pStyle w:val="Compact"/>
                  </w:pPr>
                </w:p>
              </w:tc>
              <w:tc>
                <w:tcPr/>
                <w:p>
                  <w:pPr>
                    <w:pStyle w:val="Compact"/>
                  </w:pPr>
                </w:p>
              </w:tc>
              <w:tc>
                <w:tcPr/>
                <w:p>
                  <w:pPr>
                    <w:pStyle w:val="Compact"/>
                    <w:jc w:val="left"/>
                    <w:jc w:val="center"/>
                  </w:pPr>
                  <w:r>
                    <w:t xml:space="preserve">6.8</w:t>
                  </w:r>
                </w:p>
              </w:tc>
              <w:tc>
                <w:tcPr/>
                <w:p>
                  <w:pPr>
                    <w:pStyle w:val="Compact"/>
                    <w:jc w:val="left"/>
                    <w:jc w:val="center"/>
                  </w:pPr>
                  <w:r>
                    <w:t xml:space="preserve">12</w:t>
                  </w:r>
                </w:p>
              </w:tc>
              <w:tc>
                <w:tcPr/>
                <w:p>
                  <w:pPr>
                    <w:pStyle w:val="Compact"/>
                    <w:jc w:val="left"/>
                    <w:jc w:val="center"/>
                  </w:pPr>
                  <w:r>
                    <w:t xml:space="preserve">0-75</w:t>
                  </w:r>
                </w:p>
              </w:tc>
            </w:tr>
          </w:tbl>
          <w:bookmarkEnd w:id="47"/>
          <w:p/>
        </w:tc>
      </w:tr>
    </w:tbl>
    <w:p>
      <w:pPr>
        <w:pStyle w:val="BodyText"/>
      </w:pPr>
      <w:r>
        <w:rPr>
          <w:vertAlign w:val="subscript"/>
        </w:rPr>
        <w:t xml:space="preserve">Source:</w:t>
      </w:r>
      <w:r>
        <w:rPr>
          <w:vertAlign w:val="subscript"/>
        </w:rPr>
        <w:t xml:space="preserve"> </w:t>
      </w:r>
      <w:hyperlink r:id="rId48">
        <w:r>
          <w:rPr>
            <w:rStyle w:val="Hyperlink"/>
            <w:vertAlign w:val="subscript"/>
          </w:rPr>
          <w:t xml:space="preserve">Make All Tables for Main Manuscript</w:t>
        </w:r>
      </w:hyperlink>
    </w:p>
    <w:bookmarkEnd w:id="49"/>
    <w:bookmarkStart w:id="56" w:name="model-evaluation"/>
    <w:p>
      <w:pPr>
        <w:pStyle w:val="Heading2"/>
      </w:pPr>
      <w:r>
        <w:t xml:space="preserve">Model Evaluation</w:t>
      </w:r>
    </w:p>
    <w:p>
      <w:pPr>
        <w:pStyle w:val="FirstParagraph"/>
      </w:pPr>
      <w:r>
        <w:t xml:space="preserve">The median auROC across the 30 test sets for our baseline model was high (median=0.893, IQR=0.045), consistent with our previous study.</w:t>
      </w:r>
      <w:r>
        <w:rPr>
          <w:rStyle w:val="FootnoteReference"/>
        </w:rPr>
        <w:footnoteReference w:id="50"/>
      </w:r>
      <w:r>
        <w:t xml:space="preserve"> </w:t>
      </w:r>
      <w:r>
        <w:t xml:space="preserve">Performance across our lagged models was also high for the 24 hour lag (median=0.882, IQR=0.039), 72 hour lag (median=0.868, IQR=0.057), 168 hour lag (median=0.860, IQR=0.062), and 336 hour lag (median=0.856, IQR=0.062).</w:t>
      </w:r>
    </w:p>
    <w:p>
      <w:pPr>
        <w:pStyle w:val="BodyText"/>
      </w:pPr>
      <w:r>
        <w:t xml:space="preserve">Histograms of the full posterior probability distributions for auROC for each model are available in the supplement. The median auROCs from these posterior distributions were 0.893 (baseline), 0.887 (24 hour lag), 0.875 (72 hour lag), 0.871 (168 hour lag), and 0.852 (336 hour lag). These values represent our best estimates for the magnitude of the auROC parameter for each model. The 95% Bayesian CI for the auROCs for these models were relatively narrow and did not contain 0.5: baseline [0.876-0.908], 24 hour lag [0.869-0.903], 72 hour lag [0.855-0.892], 168 hour lag [0.850-0.889], 336 hour lag [0.830-0.872].Panel A in</w:t>
      </w:r>
      <w:r>
        <w:t xml:space="preserve"> </w:t>
      </w:r>
      <w:hyperlink w:anchor="fig-1">
        <w:r>
          <w:rPr>
            <w:rStyle w:val="Hyperlink"/>
          </w:rPr>
          <w:t xml:space="preserve">Figure 2</w:t>
        </w:r>
      </w:hyperlink>
      <w:r>
        <w:t xml:space="preserve"> </w:t>
      </w:r>
      <w:r>
        <w:t xml:space="preserve">displays these median auROCs and 95% Bayesian CIs by model.</w:t>
      </w:r>
    </w:p>
    <w:tbl>
      <w:tblPr>
        <w:tblStyle w:val="Table"/>
        <w:tblW w:type="pct" w:w="5000"/>
        <w:tblLayout w:type="fixed"/>
        <w:tblLook w:firstRow="0" w:lastRow="0" w:firstColumn="0" w:lastColumn="0" w:noHBand="0" w:noVBand="0" w:val="0000"/>
      </w:tblPr>
      <w:tblGrid>
        <w:gridCol w:w="7920"/>
      </w:tblGrid>
      <w:tr>
        <w:tc>
          <w:tcPr/>
          <w:bookmarkStart w:id="54" w:name="fig-1"/>
          <w:p>
            <w:pPr>
              <w:pStyle w:val="Compact"/>
              <w:jc w:val="center"/>
            </w:pPr>
            <w:r>
              <w:drawing>
                <wp:inline>
                  <wp:extent cx="5334000" cy="3810000"/>
                  <wp:effectExtent b="0" l="0" r="0" t="0"/>
                  <wp:docPr descr="" title="" id="52" name="Picture"/>
                  <a:graphic>
                    <a:graphicData uri="http://schemas.openxmlformats.org/drawingml/2006/picture">
                      <pic:pic>
                        <pic:nvPicPr>
                          <pic:cNvPr descr="index_files/figure-docx/notebooks-mak_figures-fig-1-output-1.png" id="53" name="Picture"/>
                          <pic:cNvPicPr>
                            <a:picLocks noChangeArrowheads="1" noChangeAspect="1"/>
                          </pic:cNvPicPr>
                        </pic:nvPicPr>
                        <pic:blipFill>
                          <a:blip r:embed="rId5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Panel A depicts posterior probability for area under ROC curve (auROC) and Bayesian credible intervals by model. Dashed line indicates a model performing at chance. Panel B depicts difference in auROCs by demographic group</w:t>
            </w:r>
          </w:p>
          <w:bookmarkEnd w:id="54"/>
        </w:tc>
      </w:tr>
    </w:tbl>
    <w:p>
      <w:pPr>
        <w:pStyle w:val="BodyText"/>
      </w:pPr>
      <w:r>
        <w:rPr>
          <w:vertAlign w:val="subscript"/>
        </w:rPr>
        <w:t xml:space="preserve">Source:</w:t>
      </w:r>
      <w:r>
        <w:rPr>
          <w:vertAlign w:val="subscript"/>
        </w:rPr>
        <w:t xml:space="preserve"> </w:t>
      </w:r>
      <w:hyperlink r:id="rId55">
        <w:r>
          <w:rPr>
            <w:rStyle w:val="Hyperlink"/>
            <w:vertAlign w:val="subscript"/>
          </w:rPr>
          <w:t xml:space="preserve">Make All Figures for Main Manuscript</w:t>
        </w:r>
      </w:hyperlink>
    </w:p>
    <w:bookmarkEnd w:id="56"/>
    <w:bookmarkStart w:id="59" w:name="model-comparisons"/>
    <w:p>
      <w:pPr>
        <w:pStyle w:val="Heading2"/>
      </w:pPr>
      <w:r>
        <w:t xml:space="preserve">Model Comparisons</w:t>
      </w:r>
    </w:p>
    <w:bookmarkStart w:id="57" w:name="baseline-contrasts"/>
    <w:p>
      <w:pPr>
        <w:pStyle w:val="Heading3"/>
      </w:pPr>
      <w:r>
        <w:t xml:space="preserve">Baseline Contrasts</w:t>
      </w:r>
    </w:p>
    <w:p>
      <w:pPr>
        <w:pStyle w:val="FirstParagraph"/>
      </w:pPr>
      <w:r>
        <w:t xml:space="preserve">The median decrease in auROC for the baseline vs. 24 hour lag model was 0.006 (95% CI=[0.000-0.012]), yielding a significant probability of 0.960 that the lagged model had worse performance. The median decrease in auROC for the baseline vs. 72 hour model was 0.018 (95% CI=[0.012-0.025]), yielding a significant probability of 1.000 that the lagged model had worse performance. The median decrease in auROC for the baseline vs. 168 hour lag model was 0.023 (95% CI=[0.016-0.029]), yielding a significant probability of 1.000 that the lagged model had worse performance. The median decrease in auROC for the baseline vs. 336 hour lag model was 0.041 (95% CI=[0.033-0.049]), yielding a significant probability of 1.000 that the lagged model had worse performance.</w:t>
      </w:r>
    </w:p>
    <w:bookmarkEnd w:id="57"/>
    <w:bookmarkStart w:id="58" w:name="adjacent-contrasts"/>
    <w:p>
      <w:pPr>
        <w:pStyle w:val="Heading3"/>
      </w:pPr>
      <w:r>
        <w:t xml:space="preserve">Adjacent Contrasts</w:t>
      </w:r>
    </w:p>
    <w:p>
      <w:pPr>
        <w:pStyle w:val="FirstParagraph"/>
      </w:pPr>
      <w:r>
        <w:t xml:space="preserve">The median decrease in auROC for the 24 hour vs. 72 hour lag model was 0.012 (95% CI=[0.006-0.019]), yielding a significant probability of 1.000 that the 72 hour lag model had worse performance than the 24 hour lag model. The median decrease in auROC for the 72 hour vs. 168 hour lag model was 0.004 (95% CI=[-0.002-0.011]), yielding a non-significant probability of 0.865 that the 168 hour lag model had worse performance than the 72 hour lag model. The median decrease in auROC for the 168 hour vs. 336 hour lag model was 0.018 (95% CI=[0.011-0.025]), yielding a significant probability of 1.000 that the 336 hour lag model had worse performance than the 168 hour lag model.</w:t>
      </w:r>
    </w:p>
    <w:bookmarkEnd w:id="58"/>
    <w:bookmarkEnd w:id="59"/>
    <w:bookmarkStart w:id="60" w:name="fairness-benchmarks-1"/>
    <w:p>
      <w:pPr>
        <w:pStyle w:val="Heading2"/>
      </w:pPr>
      <w:r>
        <w:t xml:space="preserve">Fairness Benchmarks</w:t>
      </w:r>
    </w:p>
    <w:p>
      <w:pPr>
        <w:pStyle w:val="FirstParagraph"/>
      </w:pPr>
      <w:r>
        <w:t xml:space="preserve">Panel B in</w:t>
      </w:r>
      <w:r>
        <w:t xml:space="preserve"> </w:t>
      </w:r>
      <w:hyperlink w:anchor="fig-1">
        <w:r>
          <w:rPr>
            <w:rStyle w:val="Hyperlink"/>
          </w:rPr>
          <w:t xml:space="preserve">Figure 2</w:t>
        </w:r>
      </w:hyperlink>
      <w:r>
        <w:t xml:space="preserve"> </w:t>
      </w:r>
      <w:r>
        <w:t xml:space="preserve">shows the difference in performance of each model by race (not White;</w:t>
      </w:r>
      <w:r>
        <w:t xml:space="preserve"> </w:t>
      </w:r>
      <w:r>
        <w:rPr>
          <w:i/>
          <w:iCs/>
        </w:rPr>
        <w:t xml:space="preserve">N</w:t>
      </w:r>
      <w:r>
        <w:t xml:space="preserve"> </w:t>
      </w:r>
      <w:r>
        <w:t xml:space="preserve">= 20 vs. Non-Hispanic White;</w:t>
      </w:r>
      <w:r>
        <w:t xml:space="preserve"> </w:t>
      </w:r>
      <w:r>
        <w:rPr>
          <w:i/>
          <w:iCs/>
        </w:rPr>
        <w:t xml:space="preserve">N</w:t>
      </w:r>
      <w:r>
        <w:t xml:space="preserve"> </w:t>
      </w:r>
      <w:r>
        <w:t xml:space="preserve">= 131), sex at birth (female;</w:t>
      </w:r>
      <w:r>
        <w:t xml:space="preserve"> </w:t>
      </w:r>
      <w:r>
        <w:rPr>
          <w:i/>
          <w:iCs/>
        </w:rPr>
        <w:t xml:space="preserve">N</w:t>
      </w:r>
      <w:r>
        <w:t xml:space="preserve"> </w:t>
      </w:r>
      <w:r>
        <w:t xml:space="preserve">= 74 vs. Male;</w:t>
      </w:r>
      <w:r>
        <w:t xml:space="preserve"> </w:t>
      </w:r>
      <w:r>
        <w:rPr>
          <w:i/>
          <w:iCs/>
        </w:rPr>
        <w:t xml:space="preserve">N</w:t>
      </w:r>
      <w:r>
        <w:t xml:space="preserve"> </w:t>
      </w:r>
      <w:r>
        <w:t xml:space="preserve">= 77), and income (below poverty;</w:t>
      </w:r>
      <w:r>
        <w:t xml:space="preserve"> </w:t>
      </w:r>
      <w:r>
        <w:rPr>
          <w:i/>
          <w:iCs/>
        </w:rPr>
        <w:t xml:space="preserve">N</w:t>
      </w:r>
      <w:r>
        <w:t xml:space="preserve"> </w:t>
      </w:r>
      <w:r>
        <w:t xml:space="preserve">= 18 vs. above poverty;</w:t>
      </w:r>
      <w:r>
        <w:t xml:space="preserve"> </w:t>
      </w:r>
      <w:r>
        <w:rPr>
          <w:i/>
          <w:iCs/>
        </w:rPr>
        <w:t xml:space="preserve">N</w:t>
      </w:r>
      <w:r>
        <w:t xml:space="preserve"> </w:t>
      </w:r>
      <w:r>
        <w:t xml:space="preserve">= 133). All group comparisons were significant (probability &gt; .95) across models. On average there was a median decrease in auROC of 0.159 (range 0.107-0.179) for participants who were not White compared to non-Hispanic White participants. On average there was a median decrease in auROC of 0.080 (range 0.059-0.116) for female participants compared to male participants. On average there was a median decrease in auROC of 0.092 (range 0.086-0.133) for participants below the federal poverty line compared to participants above the federal poverty line. Table 1 in the supplement shows the median auROC and credible intervals separately by group and model.</w:t>
      </w:r>
    </w:p>
    <w:bookmarkEnd w:id="60"/>
    <w:bookmarkStart w:id="66" w:name="feature-importance-1"/>
    <w:p>
      <w:pPr>
        <w:pStyle w:val="Heading2"/>
      </w:pPr>
      <w:r>
        <w:t xml:space="preserve">Feature Importance</w:t>
      </w:r>
    </w:p>
    <w:p>
      <w:pPr>
        <w:pStyle w:val="FirstParagraph"/>
      </w:pPr>
      <w:r>
        <w:t xml:space="preserve">Global importance (mean |Shapley value|) for feature categories for each model appears in Panel A of</w:t>
      </w:r>
      <w:r>
        <w:t xml:space="preserve"> </w:t>
      </w:r>
      <w:hyperlink w:anchor="fig-shap">
        <w:r>
          <w:rPr>
            <w:rStyle w:val="Hyperlink"/>
          </w:rPr>
          <w:t xml:space="preserve">Figure 3</w:t>
        </w:r>
      </w:hyperlink>
      <w:r>
        <w:t xml:space="preserve">. Consistent with previous models using similar features, past use was the most important feature category for lapse prediction across lagged models. Future abstinence efficacy, craving, and future risky situations were also globally important across models. Income was the only demographic feature that emerged as having high global importance for lapse prediction. Overall, the contribution of a feature category to model performance did not appear to differ across models.</w:t>
      </w:r>
    </w:p>
    <w:p>
      <w:pPr>
        <w:pStyle w:val="BodyText"/>
      </w:pPr>
      <w:r>
        <w:t xml:space="preserve">Panel B shows the local feature importance scores colored by high or low feature value for the baseline (0 lag) model. Local feature importance plots for our other models can be found in the supplement. Future abstinence efficacy, future risky situations, and income appear to have a linear relationship to lapse prediction. Higher efficacy, fewer future risky situations, and higher income were associated with a lower likelihood that the model would predict a lapse. In the supplement, we plot the relationship between Shapley value and feature score individually for our top five features by model.</w:t>
      </w:r>
    </w:p>
    <w:tbl>
      <w:tblPr>
        <w:tblStyle w:val="Table"/>
        <w:tblW w:type="pct" w:w="5000"/>
        <w:tblLayout w:type="fixed"/>
        <w:tblLook w:firstRow="0" w:lastRow="0" w:firstColumn="0" w:lastColumn="0" w:noHBand="0" w:noVBand="0" w:val="0000"/>
      </w:tblPr>
      <w:tblGrid>
        <w:gridCol w:w="7920"/>
      </w:tblGrid>
      <w:tr>
        <w:tc>
          <w:tcPr/>
          <w:bookmarkStart w:id="64" w:name="fig-shap"/>
          <w:p>
            <w:pPr>
              <w:pStyle w:val="Compact"/>
              <w:jc w:val="center"/>
            </w:pPr>
            <w:r>
              <w:drawing>
                <wp:inline>
                  <wp:extent cx="5334000" cy="4191000"/>
                  <wp:effectExtent b="0" l="0" r="0" t="0"/>
                  <wp:docPr descr="" title="" id="62" name="Picture"/>
                  <a:graphic>
                    <a:graphicData uri="http://schemas.openxmlformats.org/drawingml/2006/picture">
                      <pic:pic>
                        <pic:nvPicPr>
                          <pic:cNvPr descr="index_files/figure-docx/notebooks-mak_figures-fig-shap-output-1.png" id="63" name="Picture"/>
                          <pic:cNvPicPr>
                            <a:picLocks noChangeArrowheads="1" noChangeAspect="1"/>
                          </pic:cNvPicPr>
                        </pic:nvPicPr>
                        <pic:blipFill>
                          <a:blip r:embed="rId61"/>
                          <a:stretch>
                            <a:fillRect/>
                          </a:stretch>
                        </pic:blipFill>
                        <pic:spPr bwMode="auto">
                          <a:xfrm>
                            <a:off x="0" y="0"/>
                            <a:ext cx="5334000" cy="419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Panel A depicts the global importance (mean |Shapley value|) for feature categories for each model. Feature categories are ordered by their aggregate global importance (i.e., total bar length) across the five models. The importance of each feature category for specific models is displayed separately by color. Panel B shows the local feature importance for the 336 hour lagged model.</w:t>
            </w:r>
          </w:p>
          <w:bookmarkEnd w:id="64"/>
        </w:tc>
      </w:tr>
    </w:tbl>
    <w:p>
      <w:pPr>
        <w:pStyle w:val="BodyText"/>
      </w:pPr>
      <w:r>
        <w:rPr>
          <w:vertAlign w:val="subscript"/>
        </w:rPr>
        <w:t xml:space="preserve">Source:</w:t>
      </w:r>
      <w:r>
        <w:rPr>
          <w:vertAlign w:val="subscript"/>
        </w:rPr>
        <w:t xml:space="preserve"> </w:t>
      </w:r>
      <w:hyperlink r:id="rId65">
        <w:r>
          <w:rPr>
            <w:rStyle w:val="Hyperlink"/>
            <w:vertAlign w:val="subscript"/>
          </w:rPr>
          <w:t xml:space="preserve">Make All Figures for Main Manuscript</w:t>
        </w:r>
      </w:hyperlink>
    </w:p>
    <w:bookmarkEnd w:id="66"/>
    <w:bookmarkStart w:id="67" w:name="discussion"/>
    <w:p>
      <w:pPr>
        <w:pStyle w:val="Heading2"/>
      </w:pPr>
      <w:r>
        <w:t xml:space="preserve">Discussion</w:t>
      </w:r>
    </w:p>
    <w:p>
      <w:pPr>
        <w:numPr>
          <w:ilvl w:val="0"/>
          <w:numId w:val="1003"/>
        </w:numPr>
      </w:pPr>
      <w:r>
        <w:t xml:space="preserve">Model degrades but perhaps not meaningfully even down to two weeks out.</w:t>
      </w:r>
    </w:p>
    <w:p>
      <w:pPr>
        <w:numPr>
          <w:ilvl w:val="0"/>
          <w:numId w:val="1003"/>
        </w:numPr>
      </w:pPr>
      <w:r>
        <w:t xml:space="preserve">All models were worse for women and people were not white and below poverty line.</w:t>
      </w:r>
    </w:p>
    <w:p>
      <w:pPr>
        <w:numPr>
          <w:ilvl w:val="0"/>
          <w:numId w:val="1003"/>
        </w:numPr>
      </w:pPr>
      <w:r>
        <w:t xml:space="preserve">Improving model performance for unprivileged classes. Considering other important classes for SUD, such as geographic location, Improving diversity of training data</w:t>
      </w:r>
    </w:p>
    <w:p>
      <w:pPr>
        <w:numPr>
          <w:ilvl w:val="0"/>
          <w:numId w:val="1003"/>
        </w:numPr>
      </w:pPr>
      <w:r>
        <w:t xml:space="preserve">low N in disparity groups for model comparisons - causing wide CIs?</w:t>
      </w:r>
    </w:p>
    <w:p>
      <w:pPr>
        <w:numPr>
          <w:ilvl w:val="0"/>
          <w:numId w:val="1003"/>
        </w:numPr>
      </w:pPr>
      <w:r>
        <w:t xml:space="preserve">Performance discrepancies sets up fairness methods paper. How can we improve these discrepancies? Mention in discussion as current future direction</w:t>
      </w:r>
    </w:p>
    <w:p>
      <w:pPr>
        <w:numPr>
          <w:ilvl w:val="0"/>
          <w:numId w:val="1003"/>
        </w:numPr>
      </w:pPr>
      <w:r>
        <w:t xml:space="preserve">Note from Gaylen: if the model performance doesn’t degrade much, and the feature importance doesn’t seem to change much across lags… what does this say about the need for proximal predictors? obviously 2-3 weeks out is different than 6 months out, but even in-the-moment features are still important for predicting a lapse up to 3 weeks later (2 week lag plus 1 week window as lapse could be any time within the window). it is obviously exciting that we can do this advanced prediction, but i think you’ll have to navigate the line between celebrating that success and still calling for dense monitoring of proximal predictors</w:t>
      </w:r>
    </w:p>
    <w:bookmarkEnd w:id="67"/>
    <w:bookmarkStart w:id="110" w:name="references"/>
    <w:p>
      <w:pPr>
        <w:pStyle w:val="Heading2"/>
      </w:pPr>
      <w:r>
        <w:t xml:space="preserve">References</w:t>
      </w:r>
    </w:p>
    <w:bookmarkStart w:id="109" w:name="refs"/>
    <w:bookmarkStart w:id="69" w:name="ref-baeMobilePhoneSensors2018"/>
    <w:p>
      <w:pPr>
        <w:pStyle w:val="Bibliography"/>
      </w:pPr>
      <w:r>
        <w:t xml:space="preserve">Bae, Sangwon, Tammy Chung, Denzil Ferreira, Anind K. Dey, and Brian Suffoletto. 2018.</w:t>
      </w:r>
      <w:r>
        <w:t xml:space="preserve"> </w:t>
      </w:r>
      <w:r>
        <w:t xml:space="preserve">“Mobile Phone Sensors and Supervised Machine Learning to Identify Alcohol Use Events in Young Adults:</w:t>
      </w:r>
      <w:r>
        <w:t xml:space="preserve"> </w:t>
      </w:r>
      <w:r>
        <w:t xml:space="preserve">Implications</w:t>
      </w:r>
      <w:r>
        <w:t xml:space="preserve"> </w:t>
      </w:r>
      <w:r>
        <w:t xml:space="preserve">for Just-in-Time Adaptive Interventions.”</w:t>
      </w:r>
      <w:r>
        <w:t xml:space="preserve"> </w:t>
      </w:r>
      <w:r>
        <w:rPr>
          <w:i/>
          <w:iCs/>
        </w:rPr>
        <w:t xml:space="preserve">Addictive Behaviors</w:t>
      </w:r>
      <w:r>
        <w:t xml:space="preserve"> </w:t>
      </w:r>
      <w:r>
        <w:t xml:space="preserve">83 (August): 42–47.</w:t>
      </w:r>
      <w:r>
        <w:t xml:space="preserve"> </w:t>
      </w:r>
      <w:hyperlink r:id="rId68">
        <w:r>
          <w:rPr>
            <w:rStyle w:val="Hyperlink"/>
          </w:rPr>
          <w:t xml:space="preserve">https://doi.org/10.1016/j.addbeh.2017.11.039</w:t>
        </w:r>
      </w:hyperlink>
      <w:r>
        <w:t xml:space="preserve">.</w:t>
      </w:r>
    </w:p>
    <w:bookmarkEnd w:id="69"/>
    <w:bookmarkStart w:id="71" w:name="ref-chtc"/>
    <w:p>
      <w:pPr>
        <w:pStyle w:val="Bibliography"/>
      </w:pPr>
      <w:r>
        <w:t xml:space="preserve">Center for High Throughput Computing. 2006.</w:t>
      </w:r>
      <w:r>
        <w:t xml:space="preserve"> </w:t>
      </w:r>
      <w:r>
        <w:t xml:space="preserve">“Center for High Throughput Computing.”</w:t>
      </w:r>
      <w:r>
        <w:t xml:space="preserve"> </w:t>
      </w:r>
      <w:r>
        <w:t xml:space="preserve">Center for High Throughput Computing.</w:t>
      </w:r>
      <w:r>
        <w:t xml:space="preserve"> </w:t>
      </w:r>
      <w:hyperlink r:id="rId70">
        <w:r>
          <w:rPr>
            <w:rStyle w:val="Hyperlink"/>
          </w:rPr>
          <w:t xml:space="preserve">https://doi.org/10.21231/GNT1-HW21</w:t>
        </w:r>
      </w:hyperlink>
      <w:r>
        <w:t xml:space="preserve">.</w:t>
      </w:r>
    </w:p>
    <w:bookmarkEnd w:id="71"/>
    <w:bookmarkStart w:id="73" w:name="ref-chihPredictiveModelingAddiction2014"/>
    <w:p>
      <w:pPr>
        <w:pStyle w:val="Bibliography"/>
      </w:pPr>
      <w:r>
        <w:t xml:space="preserve">Chih, Ming-Yuan, Timothy Patton, Fiona M. McTavish, Andrew J. Isham, Chris L. Judkins-Fisher, Amy K. Atwood, and David H. Gustafson. 2014.</w:t>
      </w:r>
      <w:r>
        <w:t xml:space="preserve"> </w:t>
      </w:r>
      <w:r>
        <w:t xml:space="preserve">“Predictive Modeling of Addiction Lapses in a Mobile Health Application.”</w:t>
      </w:r>
      <w:r>
        <w:t xml:space="preserve"> </w:t>
      </w:r>
      <w:r>
        <w:rPr>
          <w:i/>
          <w:iCs/>
        </w:rPr>
        <w:t xml:space="preserve">Journal of Substance Abuse Treatment</w:t>
      </w:r>
      <w:r>
        <w:t xml:space="preserve"> </w:t>
      </w:r>
      <w:r>
        <w:t xml:space="preserve">46 (1): 29–35.</w:t>
      </w:r>
      <w:r>
        <w:t xml:space="preserve"> </w:t>
      </w:r>
      <w:hyperlink r:id="rId72">
        <w:r>
          <w:rPr>
            <w:rStyle w:val="Hyperlink"/>
          </w:rPr>
          <w:t xml:space="preserve">https://doi.org/10.1016/j.jsat.2013.08.004</w:t>
        </w:r>
      </w:hyperlink>
      <w:r>
        <w:t xml:space="preserve">.</w:t>
      </w:r>
    </w:p>
    <w:bookmarkEnd w:id="73"/>
    <w:bookmarkStart w:id="75" w:name="ref-derubeisHistoryCurrentStatus2019"/>
    <w:p>
      <w:pPr>
        <w:pStyle w:val="Bibliography"/>
      </w:pPr>
      <w:r>
        <w:t xml:space="preserve">DeRubeis, Robert J. 2019.</w:t>
      </w:r>
      <w:r>
        <w:t xml:space="preserve"> </w:t>
      </w:r>
      <w:r>
        <w:t xml:space="preserve">“The History, Current Status, and Possible Future of Precision Mental Health.”</w:t>
      </w:r>
      <w:r>
        <w:t xml:space="preserve"> </w:t>
      </w:r>
      <w:r>
        <w:rPr>
          <w:i/>
          <w:iCs/>
        </w:rPr>
        <w:t xml:space="preserve">Behaviour Research and Therapy</w:t>
      </w:r>
      <w:r>
        <w:t xml:space="preserve"> </w:t>
      </w:r>
      <w:r>
        <w:t xml:space="preserve">123 (December): 103506.</w:t>
      </w:r>
      <w:r>
        <w:t xml:space="preserve"> </w:t>
      </w:r>
      <w:hyperlink r:id="rId74">
        <w:r>
          <w:rPr>
            <w:rStyle w:val="Hyperlink"/>
          </w:rPr>
          <w:t xml:space="preserve">https://doi.org/10.1016/j.brat.2019.103506</w:t>
        </w:r>
      </w:hyperlink>
      <w:r>
        <w:t xml:space="preserve">.</w:t>
      </w:r>
    </w:p>
    <w:bookmarkEnd w:id="75"/>
    <w:bookmarkStart w:id="76" w:name="ref-gabryPriorDistributionsRstanarm2023"/>
    <w:p>
      <w:pPr>
        <w:pStyle w:val="Bibliography"/>
      </w:pPr>
      <w:r>
        <w:t xml:space="preserve">Gabry, Jonah, and Ben Goodrich. 2023.</w:t>
      </w:r>
      <w:r>
        <w:t xml:space="preserve"> </w:t>
      </w:r>
      <w:r>
        <w:t xml:space="preserve">“Prior</w:t>
      </w:r>
      <w:r>
        <w:t xml:space="preserve"> </w:t>
      </w:r>
      <w:r>
        <w:t xml:space="preserve">Distributions</w:t>
      </w:r>
      <w:r>
        <w:t xml:space="preserve"> </w:t>
      </w:r>
      <w:r>
        <w:t xml:space="preserve">for Rstanarm</w:t>
      </w:r>
      <w:r>
        <w:t xml:space="preserve"> </w:t>
      </w:r>
      <w:r>
        <w:t xml:space="preserve">Models</w:t>
      </w:r>
      <w:r>
        <w:t xml:space="preserve">.”</w:t>
      </w:r>
      <w:r>
        <w:t xml:space="preserve"> </w:t>
      </w:r>
      <w:r>
        <w:rPr>
          <w:i/>
          <w:iCs/>
        </w:rPr>
        <w:t xml:space="preserve">CRAN R-Project</w:t>
      </w:r>
      <w:r>
        <w:t xml:space="preserve">. https://cran.r-project.org/web/packages/rstanarm/vignettes/priors.html.</w:t>
      </w:r>
    </w:p>
    <w:bookmarkEnd w:id="76"/>
    <w:bookmarkStart w:id="77" w:name="ref-goodrichRstanarmBayesianApplied2023"/>
    <w:p>
      <w:pPr>
        <w:pStyle w:val="Bibliography"/>
      </w:pPr>
      <w:r>
        <w:t xml:space="preserve">Goodrich, Ben, Jonah Gabry, Imad Ali, and Sam Brilleman. 2023.</w:t>
      </w:r>
      <w:r>
        <w:t xml:space="preserve"> </w:t>
      </w:r>
      <w:r>
        <w:t xml:space="preserve">“Rstanarm:</w:t>
      </w:r>
      <w:r>
        <w:t xml:space="preserve"> </w:t>
      </w:r>
      <w:r>
        <w:t xml:space="preserve">Bayesian Applied Regression Modeling</w:t>
      </w:r>
      <w:r>
        <w:t xml:space="preserve"> </w:t>
      </w:r>
      <w:r>
        <w:t xml:space="preserve">via</w:t>
      </w:r>
      <w:r>
        <w:t xml:space="preserve"> </w:t>
      </w:r>
      <w:r>
        <w:t xml:space="preserve">Stan</w:t>
      </w:r>
      <w:r>
        <w:t xml:space="preserve">.”</w:t>
      </w:r>
    </w:p>
    <w:bookmarkEnd w:id="77"/>
    <w:bookmarkStart w:id="79" w:name="Xa203ab3abd150ead1a7854a9fa5726c8a273f52"/>
    <w:p>
      <w:pPr>
        <w:pStyle w:val="Bibliography"/>
      </w:pPr>
      <w:r>
        <w:t xml:space="preserve">Greenfield, Shelly F., Audrey J. Brooks, Susan M. Gordon, Carla A. Green, Frankie Kropp, R. Kathryn McHugh, Melissa Lincoln, Denise Hien, and Gloria M. Miele. 2007.</w:t>
      </w:r>
      <w:r>
        <w:t xml:space="preserve"> </w:t>
      </w:r>
      <w:r>
        <w:t xml:space="preserve">“Substance Abuse Treatment Entry, Retention, and Outcome in Women:</w:t>
      </w:r>
      <w:r>
        <w:t xml:space="preserve"> </w:t>
      </w:r>
      <w:r>
        <w:t xml:space="preserve">A</w:t>
      </w:r>
      <w:r>
        <w:t xml:space="preserve"> </w:t>
      </w:r>
      <w:r>
        <w:t xml:space="preserve">Review of the Literature.”</w:t>
      </w:r>
      <w:r>
        <w:t xml:space="preserve"> </w:t>
      </w:r>
      <w:r>
        <w:rPr>
          <w:i/>
          <w:iCs/>
        </w:rPr>
        <w:t xml:space="preserve">Drug and Alcohol Dependence</w:t>
      </w:r>
      <w:r>
        <w:t xml:space="preserve"> </w:t>
      </w:r>
      <w:r>
        <w:t xml:space="preserve">86 (1): 1–21.</w:t>
      </w:r>
      <w:r>
        <w:t xml:space="preserve"> </w:t>
      </w:r>
      <w:hyperlink r:id="rId78">
        <w:r>
          <w:rPr>
            <w:rStyle w:val="Hyperlink"/>
          </w:rPr>
          <w:t xml:space="preserve">https://doi.org/10.1016/j.drugalcdep.2006.05.012</w:t>
        </w:r>
      </w:hyperlink>
      <w:r>
        <w:t xml:space="preserve">.</w:t>
      </w:r>
    </w:p>
    <w:bookmarkEnd w:id="79"/>
    <w:bookmarkStart w:id="80" w:name="ref-hsiehSampleSizeTables1989"/>
    <w:p>
      <w:pPr>
        <w:pStyle w:val="Bibliography"/>
      </w:pPr>
      <w:r>
        <w:t xml:space="preserve">Hsieh, F. 1989.</w:t>
      </w:r>
      <w:r>
        <w:t xml:space="preserve"> </w:t>
      </w:r>
      <w:r>
        <w:t xml:space="preserve">“Sample Size Tables for Logistic Regression.”</w:t>
      </w:r>
      <w:r>
        <w:t xml:space="preserve"> </w:t>
      </w:r>
      <w:r>
        <w:rPr>
          <w:i/>
          <w:iCs/>
        </w:rPr>
        <w:t xml:space="preserve">Statistics in Medicine</w:t>
      </w:r>
      <w:r>
        <w:t xml:space="preserve"> </w:t>
      </w:r>
      <w:r>
        <w:t xml:space="preserve">8: 795–802.</w:t>
      </w:r>
    </w:p>
    <w:bookmarkEnd w:id="80"/>
    <w:bookmarkStart w:id="82" w:name="ref-kilaruIncidenceTreatmentOpioid2020"/>
    <w:p>
      <w:pPr>
        <w:pStyle w:val="Bibliography"/>
      </w:pPr>
      <w:r>
        <w:t xml:space="preserve">Kilaru, Austin S., Aria Xiong, Margaret Lowenstein, Zachary F. Meisel, Jeanmarie Perrone, Utsha Khatri, Nandita Mitra, and M. Kit Delgado. 2020.</w:t>
      </w:r>
      <w:r>
        <w:t xml:space="preserve"> </w:t>
      </w:r>
      <w:r>
        <w:t xml:space="preserve">“Incidence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w:t>
      </w:r>
      <w:r>
        <w:t xml:space="preserve"> </w:t>
      </w:r>
      <w:r>
        <w:rPr>
          <w:i/>
          <w:iCs/>
        </w:rPr>
        <w:t xml:space="preserve">JAMA Network Open</w:t>
      </w:r>
      <w:r>
        <w:t xml:space="preserve"> </w:t>
      </w:r>
      <w:r>
        <w:t xml:space="preserve">3 (5): e205852.</w:t>
      </w:r>
      <w:r>
        <w:t xml:space="preserve"> </w:t>
      </w:r>
      <w:hyperlink r:id="rId81">
        <w:r>
          <w:rPr>
            <w:rStyle w:val="Hyperlink"/>
          </w:rPr>
          <w:t xml:space="preserve">https://doi.org/10.1001/jamanetworkopen.2020.5852</w:t>
        </w:r>
      </w:hyperlink>
      <w:r>
        <w:t xml:space="preserve">.</w:t>
      </w:r>
    </w:p>
    <w:bookmarkEnd w:id="82"/>
    <w:bookmarkStart w:id="83" w:name="Xa93a98d1ce255982a5ea923c39451c32053b2a2"/>
    <w:p>
      <w:pPr>
        <w:pStyle w:val="Bibliography"/>
      </w:pPr>
      <w:r>
        <w:t xml:space="preserve">Kuhn, Max. 2022.</w:t>
      </w:r>
      <w:r>
        <w:t xml:space="preserve"> </w:t>
      </w:r>
      <w:r>
        <w:t xml:space="preserve">“Tidyposterior:</w:t>
      </w:r>
      <w:r>
        <w:t xml:space="preserve"> </w:t>
      </w:r>
      <w:r>
        <w:t xml:space="preserve">Bayesian Analysis</w:t>
      </w:r>
      <w:r>
        <w:t xml:space="preserve"> </w:t>
      </w:r>
      <w:r>
        <w:t xml:space="preserve">to</w:t>
      </w:r>
      <w:r>
        <w:t xml:space="preserve"> </w:t>
      </w:r>
      <w:r>
        <w:t xml:space="preserve">Compare Models</w:t>
      </w:r>
      <w:r>
        <w:t xml:space="preserve"> </w:t>
      </w:r>
      <w:r>
        <w:t xml:space="preserve">Using</w:t>
      </w:r>
      <w:r>
        <w:t xml:space="preserve"> </w:t>
      </w:r>
      <w:r>
        <w:t xml:space="preserve">Resampling Statistics</w:t>
      </w:r>
      <w:r>
        <w:t xml:space="preserve">.”</w:t>
      </w:r>
    </w:p>
    <w:bookmarkEnd w:id="83"/>
    <w:bookmarkStart w:id="85" w:name="ref-kuhnAppliedPredictiveModeling2018"/>
    <w:p>
      <w:pPr>
        <w:pStyle w:val="Bibliography"/>
      </w:pPr>
      <w:r>
        <w:t xml:space="preserve">Kuhn, Max, and Kjell Johnson. 2018.</w:t>
      </w:r>
      <w:r>
        <w:t xml:space="preserve"> </w:t>
      </w:r>
      <w:r>
        <w:rPr>
          <w:i/>
          <w:iCs/>
        </w:rPr>
        <w:t xml:space="preserve">Applied</w:t>
      </w:r>
      <w:r>
        <w:rPr>
          <w:i/>
          <w:iCs/>
        </w:rPr>
        <w:t xml:space="preserve"> </w:t>
      </w:r>
      <w:r>
        <w:rPr>
          <w:i/>
          <w:iCs/>
        </w:rPr>
        <w:t xml:space="preserve">Predictive Modeling</w:t>
      </w:r>
      <w:r>
        <w:t xml:space="preserve">. 1st ed. 2013, Corr. 2nd printing 2018 edition. New York: Springer.</w:t>
      </w:r>
      <w:r>
        <w:t xml:space="preserve"> </w:t>
      </w:r>
      <w:hyperlink r:id="rId84">
        <w:r>
          <w:rPr>
            <w:rStyle w:val="Hyperlink"/>
          </w:rPr>
          <w:t xml:space="preserve">https://doi.org/10.1007/978-1-4614-6849-3</w:t>
        </w:r>
      </w:hyperlink>
      <w:r>
        <w:t xml:space="preserve">.</w:t>
      </w:r>
    </w:p>
    <w:bookmarkEnd w:id="85"/>
    <w:bookmarkStart w:id="86" w:name="ref-kuhnTidymodelsCollectionPackages2020"/>
    <w:p>
      <w:pPr>
        <w:pStyle w:val="Bibliography"/>
      </w:pPr>
      <w:r>
        <w:t xml:space="preserve">Kuhn, Max, and Hadley Wickham. 2020.</w:t>
      </w:r>
      <w:r>
        <w:t xml:space="preserve"> </w:t>
      </w:r>
      <w:r>
        <w:t xml:space="preserve">“Tidymodels: A Collection of Packages for Modeling and Machine Learning Using Tidyverse Principles.”</w:t>
      </w:r>
    </w:p>
    <w:bookmarkEnd w:id="86"/>
    <w:bookmarkStart w:id="88" w:name="ref-kullSigmoidsHowObtain2017"/>
    <w:p>
      <w:pPr>
        <w:pStyle w:val="Bibliography"/>
      </w:pPr>
      <w:r>
        <w:t xml:space="preserve">Kull, Meelis, Telmo M. Silva Filho, and Peter Flach. 2017.</w:t>
      </w:r>
      <w:r>
        <w:t xml:space="preserve"> </w:t>
      </w:r>
      <w:r>
        <w:t xml:space="preserve">“Beyond Sigmoids:</w:t>
      </w:r>
      <w:r>
        <w:t xml:space="preserve"> </w:t>
      </w:r>
      <w:r>
        <w:t xml:space="preserve">How</w:t>
      </w:r>
      <w:r>
        <w:t xml:space="preserve"> </w:t>
      </w:r>
      <w:r>
        <w:t xml:space="preserve">to Obtain Well-Calibrated Probabilities from Binary Classifiers with Beta Calibration.”</w:t>
      </w:r>
      <w:r>
        <w:t xml:space="preserve"> </w:t>
      </w:r>
      <w:r>
        <w:rPr>
          <w:i/>
          <w:iCs/>
        </w:rPr>
        <w:t xml:space="preserve">Electronic Journal of Statistics</w:t>
      </w:r>
      <w:r>
        <w:t xml:space="preserve"> </w:t>
      </w:r>
      <w:r>
        <w:t xml:space="preserve">11 (2): 5052–80.</w:t>
      </w:r>
      <w:r>
        <w:t xml:space="preserve"> </w:t>
      </w:r>
      <w:hyperlink r:id="rId87">
        <w:r>
          <w:rPr>
            <w:rStyle w:val="Hyperlink"/>
          </w:rPr>
          <w:t xml:space="preserve">https://doi.org/10.1214/17-EJS1338SI</w:t>
        </w:r>
      </w:hyperlink>
      <w:r>
        <w:t xml:space="preserve">.</w:t>
      </w:r>
    </w:p>
    <w:bookmarkEnd w:id="88"/>
    <w:bookmarkStart w:id="89" w:name="X34be55f2a2ff67a14e7206627bb93b426490c87"/>
    <w:p>
      <w:pPr>
        <w:pStyle w:val="Bibliography"/>
      </w:pPr>
      <w:r>
        <w:t xml:space="preserve">Lundberg, Scott M., and Su-In Lee. 2017.</w:t>
      </w:r>
      <w:r>
        <w:t xml:space="preserve"> </w:t>
      </w:r>
      <w:r>
        <w:t xml:space="preserve">“A Unified Approach to Interpreting Model Predictions.”</w:t>
      </w:r>
      <w:r>
        <w:t xml:space="preserve"> </w:t>
      </w:r>
      <w:r>
        <w:t xml:space="preserve">In</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t xml:space="preserve">, 4768–77.</w:t>
      </w:r>
      <w:r>
        <w:t xml:space="preserve"> </w:t>
      </w:r>
      <w:r>
        <w:t xml:space="preserve">NIPS</w:t>
      </w:r>
      <w:r>
        <w:t xml:space="preserve">’17. Red Hook, NY, USA: Curran Associates Inc.</w:t>
      </w:r>
    </w:p>
    <w:bookmarkEnd w:id="89"/>
    <w:bookmarkStart w:id="90" w:name="X0900e084d2d8751b94683f82b04534ea811d54e"/>
    <w:p>
      <w:pPr>
        <w:pStyle w:val="Bibliography"/>
      </w:pPr>
      <w:r>
        <w:t xml:space="preserve">Marlatt, G. Alan, and Judith R. Gordon, eds. 1985.</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First edition. New York: The Guilford Press.</w:t>
      </w:r>
    </w:p>
    <w:bookmarkEnd w:id="90"/>
    <w:bookmarkStart w:id="92" w:name="ref-olfsonHealthcareCoverageService2022"/>
    <w:p>
      <w:pPr>
        <w:pStyle w:val="Bibliography"/>
      </w:pPr>
      <w:r>
        <w:t xml:space="preserve">Olfson, Mark, Christine Mauro, Melanie M. Wall, C. Jean Choi, Colleen L. Barry, and Ramin Mojtabai. 2022.</w:t>
      </w:r>
      <w:r>
        <w:t xml:space="preserve"> </w:t>
      </w:r>
      <w:r>
        <w:t xml:space="preserve">“Healthcare Coverage and Service Access for Low-Income Adults with Substance Use Disorders.”</w:t>
      </w:r>
      <w:r>
        <w:t xml:space="preserve"> </w:t>
      </w:r>
      <w:r>
        <w:rPr>
          <w:i/>
          <w:iCs/>
        </w:rPr>
        <w:t xml:space="preserve">Journal of Substance Abuse Treatment</w:t>
      </w:r>
      <w:r>
        <w:t xml:space="preserve"> </w:t>
      </w:r>
      <w:r>
        <w:t xml:space="preserve">137 (June): 108710.</w:t>
      </w:r>
      <w:r>
        <w:t xml:space="preserve"> </w:t>
      </w:r>
      <w:hyperlink r:id="rId91">
        <w:r>
          <w:rPr>
            <w:rStyle w:val="Hyperlink"/>
          </w:rPr>
          <w:t xml:space="preserve">https://doi.org/10.1016/j.jsat.2021.108710</w:t>
        </w:r>
      </w:hyperlink>
      <w:r>
        <w:t xml:space="preserve">.</w:t>
      </w:r>
    </w:p>
    <w:bookmarkEnd w:id="92"/>
    <w:bookmarkStart w:id="94" w:name="ref-pinedoCurrentReexaminationRacial2019"/>
    <w:p>
      <w:pPr>
        <w:pStyle w:val="Bibliography"/>
      </w:pPr>
      <w:r>
        <w:t xml:space="preserve">Pinedo, Miguel. 2019.</w:t>
      </w:r>
      <w:r>
        <w:t xml:space="preserve"> </w:t>
      </w:r>
      <w:r>
        <w:t xml:space="preserve">“A Current Re-Examination of Racial/Ethnic Disparities in the Use of Substance Abuse Treatment:</w:t>
      </w:r>
      <w:r>
        <w:t xml:space="preserve"> </w:t>
      </w:r>
      <w:r>
        <w:t xml:space="preserve">Do</w:t>
      </w:r>
      <w:r>
        <w:t xml:space="preserve"> </w:t>
      </w:r>
      <w:r>
        <w:t xml:space="preserve">Disparities Persist?”</w:t>
      </w:r>
      <w:r>
        <w:t xml:space="preserve"> </w:t>
      </w:r>
      <w:r>
        <w:rPr>
          <w:i/>
          <w:iCs/>
        </w:rPr>
        <w:t xml:space="preserve">Drug and Alcohol Dependence</w:t>
      </w:r>
      <w:r>
        <w:t xml:space="preserve"> </w:t>
      </w:r>
      <w:r>
        <w:t xml:space="preserve">202 (September): 162–67.</w:t>
      </w:r>
      <w:r>
        <w:t xml:space="preserve"> </w:t>
      </w:r>
      <w:hyperlink r:id="rId93">
        <w:r>
          <w:rPr>
            <w:rStyle w:val="Hyperlink"/>
          </w:rPr>
          <w:t xml:space="preserve">https://doi.org/10.1016/j.drugalcdep.2019.05.017</w:t>
        </w:r>
      </w:hyperlink>
      <w:r>
        <w:t xml:space="preserve">.</w:t>
      </w:r>
    </w:p>
    <w:bookmarkEnd w:id="94"/>
    <w:bookmarkStart w:id="95" w:name="Xa6ef1c5c979e7476d6234b79f6a74545fbd7694"/>
    <w:p>
      <w:pPr>
        <w:pStyle w:val="Bibliography"/>
      </w:pPr>
      <w:r>
        <w:t xml:space="preserve">Project Match Research Group, U. S. 1997.</w:t>
      </w:r>
      <w:r>
        <w:t xml:space="preserve"> </w:t>
      </w:r>
      <w:r>
        <w:t xml:space="preserve">“Matching Alcoholism Treatments to Client Heterogeneity:</w:t>
      </w:r>
      <w:r>
        <w:t xml:space="preserve"> </w:t>
      </w:r>
      <w:r>
        <w:t xml:space="preserve">Project MATCH Posttreatment</w:t>
      </w:r>
      <w:r>
        <w:t xml:space="preserve"> </w:t>
      </w:r>
      <w:r>
        <w:t xml:space="preserve">Drinking Outcomes.”</w:t>
      </w:r>
      <w:r>
        <w:t xml:space="preserve"> </w:t>
      </w:r>
      <w:r>
        <w:rPr>
          <w:i/>
          <w:iCs/>
        </w:rPr>
        <w:t xml:space="preserve">Journal of Studies on Alcohol</w:t>
      </w:r>
      <w:r>
        <w:t xml:space="preserve"> </w:t>
      </w:r>
      <w:r>
        <w:t xml:space="preserve">58 (1): 7–29.</w:t>
      </w:r>
    </w:p>
    <w:bookmarkEnd w:id="95"/>
    <w:bookmarkStart w:id="96" w:name="X93e79e1a5ab79bb153842a6d1ed7d5e5cb3185f"/>
    <w:p>
      <w:pPr>
        <w:pStyle w:val="Bibliography"/>
      </w:pPr>
      <w:r>
        <w:t xml:space="preserve">RStudio Team. 2020.</w:t>
      </w:r>
      <w:r>
        <w:t xml:space="preserve"> </w:t>
      </w:r>
      <w:r>
        <w:t xml:space="preserve">“</w:t>
      </w:r>
      <w:r>
        <w:t xml:space="preserve">RStudio</w:t>
      </w:r>
      <w:r>
        <w:t xml:space="preserve">:</w:t>
      </w:r>
      <w:r>
        <w:t xml:space="preserve"> </w:t>
      </w:r>
      <w:r>
        <w:t xml:space="preserve">Integrated Development</w:t>
      </w:r>
      <w:r>
        <w:t xml:space="preserve"> </w:t>
      </w:r>
      <w:r>
        <w:t xml:space="preserve">for</w:t>
      </w:r>
      <w:r>
        <w:t xml:space="preserve"> </w:t>
      </w:r>
      <w:r>
        <w:t xml:space="preserve">R</w:t>
      </w:r>
      <w:r>
        <w:t xml:space="preserve">.”</w:t>
      </w:r>
      <w:r>
        <w:t xml:space="preserve"> </w:t>
      </w:r>
      <w:r>
        <w:t xml:space="preserve">Boston, MA: RStudio, Inc.</w:t>
      </w:r>
    </w:p>
    <w:bookmarkEnd w:id="96"/>
    <w:bookmarkStart w:id="98" w:name="Xd4c1d027f60920f356af6131267e679804e946e"/>
    <w:p>
      <w:pPr>
        <w:pStyle w:val="Bibliography"/>
      </w:pPr>
      <w:r>
        <w:t xml:space="preserve">Soyster, Peter D., Leighann Ashlock, and Aaron J. Fisher. 2022.</w:t>
      </w:r>
      <w:r>
        <w:t xml:space="preserve"> </w:t>
      </w:r>
      <w:r>
        <w:t xml:space="preserve">“Pooled and Person-Specific Machine Learning Models for Predicting Future Alcohol Consumption, Craving, and Wanting to Drink:</w:t>
      </w:r>
      <w:r>
        <w:t xml:space="preserve"> </w:t>
      </w:r>
      <w:r>
        <w:t xml:space="preserve">A</w:t>
      </w:r>
      <w:r>
        <w:t xml:space="preserve"> </w:t>
      </w:r>
      <w:r>
        <w:t xml:space="preserve">Demonstration of Parallel Utility.”</w:t>
      </w:r>
      <w:r>
        <w:t xml:space="preserve"> </w:t>
      </w:r>
      <w:r>
        <w:rPr>
          <w:i/>
          <w:iCs/>
        </w:rPr>
        <w:t xml:space="preserve">Psychology of Addictive Behaviors: Journal of the Society of Psychologists in Addictive Behaviors</w:t>
      </w:r>
      <w:r>
        <w:t xml:space="preserve"> </w:t>
      </w:r>
      <w:r>
        <w:t xml:space="preserve">36 (3): 296–306.</w:t>
      </w:r>
      <w:r>
        <w:t xml:space="preserve"> </w:t>
      </w:r>
      <w:hyperlink r:id="rId97">
        <w:r>
          <w:rPr>
            <w:rStyle w:val="Hyperlink"/>
          </w:rPr>
          <w:t xml:space="preserve">https://doi.org/10.1037/adb0000666</w:t>
        </w:r>
      </w:hyperlink>
      <w:r>
        <w:t xml:space="preserve">.</w:t>
      </w:r>
    </w:p>
    <w:bookmarkEnd w:id="98"/>
    <w:bookmarkStart w:id="100" w:name="ref-waltersUsingMachineLearning2021"/>
    <w:p>
      <w:pPr>
        <w:pStyle w:val="Bibliography"/>
      </w:pPr>
      <w:r>
        <w:t xml:space="preserve">Walters, Scott T., Michael S. Businelle, Robert Suchting, Xiaoyin Li, Emily T. Hébert, and Eun-Young Mun. 2021.</w:t>
      </w:r>
      <w:r>
        <w:t xml:space="preserve"> </w:t>
      </w:r>
      <w:r>
        <w:t xml:space="preserve">“Using Machine Learning to Identify Predictors of Imminent Drinking and Create Tailored Messages for at-Risk Drinkers Experiencing Homelessness.”</w:t>
      </w:r>
      <w:r>
        <w:t xml:space="preserve"> </w:t>
      </w:r>
      <w:r>
        <w:rPr>
          <w:i/>
          <w:iCs/>
        </w:rPr>
        <w:t xml:space="preserve">Journal of Substance Abuse Treatment</w:t>
      </w:r>
      <w:r>
        <w:t xml:space="preserve"> </w:t>
      </w:r>
      <w:r>
        <w:t xml:space="preserve">127 (August): 108417.</w:t>
      </w:r>
      <w:r>
        <w:t xml:space="preserve"> </w:t>
      </w:r>
      <w:hyperlink r:id="rId99">
        <w:r>
          <w:rPr>
            <w:rStyle w:val="Hyperlink"/>
          </w:rPr>
          <w:t xml:space="preserve">https://doi.org/10.1016/j.jsat.2021.108417</w:t>
        </w:r>
      </w:hyperlink>
      <w:r>
        <w:t xml:space="preserve">.</w:t>
      </w:r>
    </w:p>
    <w:bookmarkEnd w:id="100"/>
    <w:bookmarkStart w:id="102" w:name="X4446e184b7dd55a61fd406499f32542fdcf24b5"/>
    <w:p>
      <w:pPr>
        <w:pStyle w:val="Bibliography"/>
      </w:pPr>
      <w:r>
        <w:t xml:space="preserve">Witkiewitz, Katie, and G. Alan Marlatt. 2004.</w:t>
      </w:r>
      <w:r>
        <w:t xml:space="preserve"> </w:t>
      </w:r>
      <w:r>
        <w:t xml:space="preserve">“Relapse Prevention for Alcohol and Drug Problems:</w:t>
      </w:r>
      <w:r>
        <w:t xml:space="preserve"> </w:t>
      </w:r>
      <w:r>
        <w:t xml:space="preserve">That</w:t>
      </w:r>
      <w:r>
        <w:t xml:space="preserve"> </w:t>
      </w:r>
      <w:r>
        <w:t xml:space="preserve">Was Zen, This Is Tao.”</w:t>
      </w:r>
      <w:r>
        <w:t xml:space="preserve"> </w:t>
      </w:r>
      <w:r>
        <w:rPr>
          <w:i/>
          <w:iCs/>
        </w:rPr>
        <w:t xml:space="preserve">American Psychologist</w:t>
      </w:r>
      <w:r>
        <w:t xml:space="preserve"> </w:t>
      </w:r>
      <w:r>
        <w:t xml:space="preserve">59 (4): 224–35.</w:t>
      </w:r>
      <w:r>
        <w:t xml:space="preserve"> </w:t>
      </w:r>
      <w:hyperlink r:id="rId101">
        <w:r>
          <w:rPr>
            <w:rStyle w:val="Hyperlink"/>
          </w:rPr>
          <w:t xml:space="preserve">https://doi.org/10.1037/0003-066X.59.4.224</w:t>
        </w:r>
      </w:hyperlink>
      <w:r>
        <w:t xml:space="preserve">.</w:t>
      </w:r>
    </w:p>
    <w:bookmarkEnd w:id="102"/>
    <w:bookmarkStart w:id="104" w:name="X254a0f87701f835b5365990b3eba45be7dca59c"/>
    <w:p>
      <w:pPr>
        <w:pStyle w:val="Bibliography"/>
      </w:pPr>
      <w:r>
        <w:t xml:space="preserve">———. 2007.</w:t>
      </w:r>
      <w:r>
        <w:t xml:space="preserve"> </w:t>
      </w:r>
      <w:r>
        <w:t xml:space="preserve">“Modeling the Complexity of Post-Treatment Drinking:</w:t>
      </w:r>
      <w:r>
        <w:t xml:space="preserve"> </w:t>
      </w:r>
      <w:r>
        <w:t xml:space="preserve">It</w:t>
      </w:r>
      <w:r>
        <w:t xml:space="preserve">’s a Rocky Road to Relapse.”</w:t>
      </w:r>
      <w:r>
        <w:t xml:space="preserve"> </w:t>
      </w:r>
      <w:r>
        <w:rPr>
          <w:i/>
          <w:iCs/>
        </w:rPr>
        <w:t xml:space="preserve">Clinical Psychology Review</w:t>
      </w:r>
      <w:r>
        <w:t xml:space="preserve">, New</w:t>
      </w:r>
      <w:r>
        <w:t xml:space="preserve"> </w:t>
      </w:r>
      <w:r>
        <w:t xml:space="preserve">Approaches</w:t>
      </w:r>
      <w:r>
        <w:t xml:space="preserve"> </w:t>
      </w:r>
      <w:r>
        <w:t xml:space="preserve">to the</w:t>
      </w:r>
      <w:r>
        <w:t xml:space="preserve"> </w:t>
      </w:r>
      <w:r>
        <w:t xml:space="preserve">Study</w:t>
      </w:r>
      <w:r>
        <w:t xml:space="preserve"> </w:t>
      </w:r>
      <w:r>
        <w:t xml:space="preserve">of</w:t>
      </w:r>
      <w:r>
        <w:t xml:space="preserve"> </w:t>
      </w:r>
      <w:r>
        <w:t xml:space="preserve">Change</w:t>
      </w:r>
      <w:r>
        <w:t xml:space="preserve"> </w:t>
      </w:r>
      <w:r>
        <w:t xml:space="preserve">in</w:t>
      </w:r>
      <w:r>
        <w:t xml:space="preserve"> </w:t>
      </w:r>
      <w:r>
        <w:t xml:space="preserve">Cognitive Behavioral Therapies</w:t>
      </w:r>
      <w:r>
        <w:t xml:space="preserve">, 27 (6): 724–38.</w:t>
      </w:r>
      <w:r>
        <w:t xml:space="preserve"> </w:t>
      </w:r>
      <w:hyperlink r:id="rId103">
        <w:r>
          <w:rPr>
            <w:rStyle w:val="Hyperlink"/>
          </w:rPr>
          <w:t xml:space="preserve">https://doi.org/10.1016/j.cpr.2007.01.002</w:t>
        </w:r>
      </w:hyperlink>
      <w:r>
        <w:t xml:space="preserve">.</w:t>
      </w:r>
    </w:p>
    <w:bookmarkEnd w:id="104"/>
    <w:bookmarkStart w:id="106" w:name="Xb35ee182d565575e339a0170868456c1684f821"/>
    <w:p>
      <w:pPr>
        <w:pStyle w:val="Bibliography"/>
      </w:pPr>
      <w:r>
        <w:t xml:space="preserve">Wyant, Kendra, Hannah Moshontz, Stephanie B. Ward, Gaylen E. Fronk, and John J. Curtin. 2023.</w:t>
      </w:r>
      <w:r>
        <w:t xml:space="preserve"> </w:t>
      </w:r>
      <w:r>
        <w:t xml:space="preserve">“Acceptability of</w:t>
      </w:r>
      <w:r>
        <w:t xml:space="preserve"> </w:t>
      </w:r>
      <w:r>
        <w:t xml:space="preserve">Personal Sensing Among People With Alcohol Use Disorder</w:t>
      </w:r>
      <w:r>
        <w:t xml:space="preserve">:</w:t>
      </w:r>
      <w:r>
        <w:t xml:space="preserve"> </w:t>
      </w:r>
      <w:r>
        <w:t xml:space="preserve">Observational Study</w:t>
      </w:r>
      <w:r>
        <w:t xml:space="preserve">.”</w:t>
      </w:r>
      <w:r>
        <w:t xml:space="preserve"> </w:t>
      </w:r>
      <w:r>
        <w:rPr>
          <w:i/>
          <w:iCs/>
        </w:rPr>
        <w:t xml:space="preserve">JMIR mHealth and uHealth</w:t>
      </w:r>
      <w:r>
        <w:t xml:space="preserve"> </w:t>
      </w:r>
      <w:r>
        <w:t xml:space="preserve">11 (1): e41833.</w:t>
      </w:r>
      <w:r>
        <w:t xml:space="preserve"> </w:t>
      </w:r>
      <w:hyperlink r:id="rId105">
        <w:r>
          <w:rPr>
            <w:rStyle w:val="Hyperlink"/>
          </w:rPr>
          <w:t xml:space="preserve">https://doi.org/10.2196/41833</w:t>
        </w:r>
      </w:hyperlink>
      <w:r>
        <w:t xml:space="preserve">.</w:t>
      </w:r>
    </w:p>
    <w:bookmarkEnd w:id="106"/>
    <w:bookmarkStart w:id="108" w:name="ref-wyantMachineLearningModels2023"/>
    <w:p>
      <w:pPr>
        <w:pStyle w:val="Bibliography"/>
      </w:pPr>
      <w:r>
        <w:t xml:space="preserve">Wyant, Kendra, Sarah June Kittleson Sant’Ana, Gaylen Fronk, and John J. Curtin. 2024.</w:t>
      </w:r>
      <w:r>
        <w:t xml:space="preserve"> </w:t>
      </w:r>
      <w:r>
        <w:t xml:space="preserve">“Machine Learning Models for Temporally Precise Lapse Prediction in Alcohol Use Disorder.”</w:t>
      </w:r>
      <w:r>
        <w:t xml:space="preserve"> </w:t>
      </w:r>
      <w:r>
        <w:rPr>
          <w:i/>
          <w:iCs/>
        </w:rPr>
        <w:t xml:space="preserve">Psychopathology and Clinical Science</w:t>
      </w:r>
      <w:r>
        <w:t xml:space="preserve">.</w:t>
      </w:r>
      <w:r>
        <w:t xml:space="preserve"> </w:t>
      </w:r>
      <w:hyperlink r:id="rId107">
        <w:r>
          <w:rPr>
            <w:rStyle w:val="Hyperlink"/>
          </w:rPr>
          <w:t xml:space="preserve">https://doi.org/10.31234/osf.io/cgsf7</w:t>
        </w:r>
      </w:hyperlink>
      <w:r>
        <w:t xml:space="preserve">.</w:t>
      </w:r>
    </w:p>
    <w:bookmarkEnd w:id="108"/>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w:t>
      </w:r>
    </w:p>
  </w:footnote>
  <w:footnote w:id="41">
    <w:p>
      <w:pPr>
        <w:pStyle w:val="FootnoteText"/>
      </w:pPr>
      <w:r>
        <w:rPr>
          <w:rStyle w:val="FootnoteReference"/>
        </w:rPr>
        <w:footnoteRef/>
      </w:r>
      <w:r>
        <w:t xml:space="preserve"> </w:t>
      </w:r>
      <w:r>
        <w:t xml:space="preserve">For our fairness analyses, we altered our outer loop resampling method from 3 x 10 cross-validation to 6 x 5 cross-validation. This method still gave us 30 held out tests sets, but by splitting the data across fewer folds (i.e., 5 vs. 10) we were able to reduce the likelihood of the minority group being absent in any single fold.</w:t>
      </w:r>
    </w:p>
  </w:footnote>
  <w:footnote w:id="50">
    <w:p>
      <w:pPr>
        <w:pStyle w:val="FootnoteText"/>
      </w:pPr>
      <w:r>
        <w:rPr>
          <w:rStyle w:val="FootnoteReference"/>
        </w:rPr>
        <w:footnoteRef/>
      </w:r>
      <w:r>
        <w:t xml:space="preserve"> </w:t>
      </w:r>
      <w:r>
        <w:t xml:space="preserve">Baseline models in our previous study yielded a median auROC of .895. These models inadvertently excluded income and employment as features. We reran models to include these features in the current study.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9" Target="media/rId29.jpg" /><Relationship Type="http://schemas.openxmlformats.org/officeDocument/2006/relationships/image" Id="rId61" Target="media/rId61.png" /><Relationship Type="http://schemas.openxmlformats.org/officeDocument/2006/relationships/hyperlink" Id="rId81" Target="https://doi.org/10.1001/jamanetworkopen.2020.5852" TargetMode="External" /><Relationship Type="http://schemas.openxmlformats.org/officeDocument/2006/relationships/hyperlink" Id="rId84" Target="https://doi.org/10.1007/978-1-4614-6849-3" TargetMode="External" /><Relationship Type="http://schemas.openxmlformats.org/officeDocument/2006/relationships/hyperlink" Id="rId68" Target="https://doi.org/10.1016/j.addbeh.2017.11.039" TargetMode="External" /><Relationship Type="http://schemas.openxmlformats.org/officeDocument/2006/relationships/hyperlink" Id="rId74" Target="https://doi.org/10.1016/j.brat.2019.103506" TargetMode="External" /><Relationship Type="http://schemas.openxmlformats.org/officeDocument/2006/relationships/hyperlink" Id="rId103" Target="https://doi.org/10.1016/j.cpr.2007.01.002" TargetMode="External" /><Relationship Type="http://schemas.openxmlformats.org/officeDocument/2006/relationships/hyperlink" Id="rId78" Target="https://doi.org/10.1016/j.drugalcdep.2006.05.012" TargetMode="External" /><Relationship Type="http://schemas.openxmlformats.org/officeDocument/2006/relationships/hyperlink" Id="rId93" Target="https://doi.org/10.1016/j.drugalcdep.2019.05.017" TargetMode="External" /><Relationship Type="http://schemas.openxmlformats.org/officeDocument/2006/relationships/hyperlink" Id="rId72" Target="https://doi.org/10.1016/j.jsat.2013.08.004" TargetMode="External" /><Relationship Type="http://schemas.openxmlformats.org/officeDocument/2006/relationships/hyperlink" Id="rId99" Target="https://doi.org/10.1016/j.jsat.2021.108417" TargetMode="External" /><Relationship Type="http://schemas.openxmlformats.org/officeDocument/2006/relationships/hyperlink" Id="rId91" Target="https://doi.org/10.1016/j.jsat.2021.108710" TargetMode="External" /><Relationship Type="http://schemas.openxmlformats.org/officeDocument/2006/relationships/hyperlink" Id="rId101" Target="https://doi.org/10.1037/0003-066X.59.4.224" TargetMode="External" /><Relationship Type="http://schemas.openxmlformats.org/officeDocument/2006/relationships/hyperlink" Id="rId97" Target="https://doi.org/10.1037/adb0000666" TargetMode="External" /><Relationship Type="http://schemas.openxmlformats.org/officeDocument/2006/relationships/hyperlink" Id="rId87" Target="https://doi.org/10.1214/17-EJS1338SI" TargetMode="External" /><Relationship Type="http://schemas.openxmlformats.org/officeDocument/2006/relationships/hyperlink" Id="rId70" Target="https://doi.org/10.21231/GNT1-HW21" TargetMode="External" /><Relationship Type="http://schemas.openxmlformats.org/officeDocument/2006/relationships/hyperlink" Id="rId105" Target="https://doi.org/10.2196/41833" TargetMode="External" /><Relationship Type="http://schemas.openxmlformats.org/officeDocument/2006/relationships/hyperlink" Id="rId107" Target="https://doi.org/10.31234/osf.io/cgsf7" TargetMode="External" /><Relationship Type="http://schemas.openxmlformats.org/officeDocument/2006/relationships/hyperlink" Id="rId20" Target="https://jjcurtin.github.io/study_lag/index.qmd.html" TargetMode="External" /><Relationship Type="http://schemas.openxmlformats.org/officeDocument/2006/relationships/hyperlink" Id="rId55" Target="https://jjcurtin.github.io/study_lag/notebooks\mak_figures-preview.html#cell-fig-1" TargetMode="External" /><Relationship Type="http://schemas.openxmlformats.org/officeDocument/2006/relationships/hyperlink" Id="rId33" Target="https://jjcurtin.github.io/study_lag/notebooks\mak_figures-preview.html#cell-fig-methods" TargetMode="External" /><Relationship Type="http://schemas.openxmlformats.org/officeDocument/2006/relationships/hyperlink" Id="rId65" Target="https://jjcurtin.github.io/study_lag/notebooks\mak_figures-preview.html#cell-fig-shap" TargetMode="External" /><Relationship Type="http://schemas.openxmlformats.org/officeDocument/2006/relationships/hyperlink" Id="rId48" Target="https://jjcurtin.github.io/study_lag/notebooks\mak_tables-preview.html#cell-tbl-demohtml" TargetMode="External" /><Relationship Type="http://schemas.openxmlformats.org/officeDocument/2006/relationships/hyperlink" Id="rId22" Target="https://osf.io/xta67/"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01/jamanetworkopen.2020.5852" TargetMode="External" /><Relationship Type="http://schemas.openxmlformats.org/officeDocument/2006/relationships/hyperlink" Id="rId84" Target="https://doi.org/10.1007/978-1-4614-6849-3" TargetMode="External" /><Relationship Type="http://schemas.openxmlformats.org/officeDocument/2006/relationships/hyperlink" Id="rId68" Target="https://doi.org/10.1016/j.addbeh.2017.11.039" TargetMode="External" /><Relationship Type="http://schemas.openxmlformats.org/officeDocument/2006/relationships/hyperlink" Id="rId74" Target="https://doi.org/10.1016/j.brat.2019.103506" TargetMode="External" /><Relationship Type="http://schemas.openxmlformats.org/officeDocument/2006/relationships/hyperlink" Id="rId103" Target="https://doi.org/10.1016/j.cpr.2007.01.002" TargetMode="External" /><Relationship Type="http://schemas.openxmlformats.org/officeDocument/2006/relationships/hyperlink" Id="rId78" Target="https://doi.org/10.1016/j.drugalcdep.2006.05.012" TargetMode="External" /><Relationship Type="http://schemas.openxmlformats.org/officeDocument/2006/relationships/hyperlink" Id="rId93" Target="https://doi.org/10.1016/j.drugalcdep.2019.05.017" TargetMode="External" /><Relationship Type="http://schemas.openxmlformats.org/officeDocument/2006/relationships/hyperlink" Id="rId72" Target="https://doi.org/10.1016/j.jsat.2013.08.004" TargetMode="External" /><Relationship Type="http://schemas.openxmlformats.org/officeDocument/2006/relationships/hyperlink" Id="rId99" Target="https://doi.org/10.1016/j.jsat.2021.108417" TargetMode="External" /><Relationship Type="http://schemas.openxmlformats.org/officeDocument/2006/relationships/hyperlink" Id="rId91" Target="https://doi.org/10.1016/j.jsat.2021.108710" TargetMode="External" /><Relationship Type="http://schemas.openxmlformats.org/officeDocument/2006/relationships/hyperlink" Id="rId101" Target="https://doi.org/10.1037/0003-066X.59.4.224" TargetMode="External" /><Relationship Type="http://schemas.openxmlformats.org/officeDocument/2006/relationships/hyperlink" Id="rId97" Target="https://doi.org/10.1037/adb0000666" TargetMode="External" /><Relationship Type="http://schemas.openxmlformats.org/officeDocument/2006/relationships/hyperlink" Id="rId87" Target="https://doi.org/10.1214/17-EJS1338SI" TargetMode="External" /><Relationship Type="http://schemas.openxmlformats.org/officeDocument/2006/relationships/hyperlink" Id="rId70" Target="https://doi.org/10.21231/GNT1-HW21" TargetMode="External" /><Relationship Type="http://schemas.openxmlformats.org/officeDocument/2006/relationships/hyperlink" Id="rId105" Target="https://doi.org/10.2196/41833" TargetMode="External" /><Relationship Type="http://schemas.openxmlformats.org/officeDocument/2006/relationships/hyperlink" Id="rId107" Target="https://doi.org/10.31234/osf.io/cgsf7" TargetMode="External" /><Relationship Type="http://schemas.openxmlformats.org/officeDocument/2006/relationships/hyperlink" Id="rId20" Target="https://jjcurtin.github.io/study_lag/index.qmd.html" TargetMode="External" /><Relationship Type="http://schemas.openxmlformats.org/officeDocument/2006/relationships/hyperlink" Id="rId55" Target="https://jjcurtin.github.io/study_lag/notebooks\mak_figures-preview.html#cell-fig-1" TargetMode="External" /><Relationship Type="http://schemas.openxmlformats.org/officeDocument/2006/relationships/hyperlink" Id="rId33" Target="https://jjcurtin.github.io/study_lag/notebooks\mak_figures-preview.html#cell-fig-methods" TargetMode="External" /><Relationship Type="http://schemas.openxmlformats.org/officeDocument/2006/relationships/hyperlink" Id="rId65" Target="https://jjcurtin.github.io/study_lag/notebooks\mak_figures-preview.html#cell-fig-shap" TargetMode="External" /><Relationship Type="http://schemas.openxmlformats.org/officeDocument/2006/relationships/hyperlink" Id="rId48" Target="https://jjcurtin.github.io/study_lag/notebooks\mak_tables-preview.html#cell-tbl-demohtml" TargetMode="External" /><Relationship Type="http://schemas.openxmlformats.org/officeDocument/2006/relationships/hyperlink" Id="rId22" Target="https://osf.io/xta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Lagged Predictions of Next Week Alcohol Use for Precision Mental Health Support</dc:title>
  <dc:creator>Kendra Wyant; Gaylen E. Fronk; Jiachen Yu; John J. Curtin</dc:creator>
  <cp:keywords>Substance use disorders, Precision mental health</cp:keywords>
  <dcterms:created xsi:type="dcterms:W3CDTF">2024-08-03T02:11:35Z</dcterms:created>
  <dcterms:modified xsi:type="dcterms:W3CDTF">2024-08-03T02:11:35Z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found some pretty cool results that have both high impact and important clinical implications. For example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apa</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date">
    <vt:lpwstr>2024-08-02</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