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7C3C6" w14:textId="77777777" w:rsidR="00FC22CD" w:rsidRDefault="00000000">
      <w:pPr>
        <w:pStyle w:val="Title"/>
      </w:pPr>
      <w:r>
        <w:t>Forecasting Risk of Alcohol Lapse up to Two Weeks in Advance using Time-lagged Machine Learning Models</w:t>
      </w:r>
    </w:p>
    <w:p w14:paraId="77AE5C77" w14:textId="77777777" w:rsidR="00FC22CD" w:rsidRDefault="00000000">
      <w:pPr>
        <w:pStyle w:val="Author"/>
      </w:pPr>
      <w:r>
        <w:t>Kendra Wyant</w:t>
      </w:r>
    </w:p>
    <w:p w14:paraId="771E43C1" w14:textId="77777777" w:rsidR="00FC22CD" w:rsidRDefault="00000000">
      <w:pPr>
        <w:pStyle w:val="Author"/>
      </w:pPr>
      <w:r>
        <w:t>Gaylen E. Fronk</w:t>
      </w:r>
    </w:p>
    <w:p w14:paraId="5F1A2D23" w14:textId="77777777" w:rsidR="00FC22CD" w:rsidRDefault="00000000">
      <w:pPr>
        <w:pStyle w:val="Author"/>
      </w:pPr>
      <w:r>
        <w:t>Jiachen Yu</w:t>
      </w:r>
    </w:p>
    <w:p w14:paraId="0A427275" w14:textId="77777777" w:rsidR="00FC22CD" w:rsidRDefault="00000000">
      <w:pPr>
        <w:pStyle w:val="Author"/>
      </w:pPr>
      <w:r>
        <w:t>Claire E. Punturieri</w:t>
      </w:r>
    </w:p>
    <w:p w14:paraId="322DA4B5" w14:textId="77777777" w:rsidR="00FC22CD" w:rsidRDefault="00000000">
      <w:pPr>
        <w:pStyle w:val="Author"/>
      </w:pPr>
      <w:r>
        <w:t>John J. Curtin</w:t>
      </w:r>
    </w:p>
    <w:p w14:paraId="1C14820E" w14:textId="77777777" w:rsidR="00FC22CD" w:rsidRDefault="00000000">
      <w:pPr>
        <w:pStyle w:val="Date"/>
      </w:pPr>
      <w:r>
        <w:t>2025-08-21</w:t>
      </w:r>
    </w:p>
    <w:p w14:paraId="59CE25CE" w14:textId="77777777" w:rsidR="00FC22CD" w:rsidRDefault="00000000">
      <w:pPr>
        <w:pStyle w:val="AbstractTitle"/>
      </w:pPr>
      <w:r>
        <w:t>Abstract</w:t>
      </w:r>
    </w:p>
    <w:p w14:paraId="548D3E0E" w14:textId="77777777" w:rsidR="00FC22CD" w:rsidRDefault="00000000">
      <w:pPr>
        <w:pStyle w:val="Abstract"/>
      </w:pPr>
      <w:r>
        <w:t>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14:paraId="3C2A6B22" w14:textId="77777777" w:rsidR="00FC22CD" w:rsidRDefault="00000000">
      <w:pPr>
        <w:pStyle w:val="Heading1"/>
      </w:pPr>
      <w:bookmarkStart w:id="0" w:name="introduction"/>
      <w:r>
        <w:t>Introduction</w:t>
      </w:r>
    </w:p>
    <w:p w14:paraId="425CC44E" w14:textId="77777777" w:rsidR="00FC22CD" w:rsidRDefault="00000000">
      <w:pPr>
        <w:pStyle w:val="FirstParagraph"/>
      </w:pPr>
      <w:r>
        <w:t xml:space="preserve">Alcohol and other substance use disorders (SUDs) are serious chronic conditions, characterized by high relapse rates (McLellan et al. 2000; Dennis and Scott 2007), substantial co-morbidity with other physical and mental health problems (Substance Abuse and Mental Health Services Administration n.d.; Dennis and Scott 2007), and an increased risk of mortality (Hedegaard et al. 2021; Centers for Disease Control and Prevention (CDC) n.d.). Too few individuals receive medications or clinician-delivered interventions to help them initially achieve abstinence and/or reduce harms associated with their use (Substance Abuse and Mental Health Services Administration n.d.). Moreover, this problem is even worse for subsequent continuing care during SUD recovery. Continuing care, including both risk monitoring and ongoing support, is the gold standard for managing chronic health conditions such as diabetes, asthma, and HIV (Wagner et al. 2001). Yet, continuing care for SUDs is largely lacking despite ample evidence that SUDs </w:t>
      </w:r>
      <w:r>
        <w:lastRenderedPageBreak/>
        <w:t>are chronic, relapsing conditions (Substance Abuse and Mental Health Services Administration n.d.; Stanojlović and Davidson 2021; Socías, Volkow, and Wood 2016).</w:t>
      </w:r>
    </w:p>
    <w:p w14:paraId="7BE3ACB7" w14:textId="77777777" w:rsidR="00FC22CD" w:rsidRDefault="00000000">
      <w:pPr>
        <w:pStyle w:val="BodyText"/>
      </w:pPr>
      <w:r>
        <w:t>An important focus of continuing care during SUD recovery is to prevent lapses (i.e., single instances of goal-inconsistent substance use) and full relapse back to harmful use (Marlatt and Gordon 1985; Witkiewitz and Marlatt 2004). Critically, the risk factors that instigate lapses during recovery are individualized, numerous, dynamic, interactive, and non-linear (Witkiewitz and Marlatt 2007; Brandon, Vidrine, and Litvin 2007).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 (Bickman, Lyon, and Wolpert 2016; DeRubeis 2019; Kranzler and McKay 2012). However, such monitoring and personalized support must also be highly scalable to address the substantial unmet need for SUD continuing care.</w:t>
      </w:r>
    </w:p>
    <w:p w14:paraId="6865D426" w14:textId="77777777" w:rsidR="00FC22CD" w:rsidRDefault="00000000">
      <w:pPr>
        <w:pStyle w:val="BodyText"/>
      </w:pPr>
      <w:r>
        <w:t>Recent advances in both smartphone sensing (Mohr, Zhang, and Schueller 2017) and machine learning (Hastie, Tibshirani, and Friedman 2009) 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 (Marlatt and Gordon 1985; Witkiewitz and Marlatt 2004; Bowen et al. 2021). Furthermore, individuals with SUDs have found EMA to be acceptable for sustained measurement for up to a year with relatively high compliance (Wyant et al. 2023; Moshontz et al. 2021), suggesting that this method is feasible for long-term monitoring throughout SUD recovery.</w:t>
      </w:r>
    </w:p>
    <w:p w14:paraId="2588B6C2" w14:textId="77777777" w:rsidR="00FC22CD" w:rsidRDefault="00000000">
      <w:pPr>
        <w:pStyle w:val="BodyText"/>
      </w:pPr>
      <w:r>
        <w:t>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 (Wyant et al. 2024). They can also accommodate non-linear and interactive relationships between features and lapse probability that are likely necessary for accurate prediction of lapse probability. Moreover, rapid advances in the tools for interpretable machine learning (e.g, Shapley values (Lundberg and Lee 2017))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14:paraId="08D7FB1C" w14:textId="77777777" w:rsidR="00FC22CD" w:rsidRDefault="00000000">
      <w:pPr>
        <w:pStyle w:val="BodyText"/>
      </w:pPr>
      <w:r>
        <w:lastRenderedPageBreak/>
        <w:t>Preliminary research is now emerging that uses features derived from EMAs in machine learning models to predict the probability of future alcohol use (Soyster, Ashlock, and Fisher 2022; Walters et al. 2021; Wyant et al. 2024).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 Wyant et al. (2024) 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14:paraId="60C91159" w14:textId="77777777" w:rsidR="00FC22CD" w:rsidRDefault="00000000">
      <w:pPr>
        <w:pStyle w:val="BodyText"/>
      </w:pPr>
      <w:r>
        <w:t>Wyant et al. (2024)’s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 “smart” (machine learning guided) recovery monitoring and support system (RMSS) for patients with an alcohol use disorder (Wyant et al. under review).</w:t>
      </w:r>
    </w:p>
    <w:p w14:paraId="1CAB7BAB" w14:textId="77777777" w:rsidR="00FC22CD" w:rsidRDefault="00000000">
      <w:pPr>
        <w:pStyle w:val="BodyText"/>
      </w:pPr>
      <w:r>
        <w:t>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14:paraId="79B41E04" w14:textId="77777777" w:rsidR="00FC22CD" w:rsidRDefault="00000000">
      <w:pPr>
        <w:pStyle w:val="BodyText"/>
      </w:pPr>
      <w:r>
        <w:t xml:space="preserve">In this study, we evaluated the performance of machine learning models that predict the probability of future lapses within 24-hour prediction windows that were systematically </w:t>
      </w:r>
      <w:r>
        <w:lastRenderedPageBreak/>
        <w:t>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 (Pinedo 2019; Kilaru et al. 2020), income (Olfson et al. 2022), and sex at birth (Greenfield et al. 2007; Kilaru et al. 2020). Finally, we calculated Shapley values for feature categories defined by EMA items to better understand how these models make their prediction and how these features can be used to recommend personalized supports.</w:t>
      </w:r>
    </w:p>
    <w:p w14:paraId="0DF089ED" w14:textId="77777777" w:rsidR="00FC22CD" w:rsidRDefault="00000000">
      <w:pPr>
        <w:pStyle w:val="Heading1"/>
      </w:pPr>
      <w:bookmarkStart w:id="1" w:name="methods"/>
      <w:bookmarkEnd w:id="0"/>
      <w:r>
        <w:t>Methods</w:t>
      </w:r>
    </w:p>
    <w:p w14:paraId="5FE7EFFC" w14:textId="77777777" w:rsidR="00FC22CD" w:rsidRDefault="00000000">
      <w:pPr>
        <w:pStyle w:val="Heading2"/>
      </w:pPr>
      <w:bookmarkStart w:id="2" w:name="transparency-and-openness"/>
      <w:r>
        <w:t>Transparency and Openness</w:t>
      </w:r>
    </w:p>
    <w:p w14:paraId="5FEE7ACD" w14:textId="77777777" w:rsidR="00FC22CD" w:rsidRDefault="00000000">
      <w:pPr>
        <w:pStyle w:val="FirstParagraph"/>
      </w:pPr>
      <w:r>
        <w:t>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(Aczel et al. 2019). Finally, our data, questionnaires and other study materials are publicly available on our OSF page (</w:t>
      </w:r>
      <w:hyperlink r:id="rId7">
        <w:r w:rsidR="00FC22CD">
          <w:rPr>
            <w:rStyle w:val="Hyperlink"/>
          </w:rPr>
          <w:t>https://osf.io/xta67/</w:t>
        </w:r>
      </w:hyperlink>
      <w:r>
        <w:t>), and our annotated analysis scripts and results are publicly available on our study website (</w:t>
      </w:r>
      <w:hyperlink r:id="rId8">
        <w:r w:rsidR="00FC22CD">
          <w:rPr>
            <w:rStyle w:val="Hyperlink"/>
          </w:rPr>
          <w:t>https://jjcurtin.github.io/study_lag/</w:t>
        </w:r>
      </w:hyperlink>
      <w:r>
        <w:t>).</w:t>
      </w:r>
    </w:p>
    <w:p w14:paraId="5AE9E5A9" w14:textId="77777777" w:rsidR="00FC22CD" w:rsidRDefault="00000000">
      <w:pPr>
        <w:pStyle w:val="Heading2"/>
      </w:pPr>
      <w:bookmarkStart w:id="3" w:name="participants"/>
      <w:bookmarkEnd w:id="2"/>
      <w:r>
        <w:t>Participants</w:t>
      </w:r>
    </w:p>
    <w:p w14:paraId="5A1C6068" w14:textId="77777777" w:rsidR="00FC22CD" w:rsidRDefault="00000000">
      <w:pPr>
        <w:pStyle w:val="FirstParagraph"/>
      </w:pPr>
      <w:r>
        <w:t>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14:paraId="0DAB51B9" w14:textId="77777777" w:rsidR="00FC22CD" w:rsidRDefault="00000000">
      <w:pPr>
        <w:pStyle w:val="Compact"/>
        <w:numPr>
          <w:ilvl w:val="0"/>
          <w:numId w:val="2"/>
        </w:numPr>
      </w:pPr>
      <w:r>
        <w:t>were age 18 or older,</w:t>
      </w:r>
    </w:p>
    <w:p w14:paraId="006AD4D1" w14:textId="77777777" w:rsidR="00FC22CD" w:rsidRDefault="00000000">
      <w:pPr>
        <w:pStyle w:val="Compact"/>
        <w:numPr>
          <w:ilvl w:val="0"/>
          <w:numId w:val="2"/>
        </w:numPr>
      </w:pPr>
      <w:r>
        <w:t>could write and read in English,</w:t>
      </w:r>
    </w:p>
    <w:p w14:paraId="1D7308A8" w14:textId="77777777" w:rsidR="00FC22CD" w:rsidRDefault="00000000">
      <w:pPr>
        <w:pStyle w:val="Compact"/>
        <w:numPr>
          <w:ilvl w:val="0"/>
          <w:numId w:val="2"/>
        </w:numPr>
      </w:pPr>
      <w:r>
        <w:t>had at least moderately severe alcohol use disorder (&gt;= 4 self-reported DSM-5 symptoms),</w:t>
      </w:r>
    </w:p>
    <w:p w14:paraId="611FC762" w14:textId="77777777" w:rsidR="00FC22CD" w:rsidRDefault="00000000">
      <w:pPr>
        <w:pStyle w:val="Compact"/>
        <w:numPr>
          <w:ilvl w:val="0"/>
          <w:numId w:val="2"/>
        </w:numPr>
      </w:pPr>
      <w:r>
        <w:t>were abstinent from alcohol for 1-8 weeks, and</w:t>
      </w:r>
    </w:p>
    <w:p w14:paraId="1B30E258" w14:textId="77777777" w:rsidR="00FC22CD" w:rsidRDefault="00000000">
      <w:pPr>
        <w:pStyle w:val="Compact"/>
        <w:numPr>
          <w:ilvl w:val="0"/>
          <w:numId w:val="2"/>
        </w:numPr>
      </w:pPr>
      <w:r>
        <w:t>were willing to use a single smartphone (personal or study provided) while on study.</w:t>
      </w:r>
    </w:p>
    <w:p w14:paraId="3D67FCC5" w14:textId="77777777" w:rsidR="00FC22CD" w:rsidRDefault="00000000">
      <w:pPr>
        <w:pStyle w:val="FirstParagraph"/>
      </w:pPr>
      <w:r>
        <w:t>We also excluded participants exhibiting severe symptoms of psychosis or paranoia.</w:t>
      </w:r>
      <w:r>
        <w:rPr>
          <w:rStyle w:val="FootnoteReference"/>
        </w:rPr>
        <w:footnoteReference w:id="1"/>
      </w:r>
    </w:p>
    <w:p w14:paraId="5958F140" w14:textId="77777777" w:rsidR="00FC22CD" w:rsidRDefault="00000000">
      <w:pPr>
        <w:pStyle w:val="BodyText"/>
      </w:pPr>
      <w:r>
        <w:lastRenderedPageBreak/>
        <w:t>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 (Hsieh 1989) because comparable approaches for machine learning models have not yet been validated.</w:t>
      </w:r>
    </w:p>
    <w:p w14:paraId="442BFC5E" w14:textId="77777777" w:rsidR="00FC22CD" w:rsidRDefault="00000000">
      <w:pPr>
        <w:pStyle w:val="Heading2"/>
      </w:pPr>
      <w:bookmarkStart w:id="4" w:name="procedure"/>
      <w:bookmarkEnd w:id="3"/>
      <w:r>
        <w:t>Procedure</w:t>
      </w:r>
    </w:p>
    <w:p w14:paraId="667D6D00" w14:textId="77777777" w:rsidR="00FC22CD" w:rsidRDefault="00000000">
      <w:pPr>
        <w:pStyle w:val="FirstParagraph"/>
      </w:pPr>
      <w:r>
        <w:t>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p w14:paraId="74CB8472" w14:textId="77777777" w:rsidR="00FC22CD" w:rsidRDefault="00000000">
      <w:pPr>
        <w:pStyle w:val="Heading2"/>
      </w:pPr>
      <w:bookmarkStart w:id="5" w:name="measures"/>
      <w:bookmarkEnd w:id="4"/>
      <w:r>
        <w:t>Measures</w:t>
      </w:r>
    </w:p>
    <w:p w14:paraId="3EA4F563" w14:textId="77777777" w:rsidR="00FC22CD" w:rsidRDefault="00000000">
      <w:pPr>
        <w:pStyle w:val="Heading3"/>
      </w:pPr>
      <w:bookmarkStart w:id="6" w:name="ecological-momentary-assessments"/>
      <w:r>
        <w:t>Ecological Momentary Assessments</w:t>
      </w:r>
    </w:p>
    <w:p w14:paraId="5966A710" w14:textId="77777777" w:rsidR="00FC22CD" w:rsidRDefault="00000000">
      <w:pPr>
        <w:pStyle w:val="FirstParagraph"/>
      </w:pPr>
      <w:r>
        <w:t>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14:paraId="5223F152" w14:textId="77777777" w:rsidR="00FC22CD" w:rsidRDefault="00000000">
      <w:pPr>
        <w:pStyle w:val="BodyText"/>
      </w:pPr>
      <w:r>
        <w:t>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14:paraId="47EDAED4" w14:textId="77777777" w:rsidR="00FC22CD" w:rsidRDefault="00000000">
      <w:pPr>
        <w:pStyle w:val="BodyText"/>
      </w:pPr>
      <w:r>
        <w:t>On the first EMA each day, participants also rated anticipated risky situations and stressful events encountered in the next week and the likelihood that they would drink alcohol in the next week (i.e., abstinence self-efficacy).</w:t>
      </w:r>
    </w:p>
    <w:p w14:paraId="0458E545" w14:textId="77777777" w:rsidR="00FC22CD" w:rsidRDefault="00000000">
      <w:pPr>
        <w:pStyle w:val="Heading3"/>
      </w:pPr>
      <w:bookmarkStart w:id="7" w:name="individual-characteristics"/>
      <w:bookmarkEnd w:id="6"/>
      <w:r>
        <w:lastRenderedPageBreak/>
        <w:t>Individual Characteristics</w:t>
      </w:r>
    </w:p>
    <w:p w14:paraId="61602AE8" w14:textId="77777777" w:rsidR="00FC22CD" w:rsidRDefault="00000000">
      <w:pPr>
        <w:pStyle w:val="FirstParagraph"/>
      </w:pPr>
      <w:r>
        <w:t>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 (WHO ASSIST Working Group 2002), and presence of psychological symptoms (Derogatis, L.R. 2000))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14:paraId="415AF1E1" w14:textId="77777777" w:rsidR="00FC22CD" w:rsidRDefault="00000000">
      <w:pPr>
        <w:pStyle w:val="BodyText"/>
      </w:pPr>
      <w:r>
        <w:t>As part of the aims of the parent project, we collected many other trait and state measures throughout the study. A complete list of all measures can be found on our study’s OSF page (</w:t>
      </w:r>
      <w:hyperlink r:id="rId9">
        <w:r w:rsidR="00FC22CD">
          <w:rPr>
            <w:rStyle w:val="Hyperlink"/>
          </w:rPr>
          <w:t>https://osf.io/xta67/</w:t>
        </w:r>
      </w:hyperlink>
      <w:r>
        <w:t>).</w:t>
      </w:r>
    </w:p>
    <w:p w14:paraId="58FE1848" w14:textId="77777777" w:rsidR="00FC22CD" w:rsidRDefault="00000000">
      <w:pPr>
        <w:pStyle w:val="Heading2"/>
      </w:pPr>
      <w:bookmarkStart w:id="8" w:name="data-analytic-strategy"/>
      <w:bookmarkEnd w:id="5"/>
      <w:bookmarkEnd w:id="7"/>
      <w:r>
        <w:t>Data Analytic Strategy</w:t>
      </w:r>
    </w:p>
    <w:p w14:paraId="26F6704D" w14:textId="77777777" w:rsidR="00FC22CD" w:rsidRDefault="00000000">
      <w:pPr>
        <w:pStyle w:val="FirstParagraph"/>
      </w:pPr>
      <w:r>
        <w:t>Data preprocessing, modeling, and Bayesian analyses were done in R using the tidymodels ecosystem (Kuhn and Wickham 2020; Kuhn 2022; Goodrich et al. 2023). Models were trained and evaluated using high-throughput computing resources provided by the University of Wisconsin Center for High Throughput Computing (Center for High Throughput Computing 2006).</w:t>
      </w:r>
    </w:p>
    <w:p w14:paraId="573F1443" w14:textId="77777777" w:rsidR="00FC22CD" w:rsidRDefault="00000000">
      <w:pPr>
        <w:pStyle w:val="Heading3"/>
      </w:pPr>
      <w:bookmarkStart w:id="9" w:name="predictions"/>
      <w:r>
        <w:t>Predictions</w:t>
      </w:r>
    </w:p>
    <w:p w14:paraId="29F92376" w14:textId="77777777" w:rsidR="00FC22CD" w:rsidRDefault="00000000">
      <w:pPr>
        <w:pStyle w:val="FirstParagraph"/>
      </w:pPr>
      <w:r>
        <w:t xml:space="preserve">A </w:t>
      </w:r>
      <w:r>
        <w:rPr>
          <w:i/>
          <w:iCs/>
        </w:rPr>
        <w:t>prediction timepoint</w:t>
      </w:r>
      <w:r>
        <w:t xml:space="preserve"> (</w:t>
      </w:r>
      <w:hyperlink w:anchor="fig-method">
        <w:r w:rsidR="00FC22CD">
          <w:rPr>
            <w:rStyle w:val="Hyperlink"/>
          </w:rPr>
          <w:t>Figure 1</w:t>
        </w:r>
      </w:hyperlink>
      <w:r>
        <w:t>,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14:paraId="55D22688" w14:textId="77777777" w:rsidR="00FC22CD" w:rsidRDefault="00000000">
      <w:pPr>
        <w:pStyle w:val="BodyText"/>
      </w:pPr>
      <w:r>
        <w:t xml:space="preserve">The </w:t>
      </w:r>
      <w:r>
        <w:rPr>
          <w:i/>
          <w:iCs/>
        </w:rPr>
        <w:t>prediction window</w:t>
      </w:r>
      <w:r>
        <w:t xml:space="preserve"> (</w:t>
      </w:r>
      <w:hyperlink w:anchor="fig-method">
        <w:r w:rsidR="00FC22CD">
          <w:rPr>
            <w:rStyle w:val="Hyperlink"/>
          </w:rPr>
          <w:t>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 </w:t>
      </w:r>
      <w:r>
        <w:rPr>
          <w:i/>
          <w:iCs/>
        </w:rPr>
        <w:t>lag times</w:t>
      </w:r>
      <w:r>
        <w:t xml:space="preserve"> between the prediction timepoint and start of the associated prediction window. A prediction window either started immediately after the prediction time point (no lag) or was lagged by 1 day, 3 days, 1 week, or 2 weeks.</w:t>
      </w:r>
    </w:p>
    <w:p w14:paraId="7A1CFFE0" w14:textId="77777777" w:rsidR="00FC22CD" w:rsidRDefault="00000000">
      <w:pPr>
        <w:pStyle w:val="BodyText"/>
      </w:pPr>
      <w:r>
        <w:lastRenderedPageBreak/>
        <w:t>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w="5000" w:type="pct"/>
        <w:tblLayout w:type="fixed"/>
        <w:tblLook w:val="0000" w:firstRow="0" w:lastRow="0" w:firstColumn="0" w:lastColumn="0" w:noHBand="0" w:noVBand="0"/>
      </w:tblPr>
      <w:tblGrid>
        <w:gridCol w:w="9360"/>
      </w:tblGrid>
      <w:tr w:rsidR="00FC22CD" w14:paraId="5EA4585B" w14:textId="77777777">
        <w:tc>
          <w:tcPr>
            <w:tcW w:w="7920" w:type="dxa"/>
          </w:tcPr>
          <w:p w14:paraId="459137B9" w14:textId="77777777" w:rsidR="00FC22CD" w:rsidRDefault="00000000">
            <w:pPr>
              <w:pStyle w:val="Compact"/>
              <w:jc w:val="center"/>
            </w:pPr>
            <w:bookmarkStart w:id="10" w:name="fig-method"/>
            <w:r>
              <w:rPr>
                <w:noProof/>
              </w:rPr>
              <w:drawing>
                <wp:inline distT="0" distB="0" distL="0" distR="0" wp14:anchorId="00E01D09" wp14:editId="30C6A1BC">
                  <wp:extent cx="5334000" cy="440739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dex_files/figure-docx/notebooks-mak_figures-fig-method-output-1.png"/>
                          <pic:cNvPicPr>
                            <a:picLocks noChangeAspect="1" noChangeArrowheads="1"/>
                          </pic:cNvPicPr>
                        </pic:nvPicPr>
                        <pic:blipFill>
                          <a:blip r:embed="rId10"/>
                          <a:stretch>
                            <a:fillRect/>
                          </a:stretch>
                        </pic:blipFill>
                        <pic:spPr bwMode="auto">
                          <a:xfrm>
                            <a:off x="0" y="0"/>
                            <a:ext cx="5334000" cy="4407398"/>
                          </a:xfrm>
                          <a:prstGeom prst="rect">
                            <a:avLst/>
                          </a:prstGeom>
                          <a:noFill/>
                          <a:ln w="9525">
                            <a:noFill/>
                            <a:headEnd/>
                            <a:tailEnd/>
                          </a:ln>
                        </pic:spPr>
                      </pic:pic>
                    </a:graphicData>
                  </a:graphic>
                </wp:inline>
              </w:drawing>
            </w:r>
          </w:p>
          <w:p w14:paraId="6F139E14" w14:textId="77777777" w:rsidR="00FC22CD" w:rsidRDefault="00000000">
            <w:pPr>
              <w:pStyle w:val="ImageCaption"/>
              <w:spacing w:before="200"/>
            </w:pPr>
            <w:r>
              <w:t>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tc>
        <w:bookmarkEnd w:id="10"/>
      </w:tr>
    </w:tbl>
    <w:p w14:paraId="2E376D3A" w14:textId="77777777" w:rsidR="00FC22CD" w:rsidRDefault="00000000">
      <w:pPr>
        <w:pStyle w:val="Heading3"/>
      </w:pPr>
      <w:bookmarkStart w:id="11" w:name="labels"/>
      <w:bookmarkEnd w:id="9"/>
      <w:r>
        <w:lastRenderedPageBreak/>
        <w:t>Labels</w:t>
      </w:r>
    </w:p>
    <w:p w14:paraId="1F662376" w14:textId="77777777" w:rsidR="00FC22CD" w:rsidRDefault="00000000">
      <w:pPr>
        <w:pStyle w:val="FirstParagraph"/>
      </w:pPr>
      <w:r>
        <w:t xml:space="preserve">The start and end date/time of past drinking episodes were reported on the first EMA item. A prediction window was labeled </w:t>
      </w:r>
      <w:r>
        <w:rPr>
          <w:i/>
          <w:iCs/>
        </w:rPr>
        <w:t>lapse</w:t>
      </w:r>
      <w:r>
        <w:t xml:space="preserve"> if the start date/hour of any drinking episode fell within that window. A window was labeled </w:t>
      </w:r>
      <w:r>
        <w:rPr>
          <w:i/>
          <w:iCs/>
        </w:rPr>
        <w:t>no lapse</w:t>
      </w:r>
      <w:r>
        <w:t xml:space="preserve"> if no alcohol use occurred within that window +/- 24 hours. If no alcohol use occurred within the window but did occur within 24 hours of the start or end of the window, the window was excluded. </w:t>
      </w:r>
      <w:r>
        <w:rPr>
          <w:rStyle w:val="FootnoteReference"/>
        </w:rPr>
        <w:footnoteReference w:id="2"/>
      </w:r>
    </w:p>
    <w:p w14:paraId="2C6B3418" w14:textId="77777777" w:rsidR="00FC22CD" w:rsidRDefault="00000000">
      <w:pPr>
        <w:pStyle w:val="BodyText"/>
      </w:pPr>
      <w:r>
        <w:t>This method produced totals of: 274,179 labels for our baseline (no lag) model; 270,911 labels for our 1-day lagged model; 264,362 labels for our 3-day lagged model; 251,458 labels for our 1-week lagged model; and 228,420 labels for our 2-week lagged model.</w:t>
      </w:r>
    </w:p>
    <w:p w14:paraId="27BA4879" w14:textId="77777777" w:rsidR="00FC22CD" w:rsidRDefault="00000000">
      <w:pPr>
        <w:pStyle w:val="Heading3"/>
      </w:pPr>
      <w:bookmarkStart w:id="12" w:name="feature-engineering"/>
      <w:bookmarkEnd w:id="11"/>
      <w:r>
        <w:t>Feature Engineering</w:t>
      </w:r>
    </w:p>
    <w:p w14:paraId="307B15F0" w14:textId="77777777" w:rsidR="00FC22CD" w:rsidRDefault="00000000">
      <w:pPr>
        <w:pStyle w:val="FirstParagraph"/>
      </w:pPr>
      <w:r>
        <w:t>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14:paraId="7D0552B4" w14:textId="77777777" w:rsidR="00FC22CD" w:rsidRDefault="00000000">
      <w:pPr>
        <w:pStyle w:val="BodyText"/>
      </w:pPr>
      <w:r>
        <w:t>A total of 285 features were derived from three data sources:</w:t>
      </w:r>
    </w:p>
    <w:p w14:paraId="5042BE46" w14:textId="77777777" w:rsidR="00FC22CD" w:rsidRDefault="00000000">
      <w:pPr>
        <w:numPr>
          <w:ilvl w:val="0"/>
          <w:numId w:val="3"/>
        </w:numPr>
      </w:pPr>
      <w:r>
        <w:rPr>
          <w:i/>
          <w:iCs/>
        </w:rPr>
        <w:t>Prediction window</w:t>
      </w:r>
      <w:r>
        <w:t>: We dummy-coded features for day of the week for the start of the prediction window.</w:t>
      </w:r>
    </w:p>
    <w:p w14:paraId="2B8A5913" w14:textId="77777777" w:rsidR="00FC22CD" w:rsidRDefault="00000000">
      <w:pPr>
        <w:numPr>
          <w:ilvl w:val="0"/>
          <w:numId w:val="3"/>
        </w:numPr>
      </w:pPr>
      <w:r>
        <w:rPr>
          <w:i/>
          <w:iCs/>
        </w:rPr>
        <w:t>Demographics</w:t>
      </w:r>
      <w:r>
        <w:t>: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14:paraId="7587F8FA" w14:textId="77777777" w:rsidR="00FC22CD" w:rsidRDefault="00000000">
      <w:pPr>
        <w:numPr>
          <w:ilvl w:val="0"/>
          <w:numId w:val="3"/>
        </w:numPr>
      </w:pPr>
      <w:r>
        <w:rPr>
          <w:i/>
          <w:iCs/>
        </w:rPr>
        <w:t>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w:t>
      </w:r>
      <w:r>
        <w:lastRenderedPageBreak/>
        <w:t>features based on the most recent response for each EMA question and raw and change rate features from previously reported lapses and number of completed EMAs.</w:t>
      </w:r>
    </w:p>
    <w:p w14:paraId="7C678F2B" w14:textId="77777777" w:rsidR="00FC22CD" w:rsidRDefault="00000000">
      <w:pPr>
        <w:pStyle w:val="FirstParagraph"/>
      </w:pPr>
      <w:r>
        <w:t>Other generic feature engineering steps included imputing missing data (median imputation for numeric features, mode imputation for nominal features) and removing zero and near-zero variance features as determined from held-in data (see Cross-validation section below).</w:t>
      </w:r>
    </w:p>
    <w:p w14:paraId="2BEC6AAB" w14:textId="77777777" w:rsidR="00FC22CD" w:rsidRDefault="00000000">
      <w:pPr>
        <w:pStyle w:val="Heading3"/>
      </w:pPr>
      <w:bookmarkStart w:id="13" w:name="model-training-and-evaluation"/>
      <w:bookmarkEnd w:id="12"/>
      <w:r>
        <w:t>Model Training and Evaluation</w:t>
      </w:r>
    </w:p>
    <w:p w14:paraId="27C4FA50" w14:textId="77777777" w:rsidR="00FC22CD" w:rsidRDefault="00000000">
      <w:pPr>
        <w:pStyle w:val="Heading4"/>
      </w:pPr>
      <w:bookmarkStart w:id="14" w:name="model-configurations"/>
      <w:r>
        <w:t>Model Configurations</w:t>
      </w:r>
    </w:p>
    <w:p w14:paraId="4AC3A0E2" w14:textId="77777777" w:rsidR="00FC22CD" w:rsidRDefault="00000000">
      <w:pPr>
        <w:pStyle w:val="FirstParagraph"/>
      </w:pPr>
      <w:r>
        <w:t>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 (Kuhn and Johnson 2018).</w:t>
      </w:r>
    </w:p>
    <w:p w14:paraId="4DFFE56D" w14:textId="77777777" w:rsidR="00FC22CD" w:rsidRDefault="00000000">
      <w:pPr>
        <w:pStyle w:val="BodyText"/>
      </w:pPr>
      <w:r>
        <w:t>Candidate model configurations differed across sensible values for key hyperparameters. They also differed on outcome resampling method (i.e., no resampling and up-sampling and down-sampling of the outcome using majority/no lapse to minority/lapse ratios ranging from 5:1 to 1:1).</w:t>
      </w:r>
    </w:p>
    <w:p w14:paraId="6D1172F1" w14:textId="77777777" w:rsidR="00FC22CD" w:rsidRDefault="00000000">
      <w:pPr>
        <w:pStyle w:val="Heading4"/>
      </w:pPr>
      <w:bookmarkStart w:id="15" w:name="cross-validation"/>
      <w:bookmarkEnd w:id="14"/>
      <w:r>
        <w:t>Cross-validation</w:t>
      </w:r>
    </w:p>
    <w:p w14:paraId="51737A6A" w14:textId="77777777" w:rsidR="00FC22CD" w:rsidRDefault="00000000">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 </w:t>
      </w:r>
      <w:r>
        <w:rPr>
          <w:i/>
          <w:iCs/>
        </w:rPr>
        <w:t>validation</w:t>
      </w:r>
      <w:r>
        <w:t xml:space="preserve"> sets) and 6 repeats of 5-fold cross-validation for the outer loop (i.e., </w:t>
      </w:r>
      <w:r>
        <w:rPr>
          <w:i/>
          <w:iCs/>
        </w:rPr>
        <w:t>test</w:t>
      </w:r>
      <w:r>
        <w:t xml:space="preserve"> sets). Best model configurations were selected using median auROC across the 10 validation sets. Final performance evaluation of those best model configurations used median auROC across the 30 test sets.</w:t>
      </w:r>
    </w:p>
    <w:p w14:paraId="562C1FE1" w14:textId="77777777" w:rsidR="00FC22CD" w:rsidRDefault="00000000">
      <w:pPr>
        <w:pStyle w:val="Heading4"/>
      </w:pPr>
      <w:bookmarkStart w:id="16" w:name="bayesian-model"/>
      <w:bookmarkEnd w:id="15"/>
      <w:r>
        <w:t>Bayesian Model</w:t>
      </w:r>
    </w:p>
    <w:p w14:paraId="75CFDFBD" w14:textId="77777777" w:rsidR="00FC22CD" w:rsidRDefault="00000000">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 (RStudio Team 2020; Gabry and Goodrich 2023), we used the rstanarm default autoscaled, weakly informative, data-dependent priors that take into account the order of </w:t>
      </w:r>
      <w:r>
        <w:lastRenderedPageBreak/>
        <w:t>magnitude of the variables to provide some regularization to stabilize computation and avoid over-fitting.</w:t>
      </w:r>
      <w:r>
        <w:rPr>
          <w:rStyle w:val="FootnoteReference"/>
        </w:rPr>
        <w:footnoteReference w:id="3"/>
      </w:r>
      <w:r>
        <w:t xml:space="preserve"> 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14:paraId="42C7502B" w14:textId="77777777" w:rsidR="00FC22CD" w:rsidRDefault="00000000">
      <w:pPr>
        <w:pStyle w:val="BodyText"/>
      </w:pPr>
      <w:r>
        <w:t>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14:paraId="735B5ADC" w14:textId="77777777" w:rsidR="00FC22CD" w:rsidRDefault="00000000">
      <w:pPr>
        <w:pStyle w:val="BodyText"/>
      </w:pPr>
      <w:r>
        <w:t>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p w14:paraId="12B99094" w14:textId="77777777" w:rsidR="00FC22CD" w:rsidRDefault="00000000">
      <w:pPr>
        <w:pStyle w:val="Heading4"/>
      </w:pPr>
      <w:bookmarkStart w:id="17" w:name="fairness-analyses"/>
      <w:bookmarkEnd w:id="16"/>
      <w:r>
        <w:t>Fairness Analyses</w:t>
      </w:r>
    </w:p>
    <w:p w14:paraId="73EC2B8B" w14:textId="77777777" w:rsidR="00FC22CD" w:rsidRDefault="00000000">
      <w:pPr>
        <w:pStyle w:val="FirstParagraph"/>
      </w:pPr>
      <w:r>
        <w:t>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
      </w:r>
      <w:r>
        <w:t>),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p w14:paraId="464F7306" w14:textId="77777777" w:rsidR="00FC22CD" w:rsidRDefault="00000000">
      <w:pPr>
        <w:pStyle w:val="Heading3"/>
      </w:pPr>
      <w:bookmarkStart w:id="18" w:name="model-characterization"/>
      <w:bookmarkEnd w:id="13"/>
      <w:bookmarkEnd w:id="17"/>
      <w:r>
        <w:t>Model Characterization</w:t>
      </w:r>
    </w:p>
    <w:p w14:paraId="70FC8D03" w14:textId="77777777" w:rsidR="00FC22CD" w:rsidRDefault="00000000">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w:t>
      </w:r>
      <w:r>
        <w:lastRenderedPageBreak/>
        <w:t>selected for each model represents the most reliable and robust configuration for deployment. We can better understand our final models by looking at the calibration of the predicted probabilities and the most important features contributing to those predictions.</w:t>
      </w:r>
    </w:p>
    <w:p w14:paraId="23BA9225" w14:textId="77777777" w:rsidR="00FC22CD" w:rsidRDefault="00000000">
      <w:pPr>
        <w:pStyle w:val="Heading4"/>
      </w:pPr>
      <w:bookmarkStart w:id="19" w:name="model-calibration"/>
      <w:r>
        <w:t>Model Calibration</w:t>
      </w:r>
    </w:p>
    <w:p w14:paraId="47855834" w14:textId="77777777" w:rsidR="00FC22CD" w:rsidRDefault="00000000">
      <w:pPr>
        <w:pStyle w:val="FirstParagraph"/>
      </w:pPr>
      <w:r>
        <w:t>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 (Platt 1999).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p w14:paraId="619596A9" w14:textId="77777777" w:rsidR="00FC22CD" w:rsidRDefault="00000000">
      <w:pPr>
        <w:pStyle w:val="Heading4"/>
      </w:pPr>
      <w:bookmarkStart w:id="20" w:name="global-feature-importance"/>
      <w:bookmarkEnd w:id="19"/>
      <w:r>
        <w:t>Global Feature Importance</w:t>
      </w:r>
    </w:p>
    <w:p w14:paraId="42C1AE15" w14:textId="77777777" w:rsidR="00FC22CD" w:rsidRDefault="00000000">
      <w:pPr>
        <w:pStyle w:val="FirstParagraph"/>
      </w:pPr>
      <w:r>
        <w:t>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 “local importance” of that feature (Lundberg and Lee 2017).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14:paraId="1B40298F" w14:textId="77777777" w:rsidR="00FC22CD" w:rsidRDefault="00000000">
      <w:pPr>
        <w:pStyle w:val="BodyText"/>
      </w:pPr>
      <w:r>
        <w:t>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14:paraId="078702D5" w14:textId="77777777" w:rsidR="00FC22CD" w:rsidRDefault="00000000">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w:t>
      </w:r>
      <w:r>
        <w:lastRenderedPageBreak/>
        <w:t>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p w14:paraId="61845B7A" w14:textId="77777777" w:rsidR="00FC22CD" w:rsidRDefault="00000000">
      <w:pPr>
        <w:pStyle w:val="Heading1"/>
      </w:pPr>
      <w:bookmarkStart w:id="21" w:name="results"/>
      <w:bookmarkEnd w:id="1"/>
      <w:bookmarkEnd w:id="8"/>
      <w:bookmarkEnd w:id="18"/>
      <w:bookmarkEnd w:id="20"/>
      <w:r>
        <w:t>Results</w:t>
      </w:r>
    </w:p>
    <w:p w14:paraId="2DB636B5" w14:textId="77777777" w:rsidR="00FC22CD" w:rsidRDefault="00000000">
      <w:pPr>
        <w:pStyle w:val="Heading2"/>
      </w:pPr>
      <w:bookmarkStart w:id="22" w:name="demographic-and-lapse-characteristics"/>
      <w:r>
        <w:t>Demographic and Lapse Characteristics</w:t>
      </w:r>
    </w:p>
    <w:p w14:paraId="425D79FF" w14:textId="77777777" w:rsidR="00FC22CD" w:rsidRDefault="00FC22CD">
      <w:pPr>
        <w:pStyle w:val="FirstParagraph"/>
      </w:pPr>
      <w:hyperlink w:anchor="tbl-demohtml">
        <w:r>
          <w:rPr>
            <w:rStyle w:val="Hyperlink"/>
          </w:rPr>
          <w:t>Table 1</w:t>
        </w:r>
      </w:hyperlink>
      <w:r w:rsidR="00000000">
        <w:t xml:space="preserve"> provides a detailed breakdown of the demographic and clinical characteristics of our sample (N = 151).</w:t>
      </w:r>
    </w:p>
    <w:tbl>
      <w:tblPr>
        <w:tblStyle w:val="Table"/>
        <w:tblW w:w="5000" w:type="pct"/>
        <w:tblLayout w:type="fixed"/>
        <w:tblLook w:val="0000" w:firstRow="0" w:lastRow="0" w:firstColumn="0" w:lastColumn="0" w:noHBand="0" w:noVBand="0"/>
      </w:tblPr>
      <w:tblGrid>
        <w:gridCol w:w="9360"/>
      </w:tblGrid>
      <w:tr w:rsidR="00FC22CD" w14:paraId="3312BB91" w14:textId="77777777">
        <w:tc>
          <w:tcPr>
            <w:tcW w:w="7920" w:type="dxa"/>
          </w:tcPr>
          <w:p w14:paraId="171E06FA" w14:textId="77777777" w:rsidR="00FC22CD" w:rsidRDefault="00000000">
            <w:pPr>
              <w:pStyle w:val="ImageCaption"/>
              <w:spacing w:before="200"/>
            </w:pPr>
            <w:bookmarkStart w:id="23" w:name="tbl-demohtml"/>
            <w:r>
              <w:t>Table 1: Demographic and Clinical Characteristics</w:t>
            </w:r>
          </w:p>
          <w:tbl>
            <w:tblPr>
              <w:tblStyle w:val="Table"/>
              <w:tblW w:w="9605" w:type="dxa"/>
              <w:tblLook w:val="0060" w:firstRow="1" w:lastRow="1" w:firstColumn="0" w:lastColumn="0" w:noHBand="0" w:noVBand="0"/>
            </w:tblPr>
            <w:tblGrid>
              <w:gridCol w:w="4320"/>
              <w:gridCol w:w="630"/>
              <w:gridCol w:w="810"/>
              <w:gridCol w:w="1080"/>
              <w:gridCol w:w="1170"/>
              <w:gridCol w:w="1589"/>
              <w:gridCol w:w="6"/>
            </w:tblGrid>
            <w:tr w:rsidR="00A14839" w14:paraId="2DF4801E" w14:textId="77777777" w:rsidTr="00A14839">
              <w:trPr>
                <w:cnfStyle w:val="100000000000" w:firstRow="1" w:lastRow="0" w:firstColumn="0" w:lastColumn="0" w:oddVBand="0" w:evenVBand="0" w:oddHBand="0" w:evenHBand="0" w:firstRowFirstColumn="0" w:firstRowLastColumn="0" w:lastRowFirstColumn="0" w:lastRowLastColumn="0"/>
                <w:tblHeader/>
              </w:trPr>
              <w:tc>
                <w:tcPr>
                  <w:tcW w:w="4320" w:type="dxa"/>
                </w:tcPr>
                <w:p w14:paraId="75FE6867" w14:textId="77777777" w:rsidR="00FC22CD" w:rsidRDefault="00FC22CD" w:rsidP="00A14839">
                  <w:pPr>
                    <w:pStyle w:val="Compact"/>
                  </w:pPr>
                </w:p>
              </w:tc>
              <w:tc>
                <w:tcPr>
                  <w:tcW w:w="630" w:type="dxa"/>
                </w:tcPr>
                <w:p w14:paraId="3BF8317A" w14:textId="77777777" w:rsidR="00FC22CD" w:rsidRDefault="00000000">
                  <w:pPr>
                    <w:pStyle w:val="Compact"/>
                    <w:jc w:val="center"/>
                  </w:pPr>
                  <w:r>
                    <w:t>N</w:t>
                  </w:r>
                </w:p>
              </w:tc>
              <w:tc>
                <w:tcPr>
                  <w:tcW w:w="810" w:type="dxa"/>
                </w:tcPr>
                <w:p w14:paraId="3B8EEB1D" w14:textId="77777777" w:rsidR="00FC22CD" w:rsidRDefault="00000000">
                  <w:pPr>
                    <w:pStyle w:val="Compact"/>
                    <w:jc w:val="center"/>
                  </w:pPr>
                  <w:r>
                    <w:t>%</w:t>
                  </w:r>
                </w:p>
              </w:tc>
              <w:tc>
                <w:tcPr>
                  <w:tcW w:w="1080" w:type="dxa"/>
                </w:tcPr>
                <w:p w14:paraId="74DE908C" w14:textId="77777777" w:rsidR="00FC22CD" w:rsidRDefault="00000000">
                  <w:pPr>
                    <w:pStyle w:val="Compact"/>
                    <w:jc w:val="center"/>
                  </w:pPr>
                  <w:r>
                    <w:t>M</w:t>
                  </w:r>
                </w:p>
              </w:tc>
              <w:tc>
                <w:tcPr>
                  <w:tcW w:w="1170" w:type="dxa"/>
                </w:tcPr>
                <w:p w14:paraId="195C42F9" w14:textId="77777777" w:rsidR="00FC22CD" w:rsidRDefault="00000000">
                  <w:pPr>
                    <w:pStyle w:val="Compact"/>
                    <w:jc w:val="center"/>
                  </w:pPr>
                  <w:r>
                    <w:t>SD</w:t>
                  </w:r>
                </w:p>
              </w:tc>
              <w:tc>
                <w:tcPr>
                  <w:tcW w:w="1595" w:type="dxa"/>
                  <w:gridSpan w:val="2"/>
                </w:tcPr>
                <w:p w14:paraId="03820488" w14:textId="77777777" w:rsidR="00FC22CD" w:rsidRDefault="00000000">
                  <w:pPr>
                    <w:pStyle w:val="Compact"/>
                    <w:jc w:val="center"/>
                  </w:pPr>
                  <w:r>
                    <w:t>Range</w:t>
                  </w:r>
                </w:p>
              </w:tc>
            </w:tr>
            <w:tr w:rsidR="00A14839" w14:paraId="6A131DF1" w14:textId="77777777" w:rsidTr="00A14839">
              <w:tc>
                <w:tcPr>
                  <w:tcW w:w="4320" w:type="dxa"/>
                </w:tcPr>
                <w:p w14:paraId="17E3C6E8" w14:textId="77777777" w:rsidR="00FC22CD" w:rsidRDefault="00000000" w:rsidP="00A14839">
                  <w:pPr>
                    <w:pStyle w:val="Compact"/>
                  </w:pPr>
                  <w:r>
                    <w:t>Age</w:t>
                  </w:r>
                </w:p>
              </w:tc>
              <w:tc>
                <w:tcPr>
                  <w:tcW w:w="630" w:type="dxa"/>
                </w:tcPr>
                <w:p w14:paraId="18527B1D" w14:textId="77777777" w:rsidR="00FC22CD" w:rsidRDefault="00FC22CD">
                  <w:pPr>
                    <w:pStyle w:val="Compact"/>
                  </w:pPr>
                </w:p>
              </w:tc>
              <w:tc>
                <w:tcPr>
                  <w:tcW w:w="810" w:type="dxa"/>
                </w:tcPr>
                <w:p w14:paraId="2F49D04B" w14:textId="77777777" w:rsidR="00FC22CD" w:rsidRDefault="00FC22CD">
                  <w:pPr>
                    <w:pStyle w:val="Compact"/>
                  </w:pPr>
                </w:p>
              </w:tc>
              <w:tc>
                <w:tcPr>
                  <w:tcW w:w="1080" w:type="dxa"/>
                </w:tcPr>
                <w:p w14:paraId="3DC88F09" w14:textId="77777777" w:rsidR="00FC22CD" w:rsidRDefault="00000000">
                  <w:pPr>
                    <w:pStyle w:val="Compact"/>
                    <w:jc w:val="center"/>
                  </w:pPr>
                  <w:r>
                    <w:t>41</w:t>
                  </w:r>
                </w:p>
              </w:tc>
              <w:tc>
                <w:tcPr>
                  <w:tcW w:w="1170" w:type="dxa"/>
                </w:tcPr>
                <w:p w14:paraId="5224122D" w14:textId="77777777" w:rsidR="00FC22CD" w:rsidRDefault="00000000">
                  <w:pPr>
                    <w:pStyle w:val="Compact"/>
                    <w:jc w:val="center"/>
                  </w:pPr>
                  <w:r>
                    <w:t>11.9</w:t>
                  </w:r>
                </w:p>
              </w:tc>
              <w:tc>
                <w:tcPr>
                  <w:tcW w:w="1595" w:type="dxa"/>
                  <w:gridSpan w:val="2"/>
                </w:tcPr>
                <w:p w14:paraId="4CDA343E" w14:textId="77777777" w:rsidR="00FC22CD" w:rsidRDefault="00000000">
                  <w:pPr>
                    <w:pStyle w:val="Compact"/>
                    <w:jc w:val="center"/>
                  </w:pPr>
                  <w:r>
                    <w:t>21-72</w:t>
                  </w:r>
                </w:p>
              </w:tc>
            </w:tr>
            <w:tr w:rsidR="00A14839" w14:paraId="78D7F141" w14:textId="77777777" w:rsidTr="00A14839">
              <w:tc>
                <w:tcPr>
                  <w:tcW w:w="4320" w:type="dxa"/>
                </w:tcPr>
                <w:p w14:paraId="7A708435" w14:textId="77777777" w:rsidR="00FC22CD" w:rsidRDefault="00000000" w:rsidP="00A14839">
                  <w:pPr>
                    <w:pStyle w:val="Compact"/>
                  </w:pPr>
                  <w:r>
                    <w:t>Sex</w:t>
                  </w:r>
                </w:p>
              </w:tc>
              <w:tc>
                <w:tcPr>
                  <w:tcW w:w="630" w:type="dxa"/>
                </w:tcPr>
                <w:p w14:paraId="498CE767" w14:textId="77777777" w:rsidR="00FC22CD" w:rsidRDefault="00FC22CD">
                  <w:pPr>
                    <w:pStyle w:val="Compact"/>
                  </w:pPr>
                </w:p>
              </w:tc>
              <w:tc>
                <w:tcPr>
                  <w:tcW w:w="810" w:type="dxa"/>
                </w:tcPr>
                <w:p w14:paraId="3D9647E4" w14:textId="77777777" w:rsidR="00FC22CD" w:rsidRDefault="00FC22CD">
                  <w:pPr>
                    <w:pStyle w:val="Compact"/>
                  </w:pPr>
                </w:p>
              </w:tc>
              <w:tc>
                <w:tcPr>
                  <w:tcW w:w="1080" w:type="dxa"/>
                </w:tcPr>
                <w:p w14:paraId="4950B7C4" w14:textId="77777777" w:rsidR="00FC22CD" w:rsidRDefault="00FC22CD">
                  <w:pPr>
                    <w:pStyle w:val="Compact"/>
                  </w:pPr>
                </w:p>
              </w:tc>
              <w:tc>
                <w:tcPr>
                  <w:tcW w:w="1170" w:type="dxa"/>
                </w:tcPr>
                <w:p w14:paraId="38A6AE0C" w14:textId="77777777" w:rsidR="00FC22CD" w:rsidRDefault="00FC22CD">
                  <w:pPr>
                    <w:pStyle w:val="Compact"/>
                  </w:pPr>
                </w:p>
              </w:tc>
              <w:tc>
                <w:tcPr>
                  <w:tcW w:w="1595" w:type="dxa"/>
                  <w:gridSpan w:val="2"/>
                </w:tcPr>
                <w:p w14:paraId="6D6FE603" w14:textId="77777777" w:rsidR="00FC22CD" w:rsidRDefault="00FC22CD">
                  <w:pPr>
                    <w:pStyle w:val="Compact"/>
                  </w:pPr>
                </w:p>
              </w:tc>
            </w:tr>
            <w:tr w:rsidR="00A14839" w14:paraId="1A1CC3B0" w14:textId="77777777" w:rsidTr="00A14839">
              <w:tc>
                <w:tcPr>
                  <w:tcW w:w="4320" w:type="dxa"/>
                </w:tcPr>
                <w:p w14:paraId="34B7186F" w14:textId="4D462B3A" w:rsidR="00FC22CD" w:rsidRDefault="00A14839" w:rsidP="00A14839">
                  <w:pPr>
                    <w:pStyle w:val="Compact"/>
                  </w:pPr>
                  <w:r>
                    <w:t xml:space="preserve">     Female</w:t>
                  </w:r>
                </w:p>
              </w:tc>
              <w:tc>
                <w:tcPr>
                  <w:tcW w:w="630" w:type="dxa"/>
                </w:tcPr>
                <w:p w14:paraId="6F313B0E" w14:textId="77777777" w:rsidR="00FC22CD" w:rsidRDefault="00000000">
                  <w:pPr>
                    <w:pStyle w:val="Compact"/>
                    <w:jc w:val="center"/>
                  </w:pPr>
                  <w:r>
                    <w:t>74</w:t>
                  </w:r>
                </w:p>
              </w:tc>
              <w:tc>
                <w:tcPr>
                  <w:tcW w:w="810" w:type="dxa"/>
                </w:tcPr>
                <w:p w14:paraId="4EB37508" w14:textId="77777777" w:rsidR="00FC22CD" w:rsidRDefault="00000000">
                  <w:pPr>
                    <w:pStyle w:val="Compact"/>
                    <w:jc w:val="center"/>
                  </w:pPr>
                  <w:r>
                    <w:t>49.0</w:t>
                  </w:r>
                </w:p>
              </w:tc>
              <w:tc>
                <w:tcPr>
                  <w:tcW w:w="1080" w:type="dxa"/>
                </w:tcPr>
                <w:p w14:paraId="559D91F1" w14:textId="77777777" w:rsidR="00FC22CD" w:rsidRDefault="00FC22CD">
                  <w:pPr>
                    <w:pStyle w:val="Compact"/>
                  </w:pPr>
                </w:p>
              </w:tc>
              <w:tc>
                <w:tcPr>
                  <w:tcW w:w="1170" w:type="dxa"/>
                </w:tcPr>
                <w:p w14:paraId="18F4A2D2" w14:textId="77777777" w:rsidR="00FC22CD" w:rsidRDefault="00FC22CD">
                  <w:pPr>
                    <w:pStyle w:val="Compact"/>
                  </w:pPr>
                </w:p>
              </w:tc>
              <w:tc>
                <w:tcPr>
                  <w:tcW w:w="1595" w:type="dxa"/>
                  <w:gridSpan w:val="2"/>
                </w:tcPr>
                <w:p w14:paraId="7C1704B6" w14:textId="77777777" w:rsidR="00FC22CD" w:rsidRDefault="00FC22CD">
                  <w:pPr>
                    <w:pStyle w:val="Compact"/>
                  </w:pPr>
                </w:p>
              </w:tc>
            </w:tr>
            <w:tr w:rsidR="00A14839" w14:paraId="35877CDE" w14:textId="77777777" w:rsidTr="00A14839">
              <w:tc>
                <w:tcPr>
                  <w:tcW w:w="4320" w:type="dxa"/>
                </w:tcPr>
                <w:p w14:paraId="5C8BFD4B" w14:textId="19816E0C" w:rsidR="00FC22CD" w:rsidRDefault="00A14839" w:rsidP="00A14839">
                  <w:pPr>
                    <w:pStyle w:val="Compact"/>
                  </w:pPr>
                  <w:r>
                    <w:t xml:space="preserve">     Male</w:t>
                  </w:r>
                </w:p>
              </w:tc>
              <w:tc>
                <w:tcPr>
                  <w:tcW w:w="630" w:type="dxa"/>
                </w:tcPr>
                <w:p w14:paraId="01811598" w14:textId="77777777" w:rsidR="00FC22CD" w:rsidRDefault="00000000">
                  <w:pPr>
                    <w:pStyle w:val="Compact"/>
                    <w:jc w:val="center"/>
                  </w:pPr>
                  <w:r>
                    <w:t>77</w:t>
                  </w:r>
                </w:p>
              </w:tc>
              <w:tc>
                <w:tcPr>
                  <w:tcW w:w="810" w:type="dxa"/>
                </w:tcPr>
                <w:p w14:paraId="5026188C" w14:textId="77777777" w:rsidR="00FC22CD" w:rsidRDefault="00000000">
                  <w:pPr>
                    <w:pStyle w:val="Compact"/>
                    <w:jc w:val="center"/>
                  </w:pPr>
                  <w:r>
                    <w:t>51.0</w:t>
                  </w:r>
                </w:p>
              </w:tc>
              <w:tc>
                <w:tcPr>
                  <w:tcW w:w="1080" w:type="dxa"/>
                </w:tcPr>
                <w:p w14:paraId="608892C4" w14:textId="77777777" w:rsidR="00FC22CD" w:rsidRDefault="00FC22CD">
                  <w:pPr>
                    <w:pStyle w:val="Compact"/>
                  </w:pPr>
                </w:p>
              </w:tc>
              <w:tc>
                <w:tcPr>
                  <w:tcW w:w="1170" w:type="dxa"/>
                </w:tcPr>
                <w:p w14:paraId="727361AF" w14:textId="77777777" w:rsidR="00FC22CD" w:rsidRDefault="00FC22CD">
                  <w:pPr>
                    <w:pStyle w:val="Compact"/>
                  </w:pPr>
                </w:p>
              </w:tc>
              <w:tc>
                <w:tcPr>
                  <w:tcW w:w="1595" w:type="dxa"/>
                  <w:gridSpan w:val="2"/>
                </w:tcPr>
                <w:p w14:paraId="4F7779C6" w14:textId="77777777" w:rsidR="00FC22CD" w:rsidRDefault="00FC22CD">
                  <w:pPr>
                    <w:pStyle w:val="Compact"/>
                  </w:pPr>
                </w:p>
              </w:tc>
            </w:tr>
            <w:tr w:rsidR="00A14839" w14:paraId="35996CB6" w14:textId="77777777" w:rsidTr="00A14839">
              <w:tc>
                <w:tcPr>
                  <w:tcW w:w="4320" w:type="dxa"/>
                </w:tcPr>
                <w:p w14:paraId="29CE259E" w14:textId="77777777" w:rsidR="00FC22CD" w:rsidRDefault="00000000" w:rsidP="00A14839">
                  <w:pPr>
                    <w:pStyle w:val="Compact"/>
                  </w:pPr>
                  <w:r>
                    <w:t>Race</w:t>
                  </w:r>
                </w:p>
              </w:tc>
              <w:tc>
                <w:tcPr>
                  <w:tcW w:w="630" w:type="dxa"/>
                </w:tcPr>
                <w:p w14:paraId="6485F77C" w14:textId="77777777" w:rsidR="00FC22CD" w:rsidRDefault="00FC22CD">
                  <w:pPr>
                    <w:pStyle w:val="Compact"/>
                  </w:pPr>
                </w:p>
              </w:tc>
              <w:tc>
                <w:tcPr>
                  <w:tcW w:w="810" w:type="dxa"/>
                </w:tcPr>
                <w:p w14:paraId="02744F21" w14:textId="77777777" w:rsidR="00FC22CD" w:rsidRDefault="00FC22CD">
                  <w:pPr>
                    <w:pStyle w:val="Compact"/>
                  </w:pPr>
                </w:p>
              </w:tc>
              <w:tc>
                <w:tcPr>
                  <w:tcW w:w="1080" w:type="dxa"/>
                </w:tcPr>
                <w:p w14:paraId="430C5ADD" w14:textId="77777777" w:rsidR="00FC22CD" w:rsidRDefault="00FC22CD">
                  <w:pPr>
                    <w:pStyle w:val="Compact"/>
                  </w:pPr>
                </w:p>
              </w:tc>
              <w:tc>
                <w:tcPr>
                  <w:tcW w:w="1170" w:type="dxa"/>
                </w:tcPr>
                <w:p w14:paraId="4C069AC4" w14:textId="77777777" w:rsidR="00FC22CD" w:rsidRDefault="00FC22CD">
                  <w:pPr>
                    <w:pStyle w:val="Compact"/>
                  </w:pPr>
                </w:p>
              </w:tc>
              <w:tc>
                <w:tcPr>
                  <w:tcW w:w="1595" w:type="dxa"/>
                  <w:gridSpan w:val="2"/>
                </w:tcPr>
                <w:p w14:paraId="346C30D0" w14:textId="77777777" w:rsidR="00FC22CD" w:rsidRDefault="00FC22CD">
                  <w:pPr>
                    <w:pStyle w:val="Compact"/>
                  </w:pPr>
                </w:p>
              </w:tc>
            </w:tr>
            <w:tr w:rsidR="00A14839" w14:paraId="3FD628D2" w14:textId="77777777" w:rsidTr="00A14839">
              <w:tc>
                <w:tcPr>
                  <w:tcW w:w="4320" w:type="dxa"/>
                </w:tcPr>
                <w:p w14:paraId="5F35A717" w14:textId="10CBFAE0" w:rsidR="00FC22CD" w:rsidRDefault="00A14839" w:rsidP="00A14839">
                  <w:pPr>
                    <w:pStyle w:val="Compact"/>
                  </w:pPr>
                  <w:r>
                    <w:t xml:space="preserve">     American Indian/Alaska Native</w:t>
                  </w:r>
                </w:p>
              </w:tc>
              <w:tc>
                <w:tcPr>
                  <w:tcW w:w="630" w:type="dxa"/>
                </w:tcPr>
                <w:p w14:paraId="285801FC" w14:textId="77777777" w:rsidR="00FC22CD" w:rsidRDefault="00000000">
                  <w:pPr>
                    <w:pStyle w:val="Compact"/>
                    <w:jc w:val="center"/>
                  </w:pPr>
                  <w:r>
                    <w:t>3</w:t>
                  </w:r>
                </w:p>
              </w:tc>
              <w:tc>
                <w:tcPr>
                  <w:tcW w:w="810" w:type="dxa"/>
                </w:tcPr>
                <w:p w14:paraId="5350F836" w14:textId="77777777" w:rsidR="00FC22CD" w:rsidRDefault="00000000">
                  <w:pPr>
                    <w:pStyle w:val="Compact"/>
                    <w:jc w:val="center"/>
                  </w:pPr>
                  <w:r>
                    <w:t>2.0</w:t>
                  </w:r>
                </w:p>
              </w:tc>
              <w:tc>
                <w:tcPr>
                  <w:tcW w:w="1080" w:type="dxa"/>
                </w:tcPr>
                <w:p w14:paraId="644F1D63" w14:textId="77777777" w:rsidR="00FC22CD" w:rsidRDefault="00FC22CD">
                  <w:pPr>
                    <w:pStyle w:val="Compact"/>
                  </w:pPr>
                </w:p>
              </w:tc>
              <w:tc>
                <w:tcPr>
                  <w:tcW w:w="1170" w:type="dxa"/>
                </w:tcPr>
                <w:p w14:paraId="4A273CC6" w14:textId="77777777" w:rsidR="00FC22CD" w:rsidRDefault="00FC22CD">
                  <w:pPr>
                    <w:pStyle w:val="Compact"/>
                  </w:pPr>
                </w:p>
              </w:tc>
              <w:tc>
                <w:tcPr>
                  <w:tcW w:w="1595" w:type="dxa"/>
                  <w:gridSpan w:val="2"/>
                </w:tcPr>
                <w:p w14:paraId="5E5361A7" w14:textId="77777777" w:rsidR="00FC22CD" w:rsidRDefault="00FC22CD">
                  <w:pPr>
                    <w:pStyle w:val="Compact"/>
                  </w:pPr>
                </w:p>
              </w:tc>
            </w:tr>
            <w:tr w:rsidR="00A14839" w14:paraId="02DD9668" w14:textId="77777777" w:rsidTr="00A14839">
              <w:tc>
                <w:tcPr>
                  <w:tcW w:w="4320" w:type="dxa"/>
                </w:tcPr>
                <w:p w14:paraId="15E8E260" w14:textId="705ED1C3" w:rsidR="00FC22CD" w:rsidRDefault="00A14839" w:rsidP="00A14839">
                  <w:pPr>
                    <w:pStyle w:val="Compact"/>
                  </w:pPr>
                  <w:r>
                    <w:t xml:space="preserve">     Asian</w:t>
                  </w:r>
                </w:p>
              </w:tc>
              <w:tc>
                <w:tcPr>
                  <w:tcW w:w="630" w:type="dxa"/>
                </w:tcPr>
                <w:p w14:paraId="22412770" w14:textId="77777777" w:rsidR="00FC22CD" w:rsidRDefault="00000000">
                  <w:pPr>
                    <w:pStyle w:val="Compact"/>
                    <w:jc w:val="center"/>
                  </w:pPr>
                  <w:r>
                    <w:t>2</w:t>
                  </w:r>
                </w:p>
              </w:tc>
              <w:tc>
                <w:tcPr>
                  <w:tcW w:w="810" w:type="dxa"/>
                </w:tcPr>
                <w:p w14:paraId="3892ADC2" w14:textId="77777777" w:rsidR="00FC22CD" w:rsidRDefault="00000000">
                  <w:pPr>
                    <w:pStyle w:val="Compact"/>
                    <w:jc w:val="center"/>
                  </w:pPr>
                  <w:r>
                    <w:t>1.3</w:t>
                  </w:r>
                </w:p>
              </w:tc>
              <w:tc>
                <w:tcPr>
                  <w:tcW w:w="1080" w:type="dxa"/>
                </w:tcPr>
                <w:p w14:paraId="6E20BC8C" w14:textId="77777777" w:rsidR="00FC22CD" w:rsidRDefault="00FC22CD">
                  <w:pPr>
                    <w:pStyle w:val="Compact"/>
                  </w:pPr>
                </w:p>
              </w:tc>
              <w:tc>
                <w:tcPr>
                  <w:tcW w:w="1170" w:type="dxa"/>
                </w:tcPr>
                <w:p w14:paraId="78EE353A" w14:textId="77777777" w:rsidR="00FC22CD" w:rsidRDefault="00FC22CD">
                  <w:pPr>
                    <w:pStyle w:val="Compact"/>
                  </w:pPr>
                </w:p>
              </w:tc>
              <w:tc>
                <w:tcPr>
                  <w:tcW w:w="1595" w:type="dxa"/>
                  <w:gridSpan w:val="2"/>
                </w:tcPr>
                <w:p w14:paraId="657CE156" w14:textId="77777777" w:rsidR="00FC22CD" w:rsidRDefault="00FC22CD">
                  <w:pPr>
                    <w:pStyle w:val="Compact"/>
                  </w:pPr>
                </w:p>
              </w:tc>
            </w:tr>
            <w:tr w:rsidR="00A14839" w14:paraId="4F8ADE8C" w14:textId="77777777" w:rsidTr="00A14839">
              <w:tc>
                <w:tcPr>
                  <w:tcW w:w="4320" w:type="dxa"/>
                </w:tcPr>
                <w:p w14:paraId="09DFD86B" w14:textId="4A174395" w:rsidR="00FC22CD" w:rsidRDefault="00A14839" w:rsidP="00A14839">
                  <w:pPr>
                    <w:pStyle w:val="Compact"/>
                  </w:pPr>
                  <w:r>
                    <w:t xml:space="preserve">     Black/African American</w:t>
                  </w:r>
                </w:p>
              </w:tc>
              <w:tc>
                <w:tcPr>
                  <w:tcW w:w="630" w:type="dxa"/>
                </w:tcPr>
                <w:p w14:paraId="6B7E4308" w14:textId="77777777" w:rsidR="00FC22CD" w:rsidRDefault="00000000">
                  <w:pPr>
                    <w:pStyle w:val="Compact"/>
                    <w:jc w:val="center"/>
                  </w:pPr>
                  <w:r>
                    <w:t>8</w:t>
                  </w:r>
                </w:p>
              </w:tc>
              <w:tc>
                <w:tcPr>
                  <w:tcW w:w="810" w:type="dxa"/>
                </w:tcPr>
                <w:p w14:paraId="65DE89A6" w14:textId="77777777" w:rsidR="00FC22CD" w:rsidRDefault="00000000">
                  <w:pPr>
                    <w:pStyle w:val="Compact"/>
                    <w:jc w:val="center"/>
                  </w:pPr>
                  <w:r>
                    <w:t>5.3</w:t>
                  </w:r>
                </w:p>
              </w:tc>
              <w:tc>
                <w:tcPr>
                  <w:tcW w:w="1080" w:type="dxa"/>
                </w:tcPr>
                <w:p w14:paraId="25538AAF" w14:textId="77777777" w:rsidR="00FC22CD" w:rsidRDefault="00FC22CD">
                  <w:pPr>
                    <w:pStyle w:val="Compact"/>
                  </w:pPr>
                </w:p>
              </w:tc>
              <w:tc>
                <w:tcPr>
                  <w:tcW w:w="1170" w:type="dxa"/>
                </w:tcPr>
                <w:p w14:paraId="10FC2C33" w14:textId="77777777" w:rsidR="00FC22CD" w:rsidRDefault="00FC22CD">
                  <w:pPr>
                    <w:pStyle w:val="Compact"/>
                  </w:pPr>
                </w:p>
              </w:tc>
              <w:tc>
                <w:tcPr>
                  <w:tcW w:w="1595" w:type="dxa"/>
                  <w:gridSpan w:val="2"/>
                </w:tcPr>
                <w:p w14:paraId="35386516" w14:textId="77777777" w:rsidR="00FC22CD" w:rsidRDefault="00FC22CD">
                  <w:pPr>
                    <w:pStyle w:val="Compact"/>
                  </w:pPr>
                </w:p>
              </w:tc>
            </w:tr>
            <w:tr w:rsidR="00A14839" w14:paraId="736E1AF5" w14:textId="77777777" w:rsidTr="00A14839">
              <w:tc>
                <w:tcPr>
                  <w:tcW w:w="4320" w:type="dxa"/>
                </w:tcPr>
                <w:p w14:paraId="1D888DBC" w14:textId="3AB6819E" w:rsidR="00FC22CD" w:rsidRDefault="00A14839" w:rsidP="00A14839">
                  <w:pPr>
                    <w:pStyle w:val="Compact"/>
                  </w:pPr>
                  <w:r>
                    <w:t xml:space="preserve">     White/Caucasian</w:t>
                  </w:r>
                </w:p>
              </w:tc>
              <w:tc>
                <w:tcPr>
                  <w:tcW w:w="630" w:type="dxa"/>
                </w:tcPr>
                <w:p w14:paraId="1AB215DA" w14:textId="77777777" w:rsidR="00FC22CD" w:rsidRDefault="00000000">
                  <w:pPr>
                    <w:pStyle w:val="Compact"/>
                    <w:jc w:val="center"/>
                  </w:pPr>
                  <w:r>
                    <w:t>131</w:t>
                  </w:r>
                </w:p>
              </w:tc>
              <w:tc>
                <w:tcPr>
                  <w:tcW w:w="810" w:type="dxa"/>
                </w:tcPr>
                <w:p w14:paraId="3CFD1AA5" w14:textId="77777777" w:rsidR="00FC22CD" w:rsidRDefault="00000000">
                  <w:pPr>
                    <w:pStyle w:val="Compact"/>
                    <w:jc w:val="center"/>
                  </w:pPr>
                  <w:r>
                    <w:t>86.8</w:t>
                  </w:r>
                </w:p>
              </w:tc>
              <w:tc>
                <w:tcPr>
                  <w:tcW w:w="1080" w:type="dxa"/>
                </w:tcPr>
                <w:p w14:paraId="54F40C99" w14:textId="77777777" w:rsidR="00FC22CD" w:rsidRDefault="00FC22CD">
                  <w:pPr>
                    <w:pStyle w:val="Compact"/>
                  </w:pPr>
                </w:p>
              </w:tc>
              <w:tc>
                <w:tcPr>
                  <w:tcW w:w="1170" w:type="dxa"/>
                </w:tcPr>
                <w:p w14:paraId="31942F90" w14:textId="77777777" w:rsidR="00FC22CD" w:rsidRDefault="00FC22CD">
                  <w:pPr>
                    <w:pStyle w:val="Compact"/>
                  </w:pPr>
                </w:p>
              </w:tc>
              <w:tc>
                <w:tcPr>
                  <w:tcW w:w="1595" w:type="dxa"/>
                  <w:gridSpan w:val="2"/>
                </w:tcPr>
                <w:p w14:paraId="1CF162F5" w14:textId="77777777" w:rsidR="00FC22CD" w:rsidRDefault="00FC22CD">
                  <w:pPr>
                    <w:pStyle w:val="Compact"/>
                  </w:pPr>
                </w:p>
              </w:tc>
            </w:tr>
            <w:tr w:rsidR="00A14839" w14:paraId="3D03AB3D" w14:textId="77777777" w:rsidTr="00A14839">
              <w:tc>
                <w:tcPr>
                  <w:tcW w:w="4320" w:type="dxa"/>
                </w:tcPr>
                <w:p w14:paraId="620D0D8E" w14:textId="267A4D0C" w:rsidR="00FC22CD" w:rsidRDefault="00A14839" w:rsidP="00A14839">
                  <w:pPr>
                    <w:pStyle w:val="Compact"/>
                  </w:pPr>
                  <w:r>
                    <w:t xml:space="preserve">     Other/Multiracial</w:t>
                  </w:r>
                </w:p>
              </w:tc>
              <w:tc>
                <w:tcPr>
                  <w:tcW w:w="630" w:type="dxa"/>
                </w:tcPr>
                <w:p w14:paraId="29CDF7CC" w14:textId="77777777" w:rsidR="00FC22CD" w:rsidRDefault="00000000">
                  <w:pPr>
                    <w:pStyle w:val="Compact"/>
                    <w:jc w:val="center"/>
                  </w:pPr>
                  <w:r>
                    <w:t>7</w:t>
                  </w:r>
                </w:p>
              </w:tc>
              <w:tc>
                <w:tcPr>
                  <w:tcW w:w="810" w:type="dxa"/>
                </w:tcPr>
                <w:p w14:paraId="5DA82693" w14:textId="77777777" w:rsidR="00FC22CD" w:rsidRDefault="00000000">
                  <w:pPr>
                    <w:pStyle w:val="Compact"/>
                    <w:jc w:val="center"/>
                  </w:pPr>
                  <w:r>
                    <w:t>4.6</w:t>
                  </w:r>
                </w:p>
              </w:tc>
              <w:tc>
                <w:tcPr>
                  <w:tcW w:w="1080" w:type="dxa"/>
                </w:tcPr>
                <w:p w14:paraId="16DCAA99" w14:textId="77777777" w:rsidR="00FC22CD" w:rsidRDefault="00FC22CD">
                  <w:pPr>
                    <w:pStyle w:val="Compact"/>
                  </w:pPr>
                </w:p>
              </w:tc>
              <w:tc>
                <w:tcPr>
                  <w:tcW w:w="1170" w:type="dxa"/>
                </w:tcPr>
                <w:p w14:paraId="2A897737" w14:textId="77777777" w:rsidR="00FC22CD" w:rsidRDefault="00FC22CD">
                  <w:pPr>
                    <w:pStyle w:val="Compact"/>
                  </w:pPr>
                </w:p>
              </w:tc>
              <w:tc>
                <w:tcPr>
                  <w:tcW w:w="1595" w:type="dxa"/>
                  <w:gridSpan w:val="2"/>
                </w:tcPr>
                <w:p w14:paraId="76AF4554" w14:textId="77777777" w:rsidR="00FC22CD" w:rsidRDefault="00FC22CD">
                  <w:pPr>
                    <w:pStyle w:val="Compact"/>
                  </w:pPr>
                </w:p>
              </w:tc>
            </w:tr>
            <w:tr w:rsidR="00A14839" w14:paraId="0E08F733" w14:textId="77777777" w:rsidTr="00A14839">
              <w:tc>
                <w:tcPr>
                  <w:tcW w:w="4320" w:type="dxa"/>
                </w:tcPr>
                <w:p w14:paraId="50CD2996" w14:textId="7E0888B3" w:rsidR="00FC22CD" w:rsidRDefault="00000000" w:rsidP="00A14839">
                  <w:pPr>
                    <w:pStyle w:val="Compact"/>
                  </w:pPr>
                  <w:r>
                    <w:t>Hispanic, Latino, or Spanish origin</w:t>
                  </w:r>
                </w:p>
              </w:tc>
              <w:tc>
                <w:tcPr>
                  <w:tcW w:w="630" w:type="dxa"/>
                </w:tcPr>
                <w:p w14:paraId="69C144F1" w14:textId="77777777" w:rsidR="00FC22CD" w:rsidRDefault="00FC22CD">
                  <w:pPr>
                    <w:pStyle w:val="Compact"/>
                  </w:pPr>
                </w:p>
              </w:tc>
              <w:tc>
                <w:tcPr>
                  <w:tcW w:w="810" w:type="dxa"/>
                </w:tcPr>
                <w:p w14:paraId="367ECF82" w14:textId="77777777" w:rsidR="00FC22CD" w:rsidRDefault="00FC22CD">
                  <w:pPr>
                    <w:pStyle w:val="Compact"/>
                  </w:pPr>
                </w:p>
              </w:tc>
              <w:tc>
                <w:tcPr>
                  <w:tcW w:w="1080" w:type="dxa"/>
                </w:tcPr>
                <w:p w14:paraId="39EB6EAA" w14:textId="77777777" w:rsidR="00FC22CD" w:rsidRDefault="00FC22CD">
                  <w:pPr>
                    <w:pStyle w:val="Compact"/>
                  </w:pPr>
                </w:p>
              </w:tc>
              <w:tc>
                <w:tcPr>
                  <w:tcW w:w="1170" w:type="dxa"/>
                </w:tcPr>
                <w:p w14:paraId="180151B1" w14:textId="77777777" w:rsidR="00FC22CD" w:rsidRDefault="00FC22CD">
                  <w:pPr>
                    <w:pStyle w:val="Compact"/>
                  </w:pPr>
                </w:p>
              </w:tc>
              <w:tc>
                <w:tcPr>
                  <w:tcW w:w="1595" w:type="dxa"/>
                  <w:gridSpan w:val="2"/>
                </w:tcPr>
                <w:p w14:paraId="05A7B64A" w14:textId="77777777" w:rsidR="00FC22CD" w:rsidRDefault="00FC22CD">
                  <w:pPr>
                    <w:pStyle w:val="Compact"/>
                  </w:pPr>
                </w:p>
              </w:tc>
            </w:tr>
            <w:tr w:rsidR="00A14839" w14:paraId="52037299" w14:textId="77777777" w:rsidTr="00A14839">
              <w:tc>
                <w:tcPr>
                  <w:tcW w:w="4320" w:type="dxa"/>
                </w:tcPr>
                <w:p w14:paraId="72BBAD8B" w14:textId="035676B3" w:rsidR="00FC22CD" w:rsidRDefault="00A14839" w:rsidP="00A14839">
                  <w:pPr>
                    <w:pStyle w:val="Compact"/>
                  </w:pPr>
                  <w:r>
                    <w:t xml:space="preserve">      Yes</w:t>
                  </w:r>
                </w:p>
              </w:tc>
              <w:tc>
                <w:tcPr>
                  <w:tcW w:w="630" w:type="dxa"/>
                </w:tcPr>
                <w:p w14:paraId="24FD98DF" w14:textId="77777777" w:rsidR="00FC22CD" w:rsidRDefault="00000000">
                  <w:pPr>
                    <w:pStyle w:val="Compact"/>
                    <w:jc w:val="center"/>
                  </w:pPr>
                  <w:r>
                    <w:t>4</w:t>
                  </w:r>
                </w:p>
              </w:tc>
              <w:tc>
                <w:tcPr>
                  <w:tcW w:w="810" w:type="dxa"/>
                </w:tcPr>
                <w:p w14:paraId="2FDE61BA" w14:textId="77777777" w:rsidR="00FC22CD" w:rsidRDefault="00000000">
                  <w:pPr>
                    <w:pStyle w:val="Compact"/>
                    <w:jc w:val="center"/>
                  </w:pPr>
                  <w:r>
                    <w:t>2.6</w:t>
                  </w:r>
                </w:p>
              </w:tc>
              <w:tc>
                <w:tcPr>
                  <w:tcW w:w="1080" w:type="dxa"/>
                </w:tcPr>
                <w:p w14:paraId="0157F7B0" w14:textId="77777777" w:rsidR="00FC22CD" w:rsidRDefault="00FC22CD">
                  <w:pPr>
                    <w:pStyle w:val="Compact"/>
                  </w:pPr>
                </w:p>
              </w:tc>
              <w:tc>
                <w:tcPr>
                  <w:tcW w:w="1170" w:type="dxa"/>
                </w:tcPr>
                <w:p w14:paraId="26C5C99F" w14:textId="77777777" w:rsidR="00FC22CD" w:rsidRDefault="00FC22CD">
                  <w:pPr>
                    <w:pStyle w:val="Compact"/>
                  </w:pPr>
                </w:p>
              </w:tc>
              <w:tc>
                <w:tcPr>
                  <w:tcW w:w="1595" w:type="dxa"/>
                  <w:gridSpan w:val="2"/>
                </w:tcPr>
                <w:p w14:paraId="0CD49276" w14:textId="77777777" w:rsidR="00FC22CD" w:rsidRDefault="00FC22CD">
                  <w:pPr>
                    <w:pStyle w:val="Compact"/>
                  </w:pPr>
                </w:p>
              </w:tc>
            </w:tr>
            <w:tr w:rsidR="00A14839" w14:paraId="7E10FE3F" w14:textId="77777777" w:rsidTr="00A14839">
              <w:tc>
                <w:tcPr>
                  <w:tcW w:w="4320" w:type="dxa"/>
                </w:tcPr>
                <w:p w14:paraId="695042D7" w14:textId="0246D596" w:rsidR="00FC22CD" w:rsidRDefault="00A14839" w:rsidP="00A14839">
                  <w:pPr>
                    <w:pStyle w:val="Compact"/>
                  </w:pPr>
                  <w:r>
                    <w:t xml:space="preserve">     No</w:t>
                  </w:r>
                </w:p>
              </w:tc>
              <w:tc>
                <w:tcPr>
                  <w:tcW w:w="630" w:type="dxa"/>
                </w:tcPr>
                <w:p w14:paraId="47211FCD" w14:textId="77777777" w:rsidR="00FC22CD" w:rsidRDefault="00000000">
                  <w:pPr>
                    <w:pStyle w:val="Compact"/>
                    <w:jc w:val="center"/>
                  </w:pPr>
                  <w:r>
                    <w:t>147</w:t>
                  </w:r>
                </w:p>
              </w:tc>
              <w:tc>
                <w:tcPr>
                  <w:tcW w:w="810" w:type="dxa"/>
                </w:tcPr>
                <w:p w14:paraId="5CCDD250" w14:textId="77777777" w:rsidR="00FC22CD" w:rsidRDefault="00000000">
                  <w:pPr>
                    <w:pStyle w:val="Compact"/>
                    <w:jc w:val="center"/>
                  </w:pPr>
                  <w:r>
                    <w:t>97.4</w:t>
                  </w:r>
                </w:p>
              </w:tc>
              <w:tc>
                <w:tcPr>
                  <w:tcW w:w="1080" w:type="dxa"/>
                </w:tcPr>
                <w:p w14:paraId="5F0A34E8" w14:textId="77777777" w:rsidR="00FC22CD" w:rsidRDefault="00FC22CD">
                  <w:pPr>
                    <w:pStyle w:val="Compact"/>
                  </w:pPr>
                </w:p>
              </w:tc>
              <w:tc>
                <w:tcPr>
                  <w:tcW w:w="1170" w:type="dxa"/>
                </w:tcPr>
                <w:p w14:paraId="259C8D10" w14:textId="77777777" w:rsidR="00FC22CD" w:rsidRDefault="00FC22CD">
                  <w:pPr>
                    <w:pStyle w:val="Compact"/>
                  </w:pPr>
                </w:p>
              </w:tc>
              <w:tc>
                <w:tcPr>
                  <w:tcW w:w="1595" w:type="dxa"/>
                  <w:gridSpan w:val="2"/>
                </w:tcPr>
                <w:p w14:paraId="01DC5E0E" w14:textId="77777777" w:rsidR="00FC22CD" w:rsidRDefault="00FC22CD">
                  <w:pPr>
                    <w:pStyle w:val="Compact"/>
                  </w:pPr>
                </w:p>
              </w:tc>
            </w:tr>
            <w:tr w:rsidR="00A14839" w14:paraId="236539ED" w14:textId="77777777" w:rsidTr="00A14839">
              <w:tc>
                <w:tcPr>
                  <w:tcW w:w="4320" w:type="dxa"/>
                </w:tcPr>
                <w:p w14:paraId="6CF6BBCF" w14:textId="77777777" w:rsidR="00FC22CD" w:rsidRDefault="00000000" w:rsidP="00A14839">
                  <w:pPr>
                    <w:pStyle w:val="Compact"/>
                  </w:pPr>
                  <w:r>
                    <w:t>Education</w:t>
                  </w:r>
                </w:p>
              </w:tc>
              <w:tc>
                <w:tcPr>
                  <w:tcW w:w="630" w:type="dxa"/>
                </w:tcPr>
                <w:p w14:paraId="508FEDF5" w14:textId="77777777" w:rsidR="00FC22CD" w:rsidRDefault="00FC22CD">
                  <w:pPr>
                    <w:pStyle w:val="Compact"/>
                  </w:pPr>
                </w:p>
              </w:tc>
              <w:tc>
                <w:tcPr>
                  <w:tcW w:w="810" w:type="dxa"/>
                </w:tcPr>
                <w:p w14:paraId="3CA8B04A" w14:textId="77777777" w:rsidR="00FC22CD" w:rsidRDefault="00FC22CD">
                  <w:pPr>
                    <w:pStyle w:val="Compact"/>
                  </w:pPr>
                </w:p>
              </w:tc>
              <w:tc>
                <w:tcPr>
                  <w:tcW w:w="1080" w:type="dxa"/>
                </w:tcPr>
                <w:p w14:paraId="2E7FCA05" w14:textId="77777777" w:rsidR="00FC22CD" w:rsidRDefault="00FC22CD">
                  <w:pPr>
                    <w:pStyle w:val="Compact"/>
                  </w:pPr>
                </w:p>
              </w:tc>
              <w:tc>
                <w:tcPr>
                  <w:tcW w:w="1170" w:type="dxa"/>
                </w:tcPr>
                <w:p w14:paraId="7775F210" w14:textId="77777777" w:rsidR="00FC22CD" w:rsidRDefault="00FC22CD">
                  <w:pPr>
                    <w:pStyle w:val="Compact"/>
                  </w:pPr>
                </w:p>
              </w:tc>
              <w:tc>
                <w:tcPr>
                  <w:tcW w:w="1595" w:type="dxa"/>
                  <w:gridSpan w:val="2"/>
                </w:tcPr>
                <w:p w14:paraId="02D43E43" w14:textId="77777777" w:rsidR="00FC22CD" w:rsidRDefault="00FC22CD">
                  <w:pPr>
                    <w:pStyle w:val="Compact"/>
                  </w:pPr>
                </w:p>
              </w:tc>
            </w:tr>
            <w:tr w:rsidR="00A14839" w14:paraId="6D067A5D" w14:textId="77777777" w:rsidTr="00A14839">
              <w:tc>
                <w:tcPr>
                  <w:tcW w:w="4320" w:type="dxa"/>
                </w:tcPr>
                <w:p w14:paraId="257EF437" w14:textId="7C9F6BD3" w:rsidR="00FC22CD" w:rsidRDefault="007C3CDE" w:rsidP="00A14839">
                  <w:pPr>
                    <w:pStyle w:val="Compact"/>
                  </w:pPr>
                  <w:r>
                    <w:t xml:space="preserve">     Less than high school or GED degree</w:t>
                  </w:r>
                </w:p>
              </w:tc>
              <w:tc>
                <w:tcPr>
                  <w:tcW w:w="630" w:type="dxa"/>
                </w:tcPr>
                <w:p w14:paraId="126BB30E" w14:textId="77777777" w:rsidR="00FC22CD" w:rsidRDefault="00000000">
                  <w:pPr>
                    <w:pStyle w:val="Compact"/>
                    <w:jc w:val="center"/>
                  </w:pPr>
                  <w:r>
                    <w:t>1</w:t>
                  </w:r>
                </w:p>
              </w:tc>
              <w:tc>
                <w:tcPr>
                  <w:tcW w:w="810" w:type="dxa"/>
                </w:tcPr>
                <w:p w14:paraId="48C0E818" w14:textId="77777777" w:rsidR="00FC22CD" w:rsidRDefault="00000000">
                  <w:pPr>
                    <w:pStyle w:val="Compact"/>
                    <w:jc w:val="center"/>
                  </w:pPr>
                  <w:r>
                    <w:t>0.7</w:t>
                  </w:r>
                </w:p>
              </w:tc>
              <w:tc>
                <w:tcPr>
                  <w:tcW w:w="1080" w:type="dxa"/>
                </w:tcPr>
                <w:p w14:paraId="2B94A98D" w14:textId="77777777" w:rsidR="00FC22CD" w:rsidRDefault="00FC22CD">
                  <w:pPr>
                    <w:pStyle w:val="Compact"/>
                  </w:pPr>
                </w:p>
              </w:tc>
              <w:tc>
                <w:tcPr>
                  <w:tcW w:w="1170" w:type="dxa"/>
                </w:tcPr>
                <w:p w14:paraId="01394EFB" w14:textId="77777777" w:rsidR="00FC22CD" w:rsidRDefault="00FC22CD">
                  <w:pPr>
                    <w:pStyle w:val="Compact"/>
                  </w:pPr>
                </w:p>
              </w:tc>
              <w:tc>
                <w:tcPr>
                  <w:tcW w:w="1595" w:type="dxa"/>
                  <w:gridSpan w:val="2"/>
                </w:tcPr>
                <w:p w14:paraId="0E97B4F9" w14:textId="77777777" w:rsidR="00FC22CD" w:rsidRDefault="00FC22CD">
                  <w:pPr>
                    <w:pStyle w:val="Compact"/>
                  </w:pPr>
                </w:p>
              </w:tc>
            </w:tr>
            <w:tr w:rsidR="00A14839" w14:paraId="163DF943" w14:textId="77777777" w:rsidTr="00A14839">
              <w:tc>
                <w:tcPr>
                  <w:tcW w:w="4320" w:type="dxa"/>
                </w:tcPr>
                <w:p w14:paraId="2C91392F" w14:textId="693E993A" w:rsidR="00FC22CD" w:rsidRDefault="007C3CDE" w:rsidP="00A14839">
                  <w:pPr>
                    <w:pStyle w:val="Compact"/>
                  </w:pPr>
                  <w:r>
                    <w:t xml:space="preserve">     High school or GED</w:t>
                  </w:r>
                </w:p>
              </w:tc>
              <w:tc>
                <w:tcPr>
                  <w:tcW w:w="630" w:type="dxa"/>
                </w:tcPr>
                <w:p w14:paraId="5A4B97D0" w14:textId="77777777" w:rsidR="00FC22CD" w:rsidRDefault="00000000">
                  <w:pPr>
                    <w:pStyle w:val="Compact"/>
                    <w:jc w:val="center"/>
                  </w:pPr>
                  <w:r>
                    <w:t>14</w:t>
                  </w:r>
                </w:p>
              </w:tc>
              <w:tc>
                <w:tcPr>
                  <w:tcW w:w="810" w:type="dxa"/>
                </w:tcPr>
                <w:p w14:paraId="210BFB4E" w14:textId="77777777" w:rsidR="00FC22CD" w:rsidRDefault="00000000">
                  <w:pPr>
                    <w:pStyle w:val="Compact"/>
                    <w:jc w:val="center"/>
                  </w:pPr>
                  <w:r>
                    <w:t>9.3</w:t>
                  </w:r>
                </w:p>
              </w:tc>
              <w:tc>
                <w:tcPr>
                  <w:tcW w:w="1080" w:type="dxa"/>
                </w:tcPr>
                <w:p w14:paraId="63B492A9" w14:textId="77777777" w:rsidR="00FC22CD" w:rsidRDefault="00FC22CD">
                  <w:pPr>
                    <w:pStyle w:val="Compact"/>
                  </w:pPr>
                </w:p>
              </w:tc>
              <w:tc>
                <w:tcPr>
                  <w:tcW w:w="1170" w:type="dxa"/>
                </w:tcPr>
                <w:p w14:paraId="216B477F" w14:textId="77777777" w:rsidR="00FC22CD" w:rsidRDefault="00FC22CD">
                  <w:pPr>
                    <w:pStyle w:val="Compact"/>
                  </w:pPr>
                </w:p>
              </w:tc>
              <w:tc>
                <w:tcPr>
                  <w:tcW w:w="1595" w:type="dxa"/>
                  <w:gridSpan w:val="2"/>
                </w:tcPr>
                <w:p w14:paraId="2BA28E68" w14:textId="77777777" w:rsidR="00FC22CD" w:rsidRDefault="00FC22CD">
                  <w:pPr>
                    <w:pStyle w:val="Compact"/>
                  </w:pPr>
                </w:p>
              </w:tc>
            </w:tr>
            <w:tr w:rsidR="00A14839" w14:paraId="36284023" w14:textId="77777777" w:rsidTr="00A14839">
              <w:tc>
                <w:tcPr>
                  <w:tcW w:w="4320" w:type="dxa"/>
                </w:tcPr>
                <w:p w14:paraId="62902BC5" w14:textId="6871F404" w:rsidR="00FC22CD" w:rsidRDefault="007C3CDE" w:rsidP="00A14839">
                  <w:pPr>
                    <w:pStyle w:val="Compact"/>
                  </w:pPr>
                  <w:r>
                    <w:t xml:space="preserve">     Some college</w:t>
                  </w:r>
                </w:p>
              </w:tc>
              <w:tc>
                <w:tcPr>
                  <w:tcW w:w="630" w:type="dxa"/>
                </w:tcPr>
                <w:p w14:paraId="4FEC19C1" w14:textId="77777777" w:rsidR="00FC22CD" w:rsidRDefault="00000000">
                  <w:pPr>
                    <w:pStyle w:val="Compact"/>
                    <w:jc w:val="center"/>
                  </w:pPr>
                  <w:r>
                    <w:t>41</w:t>
                  </w:r>
                </w:p>
              </w:tc>
              <w:tc>
                <w:tcPr>
                  <w:tcW w:w="810" w:type="dxa"/>
                </w:tcPr>
                <w:p w14:paraId="2FA4DE40" w14:textId="77777777" w:rsidR="00FC22CD" w:rsidRDefault="00000000">
                  <w:pPr>
                    <w:pStyle w:val="Compact"/>
                    <w:jc w:val="center"/>
                  </w:pPr>
                  <w:r>
                    <w:t>27.2</w:t>
                  </w:r>
                </w:p>
              </w:tc>
              <w:tc>
                <w:tcPr>
                  <w:tcW w:w="1080" w:type="dxa"/>
                </w:tcPr>
                <w:p w14:paraId="62EF0E9F" w14:textId="77777777" w:rsidR="00FC22CD" w:rsidRDefault="00FC22CD">
                  <w:pPr>
                    <w:pStyle w:val="Compact"/>
                  </w:pPr>
                </w:p>
              </w:tc>
              <w:tc>
                <w:tcPr>
                  <w:tcW w:w="1170" w:type="dxa"/>
                </w:tcPr>
                <w:p w14:paraId="0810CDA5" w14:textId="77777777" w:rsidR="00FC22CD" w:rsidRDefault="00FC22CD">
                  <w:pPr>
                    <w:pStyle w:val="Compact"/>
                  </w:pPr>
                </w:p>
              </w:tc>
              <w:tc>
                <w:tcPr>
                  <w:tcW w:w="1595" w:type="dxa"/>
                  <w:gridSpan w:val="2"/>
                </w:tcPr>
                <w:p w14:paraId="07ADEB4B" w14:textId="77777777" w:rsidR="00FC22CD" w:rsidRDefault="00FC22CD">
                  <w:pPr>
                    <w:pStyle w:val="Compact"/>
                  </w:pPr>
                </w:p>
              </w:tc>
            </w:tr>
            <w:tr w:rsidR="00A14839" w14:paraId="3C9C4EA7" w14:textId="77777777" w:rsidTr="00A14839">
              <w:tc>
                <w:tcPr>
                  <w:tcW w:w="4320" w:type="dxa"/>
                </w:tcPr>
                <w:p w14:paraId="413158C7" w14:textId="7F8DB577" w:rsidR="00FC22CD" w:rsidRDefault="007C3CDE" w:rsidP="00A14839">
                  <w:pPr>
                    <w:pStyle w:val="Compact"/>
                  </w:pPr>
                  <w:r>
                    <w:t xml:space="preserve">     2-Year degree</w:t>
                  </w:r>
                </w:p>
              </w:tc>
              <w:tc>
                <w:tcPr>
                  <w:tcW w:w="630" w:type="dxa"/>
                </w:tcPr>
                <w:p w14:paraId="1D27B0DF" w14:textId="77777777" w:rsidR="00FC22CD" w:rsidRDefault="00000000">
                  <w:pPr>
                    <w:pStyle w:val="Compact"/>
                    <w:jc w:val="center"/>
                  </w:pPr>
                  <w:r>
                    <w:t>14</w:t>
                  </w:r>
                </w:p>
              </w:tc>
              <w:tc>
                <w:tcPr>
                  <w:tcW w:w="810" w:type="dxa"/>
                </w:tcPr>
                <w:p w14:paraId="16B9280A" w14:textId="77777777" w:rsidR="00FC22CD" w:rsidRDefault="00000000">
                  <w:pPr>
                    <w:pStyle w:val="Compact"/>
                    <w:jc w:val="center"/>
                  </w:pPr>
                  <w:r>
                    <w:t>9.3</w:t>
                  </w:r>
                </w:p>
              </w:tc>
              <w:tc>
                <w:tcPr>
                  <w:tcW w:w="1080" w:type="dxa"/>
                </w:tcPr>
                <w:p w14:paraId="5841D6FB" w14:textId="77777777" w:rsidR="00FC22CD" w:rsidRDefault="00FC22CD">
                  <w:pPr>
                    <w:pStyle w:val="Compact"/>
                  </w:pPr>
                </w:p>
              </w:tc>
              <w:tc>
                <w:tcPr>
                  <w:tcW w:w="1170" w:type="dxa"/>
                </w:tcPr>
                <w:p w14:paraId="70E142BB" w14:textId="77777777" w:rsidR="00FC22CD" w:rsidRDefault="00FC22CD">
                  <w:pPr>
                    <w:pStyle w:val="Compact"/>
                  </w:pPr>
                </w:p>
              </w:tc>
              <w:tc>
                <w:tcPr>
                  <w:tcW w:w="1595" w:type="dxa"/>
                  <w:gridSpan w:val="2"/>
                </w:tcPr>
                <w:p w14:paraId="0CCA0130" w14:textId="77777777" w:rsidR="00FC22CD" w:rsidRDefault="00FC22CD">
                  <w:pPr>
                    <w:pStyle w:val="Compact"/>
                  </w:pPr>
                </w:p>
              </w:tc>
            </w:tr>
            <w:tr w:rsidR="00A14839" w14:paraId="5281A087" w14:textId="77777777" w:rsidTr="00A14839">
              <w:tc>
                <w:tcPr>
                  <w:tcW w:w="4320" w:type="dxa"/>
                </w:tcPr>
                <w:p w14:paraId="538229B2" w14:textId="0D2FF8A4" w:rsidR="00FC22CD" w:rsidRDefault="007C3CDE" w:rsidP="00A14839">
                  <w:pPr>
                    <w:pStyle w:val="Compact"/>
                  </w:pPr>
                  <w:r>
                    <w:t xml:space="preserve">     College degree</w:t>
                  </w:r>
                </w:p>
              </w:tc>
              <w:tc>
                <w:tcPr>
                  <w:tcW w:w="630" w:type="dxa"/>
                </w:tcPr>
                <w:p w14:paraId="43866103" w14:textId="77777777" w:rsidR="00FC22CD" w:rsidRDefault="00000000">
                  <w:pPr>
                    <w:pStyle w:val="Compact"/>
                    <w:jc w:val="center"/>
                  </w:pPr>
                  <w:r>
                    <w:t>58</w:t>
                  </w:r>
                </w:p>
              </w:tc>
              <w:tc>
                <w:tcPr>
                  <w:tcW w:w="810" w:type="dxa"/>
                </w:tcPr>
                <w:p w14:paraId="154497A5" w14:textId="77777777" w:rsidR="00FC22CD" w:rsidRDefault="00000000">
                  <w:pPr>
                    <w:pStyle w:val="Compact"/>
                    <w:jc w:val="center"/>
                  </w:pPr>
                  <w:r>
                    <w:t>38.4</w:t>
                  </w:r>
                </w:p>
              </w:tc>
              <w:tc>
                <w:tcPr>
                  <w:tcW w:w="1080" w:type="dxa"/>
                </w:tcPr>
                <w:p w14:paraId="037A4978" w14:textId="77777777" w:rsidR="00FC22CD" w:rsidRDefault="00FC22CD">
                  <w:pPr>
                    <w:pStyle w:val="Compact"/>
                  </w:pPr>
                </w:p>
              </w:tc>
              <w:tc>
                <w:tcPr>
                  <w:tcW w:w="1170" w:type="dxa"/>
                </w:tcPr>
                <w:p w14:paraId="056140BC" w14:textId="77777777" w:rsidR="00FC22CD" w:rsidRDefault="00FC22CD">
                  <w:pPr>
                    <w:pStyle w:val="Compact"/>
                  </w:pPr>
                </w:p>
              </w:tc>
              <w:tc>
                <w:tcPr>
                  <w:tcW w:w="1595" w:type="dxa"/>
                  <w:gridSpan w:val="2"/>
                </w:tcPr>
                <w:p w14:paraId="7EFD325A" w14:textId="77777777" w:rsidR="00FC22CD" w:rsidRDefault="00FC22CD">
                  <w:pPr>
                    <w:pStyle w:val="Compact"/>
                  </w:pPr>
                </w:p>
              </w:tc>
            </w:tr>
            <w:tr w:rsidR="00A14839" w14:paraId="7408EE1E" w14:textId="77777777" w:rsidTr="00A14839">
              <w:tc>
                <w:tcPr>
                  <w:tcW w:w="4320" w:type="dxa"/>
                </w:tcPr>
                <w:p w14:paraId="51F8425E" w14:textId="44A8969A" w:rsidR="00FC22CD" w:rsidRDefault="007C3CDE" w:rsidP="00A14839">
                  <w:pPr>
                    <w:pStyle w:val="Compact"/>
                  </w:pPr>
                  <w:r>
                    <w:t xml:space="preserve">     Advanced degree</w:t>
                  </w:r>
                </w:p>
              </w:tc>
              <w:tc>
                <w:tcPr>
                  <w:tcW w:w="630" w:type="dxa"/>
                </w:tcPr>
                <w:p w14:paraId="3C16FC7F" w14:textId="77777777" w:rsidR="00FC22CD" w:rsidRDefault="00000000">
                  <w:pPr>
                    <w:pStyle w:val="Compact"/>
                    <w:jc w:val="center"/>
                  </w:pPr>
                  <w:r>
                    <w:t>23</w:t>
                  </w:r>
                </w:p>
              </w:tc>
              <w:tc>
                <w:tcPr>
                  <w:tcW w:w="810" w:type="dxa"/>
                </w:tcPr>
                <w:p w14:paraId="58E160A3" w14:textId="77777777" w:rsidR="00FC22CD" w:rsidRDefault="00000000">
                  <w:pPr>
                    <w:pStyle w:val="Compact"/>
                    <w:jc w:val="center"/>
                  </w:pPr>
                  <w:r>
                    <w:t>15.2</w:t>
                  </w:r>
                </w:p>
              </w:tc>
              <w:tc>
                <w:tcPr>
                  <w:tcW w:w="1080" w:type="dxa"/>
                </w:tcPr>
                <w:p w14:paraId="59453883" w14:textId="77777777" w:rsidR="00FC22CD" w:rsidRDefault="00FC22CD">
                  <w:pPr>
                    <w:pStyle w:val="Compact"/>
                  </w:pPr>
                </w:p>
              </w:tc>
              <w:tc>
                <w:tcPr>
                  <w:tcW w:w="1170" w:type="dxa"/>
                </w:tcPr>
                <w:p w14:paraId="4F95D7A0" w14:textId="77777777" w:rsidR="00FC22CD" w:rsidRDefault="00FC22CD">
                  <w:pPr>
                    <w:pStyle w:val="Compact"/>
                  </w:pPr>
                </w:p>
              </w:tc>
              <w:tc>
                <w:tcPr>
                  <w:tcW w:w="1595" w:type="dxa"/>
                  <w:gridSpan w:val="2"/>
                </w:tcPr>
                <w:p w14:paraId="427DED64" w14:textId="77777777" w:rsidR="00FC22CD" w:rsidRDefault="00FC22CD">
                  <w:pPr>
                    <w:pStyle w:val="Compact"/>
                  </w:pPr>
                </w:p>
              </w:tc>
            </w:tr>
            <w:tr w:rsidR="00A14839" w14:paraId="7E1E9C02" w14:textId="77777777" w:rsidTr="00A14839">
              <w:tc>
                <w:tcPr>
                  <w:tcW w:w="4320" w:type="dxa"/>
                </w:tcPr>
                <w:p w14:paraId="15A3D81B" w14:textId="77777777" w:rsidR="00FC22CD" w:rsidRDefault="00000000" w:rsidP="00A14839">
                  <w:pPr>
                    <w:pStyle w:val="Compact"/>
                  </w:pPr>
                  <w:r>
                    <w:t>Employment</w:t>
                  </w:r>
                </w:p>
              </w:tc>
              <w:tc>
                <w:tcPr>
                  <w:tcW w:w="630" w:type="dxa"/>
                </w:tcPr>
                <w:p w14:paraId="49A64A2A" w14:textId="77777777" w:rsidR="00FC22CD" w:rsidRDefault="00FC22CD">
                  <w:pPr>
                    <w:pStyle w:val="Compact"/>
                  </w:pPr>
                </w:p>
              </w:tc>
              <w:tc>
                <w:tcPr>
                  <w:tcW w:w="810" w:type="dxa"/>
                </w:tcPr>
                <w:p w14:paraId="0B781C9B" w14:textId="77777777" w:rsidR="00FC22CD" w:rsidRDefault="00FC22CD">
                  <w:pPr>
                    <w:pStyle w:val="Compact"/>
                  </w:pPr>
                </w:p>
              </w:tc>
              <w:tc>
                <w:tcPr>
                  <w:tcW w:w="1080" w:type="dxa"/>
                </w:tcPr>
                <w:p w14:paraId="19EE16A4" w14:textId="77777777" w:rsidR="00FC22CD" w:rsidRDefault="00FC22CD">
                  <w:pPr>
                    <w:pStyle w:val="Compact"/>
                  </w:pPr>
                </w:p>
              </w:tc>
              <w:tc>
                <w:tcPr>
                  <w:tcW w:w="1170" w:type="dxa"/>
                </w:tcPr>
                <w:p w14:paraId="5DE74B1F" w14:textId="77777777" w:rsidR="00FC22CD" w:rsidRDefault="00FC22CD">
                  <w:pPr>
                    <w:pStyle w:val="Compact"/>
                  </w:pPr>
                </w:p>
              </w:tc>
              <w:tc>
                <w:tcPr>
                  <w:tcW w:w="1595" w:type="dxa"/>
                  <w:gridSpan w:val="2"/>
                </w:tcPr>
                <w:p w14:paraId="0D39D149" w14:textId="77777777" w:rsidR="00FC22CD" w:rsidRDefault="00FC22CD">
                  <w:pPr>
                    <w:pStyle w:val="Compact"/>
                  </w:pPr>
                </w:p>
              </w:tc>
            </w:tr>
            <w:tr w:rsidR="00A14839" w14:paraId="07B26027" w14:textId="77777777" w:rsidTr="00A14839">
              <w:tc>
                <w:tcPr>
                  <w:tcW w:w="4320" w:type="dxa"/>
                </w:tcPr>
                <w:p w14:paraId="090F3656" w14:textId="1691E384" w:rsidR="00FC22CD" w:rsidRDefault="007C3CDE" w:rsidP="00A14839">
                  <w:pPr>
                    <w:pStyle w:val="Compact"/>
                  </w:pPr>
                  <w:r>
                    <w:lastRenderedPageBreak/>
                    <w:t xml:space="preserve">     Employed full-time</w:t>
                  </w:r>
                </w:p>
              </w:tc>
              <w:tc>
                <w:tcPr>
                  <w:tcW w:w="630" w:type="dxa"/>
                </w:tcPr>
                <w:p w14:paraId="27A43CE3" w14:textId="77777777" w:rsidR="00FC22CD" w:rsidRDefault="00000000">
                  <w:pPr>
                    <w:pStyle w:val="Compact"/>
                    <w:jc w:val="center"/>
                  </w:pPr>
                  <w:r>
                    <w:t>72</w:t>
                  </w:r>
                </w:p>
              </w:tc>
              <w:tc>
                <w:tcPr>
                  <w:tcW w:w="810" w:type="dxa"/>
                </w:tcPr>
                <w:p w14:paraId="62C09A6B" w14:textId="77777777" w:rsidR="00FC22CD" w:rsidRDefault="00000000">
                  <w:pPr>
                    <w:pStyle w:val="Compact"/>
                    <w:jc w:val="center"/>
                  </w:pPr>
                  <w:r>
                    <w:t>47.7</w:t>
                  </w:r>
                </w:p>
              </w:tc>
              <w:tc>
                <w:tcPr>
                  <w:tcW w:w="1080" w:type="dxa"/>
                </w:tcPr>
                <w:p w14:paraId="11F0DF6E" w14:textId="77777777" w:rsidR="00FC22CD" w:rsidRDefault="00FC22CD">
                  <w:pPr>
                    <w:pStyle w:val="Compact"/>
                  </w:pPr>
                </w:p>
              </w:tc>
              <w:tc>
                <w:tcPr>
                  <w:tcW w:w="1170" w:type="dxa"/>
                </w:tcPr>
                <w:p w14:paraId="60B8294B" w14:textId="77777777" w:rsidR="00FC22CD" w:rsidRDefault="00FC22CD">
                  <w:pPr>
                    <w:pStyle w:val="Compact"/>
                  </w:pPr>
                </w:p>
              </w:tc>
              <w:tc>
                <w:tcPr>
                  <w:tcW w:w="1595" w:type="dxa"/>
                  <w:gridSpan w:val="2"/>
                </w:tcPr>
                <w:p w14:paraId="14151424" w14:textId="77777777" w:rsidR="00FC22CD" w:rsidRDefault="00FC22CD">
                  <w:pPr>
                    <w:pStyle w:val="Compact"/>
                  </w:pPr>
                </w:p>
              </w:tc>
            </w:tr>
            <w:tr w:rsidR="00A14839" w14:paraId="1E12035E" w14:textId="77777777" w:rsidTr="00A14839">
              <w:tc>
                <w:tcPr>
                  <w:tcW w:w="4320" w:type="dxa"/>
                </w:tcPr>
                <w:p w14:paraId="611F7F0C" w14:textId="3620F699" w:rsidR="00FC22CD" w:rsidRDefault="007C3CDE" w:rsidP="00A14839">
                  <w:pPr>
                    <w:pStyle w:val="Compact"/>
                  </w:pPr>
                  <w:r>
                    <w:t xml:space="preserve">     Employed part-time</w:t>
                  </w:r>
                </w:p>
              </w:tc>
              <w:tc>
                <w:tcPr>
                  <w:tcW w:w="630" w:type="dxa"/>
                </w:tcPr>
                <w:p w14:paraId="1059E91F" w14:textId="77777777" w:rsidR="00FC22CD" w:rsidRDefault="00000000">
                  <w:pPr>
                    <w:pStyle w:val="Compact"/>
                    <w:jc w:val="center"/>
                  </w:pPr>
                  <w:r>
                    <w:t>26</w:t>
                  </w:r>
                </w:p>
              </w:tc>
              <w:tc>
                <w:tcPr>
                  <w:tcW w:w="810" w:type="dxa"/>
                </w:tcPr>
                <w:p w14:paraId="6451041B" w14:textId="77777777" w:rsidR="00FC22CD" w:rsidRDefault="00000000">
                  <w:pPr>
                    <w:pStyle w:val="Compact"/>
                    <w:jc w:val="center"/>
                  </w:pPr>
                  <w:r>
                    <w:t>17.2</w:t>
                  </w:r>
                </w:p>
              </w:tc>
              <w:tc>
                <w:tcPr>
                  <w:tcW w:w="1080" w:type="dxa"/>
                </w:tcPr>
                <w:p w14:paraId="13176258" w14:textId="77777777" w:rsidR="00FC22CD" w:rsidRDefault="00FC22CD">
                  <w:pPr>
                    <w:pStyle w:val="Compact"/>
                  </w:pPr>
                </w:p>
              </w:tc>
              <w:tc>
                <w:tcPr>
                  <w:tcW w:w="1170" w:type="dxa"/>
                </w:tcPr>
                <w:p w14:paraId="032477FB" w14:textId="77777777" w:rsidR="00FC22CD" w:rsidRDefault="00FC22CD">
                  <w:pPr>
                    <w:pStyle w:val="Compact"/>
                  </w:pPr>
                </w:p>
              </w:tc>
              <w:tc>
                <w:tcPr>
                  <w:tcW w:w="1595" w:type="dxa"/>
                  <w:gridSpan w:val="2"/>
                </w:tcPr>
                <w:p w14:paraId="291B7987" w14:textId="77777777" w:rsidR="00FC22CD" w:rsidRDefault="00FC22CD">
                  <w:pPr>
                    <w:pStyle w:val="Compact"/>
                  </w:pPr>
                </w:p>
              </w:tc>
            </w:tr>
            <w:tr w:rsidR="00A14839" w14:paraId="057D30AE" w14:textId="77777777" w:rsidTr="00A14839">
              <w:tc>
                <w:tcPr>
                  <w:tcW w:w="4320" w:type="dxa"/>
                </w:tcPr>
                <w:p w14:paraId="111D76EF" w14:textId="7A29BB56" w:rsidR="00FC22CD" w:rsidRDefault="007C3CDE" w:rsidP="00A14839">
                  <w:pPr>
                    <w:pStyle w:val="Compact"/>
                  </w:pPr>
                  <w:r>
                    <w:t xml:space="preserve">     Unemployed</w:t>
                  </w:r>
                </w:p>
              </w:tc>
              <w:tc>
                <w:tcPr>
                  <w:tcW w:w="630" w:type="dxa"/>
                </w:tcPr>
                <w:p w14:paraId="326866CC" w14:textId="4E39149E" w:rsidR="00FC22CD" w:rsidRDefault="007C3CDE">
                  <w:pPr>
                    <w:pStyle w:val="Compact"/>
                    <w:jc w:val="center"/>
                  </w:pPr>
                  <w:r>
                    <w:t>53</w:t>
                  </w:r>
                </w:p>
              </w:tc>
              <w:tc>
                <w:tcPr>
                  <w:tcW w:w="810" w:type="dxa"/>
                </w:tcPr>
                <w:p w14:paraId="6A3C6DE2" w14:textId="37FBA25E" w:rsidR="00FC22CD" w:rsidRDefault="007C3CDE">
                  <w:pPr>
                    <w:pStyle w:val="Compact"/>
                    <w:jc w:val="center"/>
                  </w:pPr>
                  <w:r>
                    <w:t>35.1</w:t>
                  </w:r>
                </w:p>
              </w:tc>
              <w:tc>
                <w:tcPr>
                  <w:tcW w:w="1080" w:type="dxa"/>
                </w:tcPr>
                <w:p w14:paraId="2B5065C6" w14:textId="77777777" w:rsidR="00FC22CD" w:rsidRDefault="00FC22CD">
                  <w:pPr>
                    <w:pStyle w:val="Compact"/>
                  </w:pPr>
                </w:p>
              </w:tc>
              <w:tc>
                <w:tcPr>
                  <w:tcW w:w="1170" w:type="dxa"/>
                </w:tcPr>
                <w:p w14:paraId="465D1B45" w14:textId="77777777" w:rsidR="00FC22CD" w:rsidRDefault="00FC22CD">
                  <w:pPr>
                    <w:pStyle w:val="Compact"/>
                  </w:pPr>
                </w:p>
              </w:tc>
              <w:tc>
                <w:tcPr>
                  <w:tcW w:w="1595" w:type="dxa"/>
                  <w:gridSpan w:val="2"/>
                </w:tcPr>
                <w:p w14:paraId="7CEC04B3" w14:textId="77777777" w:rsidR="00FC22CD" w:rsidRDefault="00FC22CD">
                  <w:pPr>
                    <w:pStyle w:val="Compact"/>
                  </w:pPr>
                </w:p>
              </w:tc>
            </w:tr>
            <w:tr w:rsidR="00A14839" w14:paraId="1AF6905E" w14:textId="77777777" w:rsidTr="00A14839">
              <w:tc>
                <w:tcPr>
                  <w:tcW w:w="4320" w:type="dxa"/>
                </w:tcPr>
                <w:p w14:paraId="5098FCD6" w14:textId="77777777" w:rsidR="00FC22CD" w:rsidRDefault="00000000" w:rsidP="00A14839">
                  <w:pPr>
                    <w:pStyle w:val="Compact"/>
                  </w:pPr>
                  <w:r>
                    <w:t>Personal Income</w:t>
                  </w:r>
                </w:p>
              </w:tc>
              <w:tc>
                <w:tcPr>
                  <w:tcW w:w="630" w:type="dxa"/>
                </w:tcPr>
                <w:p w14:paraId="182870D7" w14:textId="77777777" w:rsidR="00FC22CD" w:rsidRDefault="00FC22CD">
                  <w:pPr>
                    <w:pStyle w:val="Compact"/>
                  </w:pPr>
                </w:p>
              </w:tc>
              <w:tc>
                <w:tcPr>
                  <w:tcW w:w="810" w:type="dxa"/>
                </w:tcPr>
                <w:p w14:paraId="627DAC70" w14:textId="77777777" w:rsidR="00FC22CD" w:rsidRDefault="00FC22CD">
                  <w:pPr>
                    <w:pStyle w:val="Compact"/>
                  </w:pPr>
                </w:p>
              </w:tc>
              <w:tc>
                <w:tcPr>
                  <w:tcW w:w="1080" w:type="dxa"/>
                </w:tcPr>
                <w:p w14:paraId="0A4D37B5" w14:textId="77777777" w:rsidR="00FC22CD" w:rsidRDefault="00000000">
                  <w:pPr>
                    <w:pStyle w:val="Compact"/>
                    <w:jc w:val="center"/>
                  </w:pPr>
                  <w:r>
                    <w:t>$34,298</w:t>
                  </w:r>
                </w:p>
              </w:tc>
              <w:tc>
                <w:tcPr>
                  <w:tcW w:w="1170" w:type="dxa"/>
                </w:tcPr>
                <w:p w14:paraId="4F5EC743" w14:textId="77777777" w:rsidR="00FC22CD" w:rsidRDefault="00000000">
                  <w:pPr>
                    <w:pStyle w:val="Compact"/>
                    <w:jc w:val="center"/>
                  </w:pPr>
                  <w:r>
                    <w:t>$31,807</w:t>
                  </w:r>
                </w:p>
              </w:tc>
              <w:tc>
                <w:tcPr>
                  <w:tcW w:w="1595" w:type="dxa"/>
                  <w:gridSpan w:val="2"/>
                </w:tcPr>
                <w:p w14:paraId="020F2B23" w14:textId="77777777" w:rsidR="00FC22CD" w:rsidRDefault="00000000">
                  <w:pPr>
                    <w:pStyle w:val="Compact"/>
                    <w:jc w:val="center"/>
                  </w:pPr>
                  <w:r>
                    <w:t>$0-200,000</w:t>
                  </w:r>
                </w:p>
              </w:tc>
            </w:tr>
            <w:tr w:rsidR="00A14839" w14:paraId="0EF08209" w14:textId="77777777" w:rsidTr="00A14839">
              <w:tc>
                <w:tcPr>
                  <w:tcW w:w="4320" w:type="dxa"/>
                </w:tcPr>
                <w:p w14:paraId="000D37E7" w14:textId="77777777" w:rsidR="00FC22CD" w:rsidRDefault="00000000" w:rsidP="00A14839">
                  <w:pPr>
                    <w:pStyle w:val="Compact"/>
                  </w:pPr>
                  <w:r>
                    <w:t>Marital Status</w:t>
                  </w:r>
                </w:p>
              </w:tc>
              <w:tc>
                <w:tcPr>
                  <w:tcW w:w="630" w:type="dxa"/>
                </w:tcPr>
                <w:p w14:paraId="1626438E" w14:textId="77777777" w:rsidR="00FC22CD" w:rsidRDefault="00FC22CD">
                  <w:pPr>
                    <w:pStyle w:val="Compact"/>
                  </w:pPr>
                </w:p>
              </w:tc>
              <w:tc>
                <w:tcPr>
                  <w:tcW w:w="810" w:type="dxa"/>
                </w:tcPr>
                <w:p w14:paraId="54FA5FA0" w14:textId="77777777" w:rsidR="00FC22CD" w:rsidRDefault="00FC22CD">
                  <w:pPr>
                    <w:pStyle w:val="Compact"/>
                  </w:pPr>
                </w:p>
              </w:tc>
              <w:tc>
                <w:tcPr>
                  <w:tcW w:w="1080" w:type="dxa"/>
                </w:tcPr>
                <w:p w14:paraId="243357BC" w14:textId="77777777" w:rsidR="00FC22CD" w:rsidRDefault="00FC22CD">
                  <w:pPr>
                    <w:pStyle w:val="Compact"/>
                  </w:pPr>
                </w:p>
              </w:tc>
              <w:tc>
                <w:tcPr>
                  <w:tcW w:w="1170" w:type="dxa"/>
                </w:tcPr>
                <w:p w14:paraId="60B98A0E" w14:textId="77777777" w:rsidR="00FC22CD" w:rsidRDefault="00FC22CD">
                  <w:pPr>
                    <w:pStyle w:val="Compact"/>
                  </w:pPr>
                </w:p>
              </w:tc>
              <w:tc>
                <w:tcPr>
                  <w:tcW w:w="1595" w:type="dxa"/>
                  <w:gridSpan w:val="2"/>
                </w:tcPr>
                <w:p w14:paraId="48F23538" w14:textId="77777777" w:rsidR="00FC22CD" w:rsidRDefault="00FC22CD">
                  <w:pPr>
                    <w:pStyle w:val="Compact"/>
                  </w:pPr>
                </w:p>
              </w:tc>
            </w:tr>
            <w:tr w:rsidR="00A14839" w14:paraId="573C1A95" w14:textId="77777777" w:rsidTr="00A14839">
              <w:tc>
                <w:tcPr>
                  <w:tcW w:w="4320" w:type="dxa"/>
                </w:tcPr>
                <w:p w14:paraId="094D573A" w14:textId="2A335FE5" w:rsidR="00FC22CD" w:rsidRDefault="00430A6D" w:rsidP="00A14839">
                  <w:pPr>
                    <w:pStyle w:val="Compact"/>
                  </w:pPr>
                  <w:r>
                    <w:t xml:space="preserve">     Never married</w:t>
                  </w:r>
                </w:p>
              </w:tc>
              <w:tc>
                <w:tcPr>
                  <w:tcW w:w="630" w:type="dxa"/>
                </w:tcPr>
                <w:p w14:paraId="77180516" w14:textId="77777777" w:rsidR="00FC22CD" w:rsidRDefault="00000000">
                  <w:pPr>
                    <w:pStyle w:val="Compact"/>
                    <w:jc w:val="center"/>
                  </w:pPr>
                  <w:r>
                    <w:t>67</w:t>
                  </w:r>
                </w:p>
              </w:tc>
              <w:tc>
                <w:tcPr>
                  <w:tcW w:w="810" w:type="dxa"/>
                </w:tcPr>
                <w:p w14:paraId="6F8825F5" w14:textId="77777777" w:rsidR="00FC22CD" w:rsidRDefault="00000000">
                  <w:pPr>
                    <w:pStyle w:val="Compact"/>
                    <w:jc w:val="center"/>
                  </w:pPr>
                  <w:r>
                    <w:t>44.4</w:t>
                  </w:r>
                </w:p>
              </w:tc>
              <w:tc>
                <w:tcPr>
                  <w:tcW w:w="1080" w:type="dxa"/>
                </w:tcPr>
                <w:p w14:paraId="552529B4" w14:textId="77777777" w:rsidR="00FC22CD" w:rsidRDefault="00FC22CD">
                  <w:pPr>
                    <w:pStyle w:val="Compact"/>
                  </w:pPr>
                </w:p>
              </w:tc>
              <w:tc>
                <w:tcPr>
                  <w:tcW w:w="1170" w:type="dxa"/>
                </w:tcPr>
                <w:p w14:paraId="0DBDC86B" w14:textId="77777777" w:rsidR="00FC22CD" w:rsidRDefault="00FC22CD">
                  <w:pPr>
                    <w:pStyle w:val="Compact"/>
                  </w:pPr>
                </w:p>
              </w:tc>
              <w:tc>
                <w:tcPr>
                  <w:tcW w:w="1595" w:type="dxa"/>
                  <w:gridSpan w:val="2"/>
                </w:tcPr>
                <w:p w14:paraId="44BE652C" w14:textId="77777777" w:rsidR="00FC22CD" w:rsidRDefault="00FC22CD">
                  <w:pPr>
                    <w:pStyle w:val="Compact"/>
                  </w:pPr>
                </w:p>
              </w:tc>
            </w:tr>
            <w:tr w:rsidR="00A14839" w14:paraId="0AFA78A8" w14:textId="77777777" w:rsidTr="00A14839">
              <w:tc>
                <w:tcPr>
                  <w:tcW w:w="4320" w:type="dxa"/>
                </w:tcPr>
                <w:p w14:paraId="37D4988D" w14:textId="2A66AB77" w:rsidR="00FC22CD" w:rsidRDefault="00430A6D" w:rsidP="00A14839">
                  <w:pPr>
                    <w:pStyle w:val="Compact"/>
                  </w:pPr>
                  <w:r>
                    <w:t xml:space="preserve">     Married</w:t>
                  </w:r>
                </w:p>
              </w:tc>
              <w:tc>
                <w:tcPr>
                  <w:tcW w:w="630" w:type="dxa"/>
                </w:tcPr>
                <w:p w14:paraId="71ED2B91" w14:textId="77777777" w:rsidR="00FC22CD" w:rsidRDefault="00000000">
                  <w:pPr>
                    <w:pStyle w:val="Compact"/>
                    <w:jc w:val="center"/>
                  </w:pPr>
                  <w:r>
                    <w:t>32</w:t>
                  </w:r>
                </w:p>
              </w:tc>
              <w:tc>
                <w:tcPr>
                  <w:tcW w:w="810" w:type="dxa"/>
                </w:tcPr>
                <w:p w14:paraId="32AD4B6B" w14:textId="77777777" w:rsidR="00FC22CD" w:rsidRDefault="00000000">
                  <w:pPr>
                    <w:pStyle w:val="Compact"/>
                    <w:jc w:val="center"/>
                  </w:pPr>
                  <w:r>
                    <w:t>21.2</w:t>
                  </w:r>
                </w:p>
              </w:tc>
              <w:tc>
                <w:tcPr>
                  <w:tcW w:w="1080" w:type="dxa"/>
                </w:tcPr>
                <w:p w14:paraId="3D331785" w14:textId="77777777" w:rsidR="00FC22CD" w:rsidRDefault="00FC22CD">
                  <w:pPr>
                    <w:pStyle w:val="Compact"/>
                  </w:pPr>
                </w:p>
              </w:tc>
              <w:tc>
                <w:tcPr>
                  <w:tcW w:w="1170" w:type="dxa"/>
                </w:tcPr>
                <w:p w14:paraId="6C1A2660" w14:textId="77777777" w:rsidR="00FC22CD" w:rsidRDefault="00FC22CD">
                  <w:pPr>
                    <w:pStyle w:val="Compact"/>
                  </w:pPr>
                </w:p>
              </w:tc>
              <w:tc>
                <w:tcPr>
                  <w:tcW w:w="1595" w:type="dxa"/>
                  <w:gridSpan w:val="2"/>
                </w:tcPr>
                <w:p w14:paraId="423F21A4" w14:textId="77777777" w:rsidR="00FC22CD" w:rsidRDefault="00FC22CD">
                  <w:pPr>
                    <w:pStyle w:val="Compact"/>
                  </w:pPr>
                </w:p>
              </w:tc>
            </w:tr>
            <w:tr w:rsidR="00A14839" w14:paraId="15744493" w14:textId="77777777" w:rsidTr="00A14839">
              <w:tc>
                <w:tcPr>
                  <w:tcW w:w="4320" w:type="dxa"/>
                </w:tcPr>
                <w:p w14:paraId="45F383F9" w14:textId="72112AA9" w:rsidR="00FC22CD" w:rsidRDefault="00430A6D" w:rsidP="00A14839">
                  <w:pPr>
                    <w:pStyle w:val="Compact"/>
                  </w:pPr>
                  <w:r>
                    <w:t xml:space="preserve">     Divorced, separated or widowed</w:t>
                  </w:r>
                </w:p>
              </w:tc>
              <w:tc>
                <w:tcPr>
                  <w:tcW w:w="630" w:type="dxa"/>
                </w:tcPr>
                <w:p w14:paraId="2A1AB11D" w14:textId="4ACB3D17" w:rsidR="00FC22CD" w:rsidRDefault="00430A6D">
                  <w:pPr>
                    <w:pStyle w:val="Compact"/>
                    <w:jc w:val="center"/>
                  </w:pPr>
                  <w:r>
                    <w:t>52</w:t>
                  </w:r>
                </w:p>
              </w:tc>
              <w:tc>
                <w:tcPr>
                  <w:tcW w:w="810" w:type="dxa"/>
                </w:tcPr>
                <w:p w14:paraId="5D096E37" w14:textId="784C82AE" w:rsidR="00FC22CD" w:rsidRDefault="00DC42EF">
                  <w:pPr>
                    <w:pStyle w:val="Compact"/>
                    <w:jc w:val="center"/>
                  </w:pPr>
                  <w:r>
                    <w:t>34.4</w:t>
                  </w:r>
                </w:p>
              </w:tc>
              <w:tc>
                <w:tcPr>
                  <w:tcW w:w="1080" w:type="dxa"/>
                </w:tcPr>
                <w:p w14:paraId="4DD61529" w14:textId="77777777" w:rsidR="00FC22CD" w:rsidRDefault="00FC22CD">
                  <w:pPr>
                    <w:pStyle w:val="Compact"/>
                  </w:pPr>
                </w:p>
              </w:tc>
              <w:tc>
                <w:tcPr>
                  <w:tcW w:w="1170" w:type="dxa"/>
                </w:tcPr>
                <w:p w14:paraId="28F6B64A" w14:textId="77777777" w:rsidR="00FC22CD" w:rsidRDefault="00FC22CD">
                  <w:pPr>
                    <w:pStyle w:val="Compact"/>
                  </w:pPr>
                </w:p>
              </w:tc>
              <w:tc>
                <w:tcPr>
                  <w:tcW w:w="1595" w:type="dxa"/>
                  <w:gridSpan w:val="2"/>
                </w:tcPr>
                <w:p w14:paraId="1BBBFA0B" w14:textId="77777777" w:rsidR="00FC22CD" w:rsidRDefault="00FC22CD">
                  <w:pPr>
                    <w:pStyle w:val="Compact"/>
                  </w:pPr>
                </w:p>
              </w:tc>
            </w:tr>
            <w:tr w:rsidR="00A14839" w14:paraId="2E0F40DA" w14:textId="77777777" w:rsidTr="00A14839">
              <w:tc>
                <w:tcPr>
                  <w:tcW w:w="4320" w:type="dxa"/>
                </w:tcPr>
                <w:p w14:paraId="175B44A5" w14:textId="77777777" w:rsidR="00FC22CD" w:rsidRDefault="00000000" w:rsidP="00A14839">
                  <w:pPr>
                    <w:pStyle w:val="Compact"/>
                  </w:pPr>
                  <w:r>
                    <w:t>DSM-5 Alcohol Use Disorder Symptom Count</w:t>
                  </w:r>
                </w:p>
              </w:tc>
              <w:tc>
                <w:tcPr>
                  <w:tcW w:w="630" w:type="dxa"/>
                </w:tcPr>
                <w:p w14:paraId="23653C05" w14:textId="77777777" w:rsidR="00FC22CD" w:rsidRDefault="00FC22CD">
                  <w:pPr>
                    <w:pStyle w:val="Compact"/>
                  </w:pPr>
                </w:p>
              </w:tc>
              <w:tc>
                <w:tcPr>
                  <w:tcW w:w="810" w:type="dxa"/>
                </w:tcPr>
                <w:p w14:paraId="7DBC49A1" w14:textId="77777777" w:rsidR="00FC22CD" w:rsidRDefault="00FC22CD">
                  <w:pPr>
                    <w:pStyle w:val="Compact"/>
                  </w:pPr>
                </w:p>
              </w:tc>
              <w:tc>
                <w:tcPr>
                  <w:tcW w:w="1080" w:type="dxa"/>
                </w:tcPr>
                <w:p w14:paraId="3B61A012" w14:textId="77777777" w:rsidR="00FC22CD" w:rsidRDefault="00000000">
                  <w:pPr>
                    <w:pStyle w:val="Compact"/>
                    <w:jc w:val="center"/>
                  </w:pPr>
                  <w:r>
                    <w:t>8.9</w:t>
                  </w:r>
                </w:p>
              </w:tc>
              <w:tc>
                <w:tcPr>
                  <w:tcW w:w="1170" w:type="dxa"/>
                </w:tcPr>
                <w:p w14:paraId="2B46B2AC" w14:textId="77777777" w:rsidR="00FC22CD" w:rsidRDefault="00000000">
                  <w:pPr>
                    <w:pStyle w:val="Compact"/>
                    <w:jc w:val="center"/>
                  </w:pPr>
                  <w:r>
                    <w:t>1.9</w:t>
                  </w:r>
                </w:p>
              </w:tc>
              <w:tc>
                <w:tcPr>
                  <w:tcW w:w="1595" w:type="dxa"/>
                  <w:gridSpan w:val="2"/>
                </w:tcPr>
                <w:p w14:paraId="52414C0C" w14:textId="77777777" w:rsidR="00FC22CD" w:rsidRDefault="00000000">
                  <w:pPr>
                    <w:pStyle w:val="Compact"/>
                    <w:jc w:val="center"/>
                  </w:pPr>
                  <w:r>
                    <w:t>4-11</w:t>
                  </w:r>
                </w:p>
              </w:tc>
            </w:tr>
            <w:tr w:rsidR="00FC22CD" w14:paraId="65C8BBE2" w14:textId="77777777" w:rsidTr="00A14839">
              <w:trPr>
                <w:gridAfter w:val="1"/>
                <w:wAfter w:w="6" w:type="dxa"/>
              </w:trPr>
              <w:tc>
                <w:tcPr>
                  <w:tcW w:w="9599" w:type="dxa"/>
                  <w:gridSpan w:val="6"/>
                </w:tcPr>
                <w:p w14:paraId="1A37B288" w14:textId="77777777" w:rsidR="00FC22CD" w:rsidRDefault="00000000" w:rsidP="00A14839">
                  <w:pPr>
                    <w:pStyle w:val="Compact"/>
                  </w:pPr>
                  <w:r>
                    <w:t>Alcohol Use Disorder Milestones</w:t>
                  </w:r>
                </w:p>
              </w:tc>
            </w:tr>
            <w:tr w:rsidR="00A14839" w14:paraId="0EE24EC4" w14:textId="77777777" w:rsidTr="00A14839">
              <w:tc>
                <w:tcPr>
                  <w:tcW w:w="4320" w:type="dxa"/>
                </w:tcPr>
                <w:p w14:paraId="60DCBAF2" w14:textId="754F677E" w:rsidR="00FC22CD" w:rsidRDefault="00DC42EF" w:rsidP="00A14839">
                  <w:pPr>
                    <w:pStyle w:val="Compact"/>
                  </w:pPr>
                  <w:r>
                    <w:t xml:space="preserve">     Age of first drink</w:t>
                  </w:r>
                </w:p>
              </w:tc>
              <w:tc>
                <w:tcPr>
                  <w:tcW w:w="630" w:type="dxa"/>
                </w:tcPr>
                <w:p w14:paraId="0EFCBAB2" w14:textId="77777777" w:rsidR="00FC22CD" w:rsidRDefault="00FC22CD">
                  <w:pPr>
                    <w:pStyle w:val="Compact"/>
                  </w:pPr>
                </w:p>
              </w:tc>
              <w:tc>
                <w:tcPr>
                  <w:tcW w:w="810" w:type="dxa"/>
                </w:tcPr>
                <w:p w14:paraId="1092FDE8" w14:textId="77777777" w:rsidR="00FC22CD" w:rsidRDefault="00FC22CD">
                  <w:pPr>
                    <w:pStyle w:val="Compact"/>
                  </w:pPr>
                </w:p>
              </w:tc>
              <w:tc>
                <w:tcPr>
                  <w:tcW w:w="1080" w:type="dxa"/>
                </w:tcPr>
                <w:p w14:paraId="72236C71" w14:textId="77777777" w:rsidR="00FC22CD" w:rsidRDefault="00000000">
                  <w:pPr>
                    <w:pStyle w:val="Compact"/>
                    <w:jc w:val="center"/>
                  </w:pPr>
                  <w:r>
                    <w:t>14.6</w:t>
                  </w:r>
                </w:p>
              </w:tc>
              <w:tc>
                <w:tcPr>
                  <w:tcW w:w="1170" w:type="dxa"/>
                </w:tcPr>
                <w:p w14:paraId="54042FF9" w14:textId="77777777" w:rsidR="00FC22CD" w:rsidRDefault="00000000">
                  <w:pPr>
                    <w:pStyle w:val="Compact"/>
                    <w:jc w:val="center"/>
                  </w:pPr>
                  <w:r>
                    <w:t>2.9</w:t>
                  </w:r>
                </w:p>
              </w:tc>
              <w:tc>
                <w:tcPr>
                  <w:tcW w:w="1595" w:type="dxa"/>
                  <w:gridSpan w:val="2"/>
                </w:tcPr>
                <w:p w14:paraId="3FB1464A" w14:textId="77777777" w:rsidR="00FC22CD" w:rsidRDefault="00000000">
                  <w:pPr>
                    <w:pStyle w:val="Compact"/>
                    <w:jc w:val="center"/>
                  </w:pPr>
                  <w:r>
                    <w:t>6-24</w:t>
                  </w:r>
                </w:p>
              </w:tc>
            </w:tr>
            <w:tr w:rsidR="00A14839" w14:paraId="53BEFCBE" w14:textId="77777777" w:rsidTr="00A14839">
              <w:tc>
                <w:tcPr>
                  <w:tcW w:w="4320" w:type="dxa"/>
                </w:tcPr>
                <w:p w14:paraId="1AF46C6E" w14:textId="418E2C0F" w:rsidR="00FC22CD" w:rsidRDefault="00DC42EF" w:rsidP="00A14839">
                  <w:pPr>
                    <w:pStyle w:val="Compact"/>
                  </w:pPr>
                  <w:r>
                    <w:t xml:space="preserve">     Age of regular drinking</w:t>
                  </w:r>
                </w:p>
              </w:tc>
              <w:tc>
                <w:tcPr>
                  <w:tcW w:w="630" w:type="dxa"/>
                </w:tcPr>
                <w:p w14:paraId="2DF0666B" w14:textId="77777777" w:rsidR="00FC22CD" w:rsidRDefault="00FC22CD">
                  <w:pPr>
                    <w:pStyle w:val="Compact"/>
                  </w:pPr>
                </w:p>
              </w:tc>
              <w:tc>
                <w:tcPr>
                  <w:tcW w:w="810" w:type="dxa"/>
                </w:tcPr>
                <w:p w14:paraId="7A95E205" w14:textId="77777777" w:rsidR="00FC22CD" w:rsidRDefault="00FC22CD">
                  <w:pPr>
                    <w:pStyle w:val="Compact"/>
                  </w:pPr>
                </w:p>
              </w:tc>
              <w:tc>
                <w:tcPr>
                  <w:tcW w:w="1080" w:type="dxa"/>
                </w:tcPr>
                <w:p w14:paraId="630CE123" w14:textId="77777777" w:rsidR="00FC22CD" w:rsidRDefault="00000000">
                  <w:pPr>
                    <w:pStyle w:val="Compact"/>
                    <w:jc w:val="center"/>
                  </w:pPr>
                  <w:r>
                    <w:t>19.5</w:t>
                  </w:r>
                </w:p>
              </w:tc>
              <w:tc>
                <w:tcPr>
                  <w:tcW w:w="1170" w:type="dxa"/>
                </w:tcPr>
                <w:p w14:paraId="0025D75B" w14:textId="77777777" w:rsidR="00FC22CD" w:rsidRDefault="00000000">
                  <w:pPr>
                    <w:pStyle w:val="Compact"/>
                    <w:jc w:val="center"/>
                  </w:pPr>
                  <w:r>
                    <w:t>6.6</w:t>
                  </w:r>
                </w:p>
              </w:tc>
              <w:tc>
                <w:tcPr>
                  <w:tcW w:w="1595" w:type="dxa"/>
                  <w:gridSpan w:val="2"/>
                </w:tcPr>
                <w:p w14:paraId="46C37727" w14:textId="77777777" w:rsidR="00FC22CD" w:rsidRDefault="00000000">
                  <w:pPr>
                    <w:pStyle w:val="Compact"/>
                    <w:jc w:val="center"/>
                  </w:pPr>
                  <w:r>
                    <w:t>11-56</w:t>
                  </w:r>
                </w:p>
              </w:tc>
            </w:tr>
            <w:tr w:rsidR="00A14839" w14:paraId="476F9DF8" w14:textId="77777777" w:rsidTr="00A14839">
              <w:tc>
                <w:tcPr>
                  <w:tcW w:w="4320" w:type="dxa"/>
                </w:tcPr>
                <w:p w14:paraId="1D04831E" w14:textId="77777777" w:rsidR="00DC42EF" w:rsidRDefault="00DC42EF" w:rsidP="00DC42EF">
                  <w:pPr>
                    <w:pStyle w:val="Compact"/>
                    <w:spacing w:after="0"/>
                  </w:pPr>
                  <w:r>
                    <w:t xml:space="preserve">     Age at which drinking became </w:t>
                  </w:r>
                </w:p>
                <w:p w14:paraId="60F2EAA0" w14:textId="003A2DB1" w:rsidR="00FC22CD" w:rsidRDefault="00DC42EF" w:rsidP="00A14839">
                  <w:pPr>
                    <w:pStyle w:val="Compact"/>
                  </w:pPr>
                  <w:r>
                    <w:t xml:space="preserve">     problematic</w:t>
                  </w:r>
                </w:p>
              </w:tc>
              <w:tc>
                <w:tcPr>
                  <w:tcW w:w="630" w:type="dxa"/>
                </w:tcPr>
                <w:p w14:paraId="621FE1A7" w14:textId="77777777" w:rsidR="00FC22CD" w:rsidRDefault="00FC22CD">
                  <w:pPr>
                    <w:pStyle w:val="Compact"/>
                  </w:pPr>
                </w:p>
              </w:tc>
              <w:tc>
                <w:tcPr>
                  <w:tcW w:w="810" w:type="dxa"/>
                </w:tcPr>
                <w:p w14:paraId="7C20A239" w14:textId="77777777" w:rsidR="00FC22CD" w:rsidRDefault="00FC22CD">
                  <w:pPr>
                    <w:pStyle w:val="Compact"/>
                  </w:pPr>
                </w:p>
              </w:tc>
              <w:tc>
                <w:tcPr>
                  <w:tcW w:w="1080" w:type="dxa"/>
                </w:tcPr>
                <w:p w14:paraId="0AFC6DC1" w14:textId="77777777" w:rsidR="00FC22CD" w:rsidRDefault="00000000">
                  <w:pPr>
                    <w:pStyle w:val="Compact"/>
                    <w:jc w:val="center"/>
                  </w:pPr>
                  <w:r>
                    <w:t>27.8</w:t>
                  </w:r>
                </w:p>
              </w:tc>
              <w:tc>
                <w:tcPr>
                  <w:tcW w:w="1170" w:type="dxa"/>
                </w:tcPr>
                <w:p w14:paraId="110B4122" w14:textId="77777777" w:rsidR="00FC22CD" w:rsidRDefault="00000000">
                  <w:pPr>
                    <w:pStyle w:val="Compact"/>
                    <w:jc w:val="center"/>
                  </w:pPr>
                  <w:r>
                    <w:t>9.6</w:t>
                  </w:r>
                </w:p>
              </w:tc>
              <w:tc>
                <w:tcPr>
                  <w:tcW w:w="1595" w:type="dxa"/>
                  <w:gridSpan w:val="2"/>
                </w:tcPr>
                <w:p w14:paraId="77CE7BC8" w14:textId="77777777" w:rsidR="00FC22CD" w:rsidRDefault="00000000">
                  <w:pPr>
                    <w:pStyle w:val="Compact"/>
                    <w:jc w:val="center"/>
                  </w:pPr>
                  <w:r>
                    <w:t>15-60</w:t>
                  </w:r>
                </w:p>
              </w:tc>
            </w:tr>
            <w:tr w:rsidR="00A14839" w14:paraId="1BE57843" w14:textId="77777777" w:rsidTr="00A14839">
              <w:tc>
                <w:tcPr>
                  <w:tcW w:w="4320" w:type="dxa"/>
                </w:tcPr>
                <w:p w14:paraId="200C05BE" w14:textId="10354CD1" w:rsidR="00FC22CD" w:rsidRDefault="00DC42EF" w:rsidP="00A14839">
                  <w:pPr>
                    <w:pStyle w:val="Compact"/>
                  </w:pPr>
                  <w:r>
                    <w:t xml:space="preserve">     Age of first quit attempt</w:t>
                  </w:r>
                </w:p>
              </w:tc>
              <w:tc>
                <w:tcPr>
                  <w:tcW w:w="630" w:type="dxa"/>
                </w:tcPr>
                <w:p w14:paraId="08450AEA" w14:textId="77777777" w:rsidR="00FC22CD" w:rsidRDefault="00FC22CD">
                  <w:pPr>
                    <w:pStyle w:val="Compact"/>
                  </w:pPr>
                </w:p>
              </w:tc>
              <w:tc>
                <w:tcPr>
                  <w:tcW w:w="810" w:type="dxa"/>
                </w:tcPr>
                <w:p w14:paraId="5BC07205" w14:textId="77777777" w:rsidR="00FC22CD" w:rsidRDefault="00FC22CD">
                  <w:pPr>
                    <w:pStyle w:val="Compact"/>
                  </w:pPr>
                </w:p>
              </w:tc>
              <w:tc>
                <w:tcPr>
                  <w:tcW w:w="1080" w:type="dxa"/>
                </w:tcPr>
                <w:p w14:paraId="00E320CF" w14:textId="77777777" w:rsidR="00FC22CD" w:rsidRDefault="00000000">
                  <w:pPr>
                    <w:pStyle w:val="Compact"/>
                    <w:jc w:val="center"/>
                  </w:pPr>
                  <w:r>
                    <w:t>31.5</w:t>
                  </w:r>
                </w:p>
              </w:tc>
              <w:tc>
                <w:tcPr>
                  <w:tcW w:w="1170" w:type="dxa"/>
                </w:tcPr>
                <w:p w14:paraId="246E4366" w14:textId="77777777" w:rsidR="00FC22CD" w:rsidRDefault="00000000">
                  <w:pPr>
                    <w:pStyle w:val="Compact"/>
                    <w:jc w:val="center"/>
                  </w:pPr>
                  <w:r>
                    <w:t>10.4</w:t>
                  </w:r>
                </w:p>
              </w:tc>
              <w:tc>
                <w:tcPr>
                  <w:tcW w:w="1595" w:type="dxa"/>
                  <w:gridSpan w:val="2"/>
                </w:tcPr>
                <w:p w14:paraId="351C5B40" w14:textId="77777777" w:rsidR="00FC22CD" w:rsidRDefault="00000000">
                  <w:pPr>
                    <w:pStyle w:val="Compact"/>
                    <w:jc w:val="center"/>
                  </w:pPr>
                  <w:r>
                    <w:t>15-65</w:t>
                  </w:r>
                </w:p>
              </w:tc>
            </w:tr>
            <w:tr w:rsidR="00A14839" w14:paraId="50351D83" w14:textId="77777777" w:rsidTr="00A14839">
              <w:tc>
                <w:tcPr>
                  <w:tcW w:w="4320" w:type="dxa"/>
                </w:tcPr>
                <w:p w14:paraId="4D43618B" w14:textId="77777777" w:rsidR="00FC22CD" w:rsidRDefault="00000000" w:rsidP="00A14839">
                  <w:pPr>
                    <w:pStyle w:val="Compact"/>
                  </w:pPr>
                  <w:r>
                    <w:t>Number of Quit Attempts*</w:t>
                  </w:r>
                </w:p>
              </w:tc>
              <w:tc>
                <w:tcPr>
                  <w:tcW w:w="630" w:type="dxa"/>
                </w:tcPr>
                <w:p w14:paraId="2D01E05C" w14:textId="77777777" w:rsidR="00FC22CD" w:rsidRDefault="00FC22CD">
                  <w:pPr>
                    <w:pStyle w:val="Compact"/>
                  </w:pPr>
                </w:p>
              </w:tc>
              <w:tc>
                <w:tcPr>
                  <w:tcW w:w="810" w:type="dxa"/>
                </w:tcPr>
                <w:p w14:paraId="3C08F6E6" w14:textId="77777777" w:rsidR="00FC22CD" w:rsidRDefault="00FC22CD">
                  <w:pPr>
                    <w:pStyle w:val="Compact"/>
                  </w:pPr>
                </w:p>
              </w:tc>
              <w:tc>
                <w:tcPr>
                  <w:tcW w:w="1080" w:type="dxa"/>
                </w:tcPr>
                <w:p w14:paraId="3EF4A85A" w14:textId="77777777" w:rsidR="00FC22CD" w:rsidRDefault="00000000">
                  <w:pPr>
                    <w:pStyle w:val="Compact"/>
                    <w:jc w:val="center"/>
                  </w:pPr>
                  <w:r>
                    <w:t>5.5</w:t>
                  </w:r>
                </w:p>
              </w:tc>
              <w:tc>
                <w:tcPr>
                  <w:tcW w:w="1170" w:type="dxa"/>
                </w:tcPr>
                <w:p w14:paraId="4AEB5385" w14:textId="77777777" w:rsidR="00FC22CD" w:rsidRDefault="00000000">
                  <w:pPr>
                    <w:pStyle w:val="Compact"/>
                    <w:jc w:val="center"/>
                  </w:pPr>
                  <w:r>
                    <w:t>5.8</w:t>
                  </w:r>
                </w:p>
              </w:tc>
              <w:tc>
                <w:tcPr>
                  <w:tcW w:w="1595" w:type="dxa"/>
                  <w:gridSpan w:val="2"/>
                </w:tcPr>
                <w:p w14:paraId="40EFF274" w14:textId="77777777" w:rsidR="00FC22CD" w:rsidRDefault="00000000">
                  <w:pPr>
                    <w:pStyle w:val="Compact"/>
                    <w:jc w:val="center"/>
                  </w:pPr>
                  <w:r>
                    <w:t>0-30</w:t>
                  </w:r>
                </w:p>
              </w:tc>
            </w:tr>
            <w:tr w:rsidR="00FC22CD" w14:paraId="1CC9F04E" w14:textId="77777777" w:rsidTr="00A14839">
              <w:trPr>
                <w:gridAfter w:val="1"/>
                <w:wAfter w:w="6" w:type="dxa"/>
              </w:trPr>
              <w:tc>
                <w:tcPr>
                  <w:tcW w:w="9599" w:type="dxa"/>
                  <w:gridSpan w:val="6"/>
                </w:tcPr>
                <w:p w14:paraId="20BA0E79" w14:textId="77777777" w:rsidR="00FC22CD" w:rsidRDefault="00000000" w:rsidP="00A14839">
                  <w:pPr>
                    <w:pStyle w:val="Compact"/>
                  </w:pPr>
                  <w:r>
                    <w:t>Lifetime History of Treatment (Can choose more than 1)</w:t>
                  </w:r>
                </w:p>
              </w:tc>
            </w:tr>
            <w:tr w:rsidR="00A14839" w14:paraId="13A2A684" w14:textId="77777777" w:rsidTr="00A14839">
              <w:tc>
                <w:tcPr>
                  <w:tcW w:w="4320" w:type="dxa"/>
                </w:tcPr>
                <w:p w14:paraId="0A14AA98" w14:textId="6EDB0AE4" w:rsidR="00FC22CD" w:rsidRDefault="00DC42EF" w:rsidP="00A14839">
                  <w:pPr>
                    <w:pStyle w:val="Compact"/>
                  </w:pPr>
                  <w:r>
                    <w:t xml:space="preserve">     Long-term residential (6+ months)</w:t>
                  </w:r>
                </w:p>
              </w:tc>
              <w:tc>
                <w:tcPr>
                  <w:tcW w:w="630" w:type="dxa"/>
                </w:tcPr>
                <w:p w14:paraId="55E13CEB" w14:textId="77777777" w:rsidR="00FC22CD" w:rsidRDefault="00000000">
                  <w:pPr>
                    <w:pStyle w:val="Compact"/>
                    <w:jc w:val="center"/>
                  </w:pPr>
                  <w:r>
                    <w:t>8</w:t>
                  </w:r>
                </w:p>
              </w:tc>
              <w:tc>
                <w:tcPr>
                  <w:tcW w:w="810" w:type="dxa"/>
                </w:tcPr>
                <w:p w14:paraId="3CEAE9F3" w14:textId="77777777" w:rsidR="00FC22CD" w:rsidRDefault="00000000">
                  <w:pPr>
                    <w:pStyle w:val="Compact"/>
                    <w:jc w:val="center"/>
                  </w:pPr>
                  <w:r>
                    <w:t>5.3</w:t>
                  </w:r>
                </w:p>
              </w:tc>
              <w:tc>
                <w:tcPr>
                  <w:tcW w:w="1080" w:type="dxa"/>
                </w:tcPr>
                <w:p w14:paraId="1B1DDC4E" w14:textId="77777777" w:rsidR="00FC22CD" w:rsidRDefault="00FC22CD">
                  <w:pPr>
                    <w:pStyle w:val="Compact"/>
                  </w:pPr>
                </w:p>
              </w:tc>
              <w:tc>
                <w:tcPr>
                  <w:tcW w:w="1170" w:type="dxa"/>
                </w:tcPr>
                <w:p w14:paraId="63996BAF" w14:textId="77777777" w:rsidR="00FC22CD" w:rsidRDefault="00FC22CD">
                  <w:pPr>
                    <w:pStyle w:val="Compact"/>
                  </w:pPr>
                </w:p>
              </w:tc>
              <w:tc>
                <w:tcPr>
                  <w:tcW w:w="1595" w:type="dxa"/>
                  <w:gridSpan w:val="2"/>
                </w:tcPr>
                <w:p w14:paraId="0FC50021" w14:textId="77777777" w:rsidR="00FC22CD" w:rsidRDefault="00FC22CD">
                  <w:pPr>
                    <w:pStyle w:val="Compact"/>
                  </w:pPr>
                </w:p>
              </w:tc>
            </w:tr>
            <w:tr w:rsidR="00A14839" w14:paraId="7AF957FA" w14:textId="77777777" w:rsidTr="00A14839">
              <w:tc>
                <w:tcPr>
                  <w:tcW w:w="4320" w:type="dxa"/>
                </w:tcPr>
                <w:p w14:paraId="61DAD617" w14:textId="195F019A" w:rsidR="00FC22CD" w:rsidRDefault="00DC42EF" w:rsidP="00A14839">
                  <w:pPr>
                    <w:pStyle w:val="Compact"/>
                  </w:pPr>
                  <w:r>
                    <w:t xml:space="preserve">     Short-term residential (&lt; 6 months)</w:t>
                  </w:r>
                </w:p>
              </w:tc>
              <w:tc>
                <w:tcPr>
                  <w:tcW w:w="630" w:type="dxa"/>
                </w:tcPr>
                <w:p w14:paraId="23541CC7" w14:textId="77777777" w:rsidR="00FC22CD" w:rsidRDefault="00000000">
                  <w:pPr>
                    <w:pStyle w:val="Compact"/>
                    <w:jc w:val="center"/>
                  </w:pPr>
                  <w:r>
                    <w:t>49</w:t>
                  </w:r>
                </w:p>
              </w:tc>
              <w:tc>
                <w:tcPr>
                  <w:tcW w:w="810" w:type="dxa"/>
                </w:tcPr>
                <w:p w14:paraId="6CE0D1C3" w14:textId="77777777" w:rsidR="00FC22CD" w:rsidRDefault="00000000">
                  <w:pPr>
                    <w:pStyle w:val="Compact"/>
                    <w:jc w:val="center"/>
                  </w:pPr>
                  <w:r>
                    <w:t>32.5</w:t>
                  </w:r>
                </w:p>
              </w:tc>
              <w:tc>
                <w:tcPr>
                  <w:tcW w:w="1080" w:type="dxa"/>
                </w:tcPr>
                <w:p w14:paraId="07DC0D05" w14:textId="77777777" w:rsidR="00FC22CD" w:rsidRDefault="00FC22CD">
                  <w:pPr>
                    <w:pStyle w:val="Compact"/>
                  </w:pPr>
                </w:p>
              </w:tc>
              <w:tc>
                <w:tcPr>
                  <w:tcW w:w="1170" w:type="dxa"/>
                </w:tcPr>
                <w:p w14:paraId="1FEC30F1" w14:textId="77777777" w:rsidR="00FC22CD" w:rsidRDefault="00FC22CD">
                  <w:pPr>
                    <w:pStyle w:val="Compact"/>
                  </w:pPr>
                </w:p>
              </w:tc>
              <w:tc>
                <w:tcPr>
                  <w:tcW w:w="1595" w:type="dxa"/>
                  <w:gridSpan w:val="2"/>
                </w:tcPr>
                <w:p w14:paraId="431E42E6" w14:textId="77777777" w:rsidR="00FC22CD" w:rsidRDefault="00FC22CD">
                  <w:pPr>
                    <w:pStyle w:val="Compact"/>
                  </w:pPr>
                </w:p>
              </w:tc>
            </w:tr>
            <w:tr w:rsidR="00A14839" w14:paraId="113D8897" w14:textId="77777777" w:rsidTr="00A14839">
              <w:tc>
                <w:tcPr>
                  <w:tcW w:w="4320" w:type="dxa"/>
                </w:tcPr>
                <w:p w14:paraId="4AB11DA3" w14:textId="3DC24609" w:rsidR="00FC22CD" w:rsidRDefault="00DC42EF" w:rsidP="00A14839">
                  <w:pPr>
                    <w:pStyle w:val="Compact"/>
                  </w:pPr>
                  <w:r>
                    <w:t xml:space="preserve">     Outpatient</w:t>
                  </w:r>
                </w:p>
              </w:tc>
              <w:tc>
                <w:tcPr>
                  <w:tcW w:w="630" w:type="dxa"/>
                </w:tcPr>
                <w:p w14:paraId="07CACDF6" w14:textId="77777777" w:rsidR="00FC22CD" w:rsidRDefault="00000000">
                  <w:pPr>
                    <w:pStyle w:val="Compact"/>
                    <w:jc w:val="center"/>
                  </w:pPr>
                  <w:r>
                    <w:t>74</w:t>
                  </w:r>
                </w:p>
              </w:tc>
              <w:tc>
                <w:tcPr>
                  <w:tcW w:w="810" w:type="dxa"/>
                </w:tcPr>
                <w:p w14:paraId="0A4BFE62" w14:textId="77777777" w:rsidR="00FC22CD" w:rsidRDefault="00000000">
                  <w:pPr>
                    <w:pStyle w:val="Compact"/>
                    <w:jc w:val="center"/>
                  </w:pPr>
                  <w:r>
                    <w:t>49.0</w:t>
                  </w:r>
                </w:p>
              </w:tc>
              <w:tc>
                <w:tcPr>
                  <w:tcW w:w="1080" w:type="dxa"/>
                </w:tcPr>
                <w:p w14:paraId="206AA8EE" w14:textId="77777777" w:rsidR="00FC22CD" w:rsidRDefault="00FC22CD">
                  <w:pPr>
                    <w:pStyle w:val="Compact"/>
                  </w:pPr>
                </w:p>
              </w:tc>
              <w:tc>
                <w:tcPr>
                  <w:tcW w:w="1170" w:type="dxa"/>
                </w:tcPr>
                <w:p w14:paraId="36DF7632" w14:textId="77777777" w:rsidR="00FC22CD" w:rsidRDefault="00FC22CD">
                  <w:pPr>
                    <w:pStyle w:val="Compact"/>
                  </w:pPr>
                </w:p>
              </w:tc>
              <w:tc>
                <w:tcPr>
                  <w:tcW w:w="1595" w:type="dxa"/>
                  <w:gridSpan w:val="2"/>
                </w:tcPr>
                <w:p w14:paraId="35C63DCC" w14:textId="77777777" w:rsidR="00FC22CD" w:rsidRDefault="00FC22CD">
                  <w:pPr>
                    <w:pStyle w:val="Compact"/>
                  </w:pPr>
                </w:p>
              </w:tc>
            </w:tr>
            <w:tr w:rsidR="00A14839" w14:paraId="4B78D035" w14:textId="77777777" w:rsidTr="00A14839">
              <w:tc>
                <w:tcPr>
                  <w:tcW w:w="4320" w:type="dxa"/>
                </w:tcPr>
                <w:p w14:paraId="00ADB54B" w14:textId="06334370" w:rsidR="00FC22CD" w:rsidRDefault="00DC42EF" w:rsidP="00A14839">
                  <w:pPr>
                    <w:pStyle w:val="Compact"/>
                  </w:pPr>
                  <w:r>
                    <w:t xml:space="preserve">     Individual counseling</w:t>
                  </w:r>
                </w:p>
              </w:tc>
              <w:tc>
                <w:tcPr>
                  <w:tcW w:w="630" w:type="dxa"/>
                </w:tcPr>
                <w:p w14:paraId="2310A6B6" w14:textId="77777777" w:rsidR="00FC22CD" w:rsidRDefault="00000000">
                  <w:pPr>
                    <w:pStyle w:val="Compact"/>
                    <w:jc w:val="center"/>
                  </w:pPr>
                  <w:r>
                    <w:t>97</w:t>
                  </w:r>
                </w:p>
              </w:tc>
              <w:tc>
                <w:tcPr>
                  <w:tcW w:w="810" w:type="dxa"/>
                </w:tcPr>
                <w:p w14:paraId="50D84AE4" w14:textId="77777777" w:rsidR="00FC22CD" w:rsidRDefault="00000000">
                  <w:pPr>
                    <w:pStyle w:val="Compact"/>
                    <w:jc w:val="center"/>
                  </w:pPr>
                  <w:r>
                    <w:t>64.2</w:t>
                  </w:r>
                </w:p>
              </w:tc>
              <w:tc>
                <w:tcPr>
                  <w:tcW w:w="1080" w:type="dxa"/>
                </w:tcPr>
                <w:p w14:paraId="14BDE9B4" w14:textId="77777777" w:rsidR="00FC22CD" w:rsidRDefault="00FC22CD">
                  <w:pPr>
                    <w:pStyle w:val="Compact"/>
                  </w:pPr>
                </w:p>
              </w:tc>
              <w:tc>
                <w:tcPr>
                  <w:tcW w:w="1170" w:type="dxa"/>
                </w:tcPr>
                <w:p w14:paraId="54BB6A84" w14:textId="77777777" w:rsidR="00FC22CD" w:rsidRDefault="00FC22CD">
                  <w:pPr>
                    <w:pStyle w:val="Compact"/>
                  </w:pPr>
                </w:p>
              </w:tc>
              <w:tc>
                <w:tcPr>
                  <w:tcW w:w="1595" w:type="dxa"/>
                  <w:gridSpan w:val="2"/>
                </w:tcPr>
                <w:p w14:paraId="34F238C6" w14:textId="77777777" w:rsidR="00FC22CD" w:rsidRDefault="00FC22CD">
                  <w:pPr>
                    <w:pStyle w:val="Compact"/>
                  </w:pPr>
                </w:p>
              </w:tc>
            </w:tr>
            <w:tr w:rsidR="00A14839" w14:paraId="1141BA45" w14:textId="77777777" w:rsidTr="00A14839">
              <w:tc>
                <w:tcPr>
                  <w:tcW w:w="4320" w:type="dxa"/>
                </w:tcPr>
                <w:p w14:paraId="74D857A5" w14:textId="3793C18D" w:rsidR="00FC22CD" w:rsidRDefault="00DC42EF" w:rsidP="00A14839">
                  <w:pPr>
                    <w:pStyle w:val="Compact"/>
                  </w:pPr>
                  <w:r>
                    <w:t xml:space="preserve">     Group counseling</w:t>
                  </w:r>
                </w:p>
              </w:tc>
              <w:tc>
                <w:tcPr>
                  <w:tcW w:w="630" w:type="dxa"/>
                </w:tcPr>
                <w:p w14:paraId="2AA73F57" w14:textId="77777777" w:rsidR="00FC22CD" w:rsidRDefault="00000000">
                  <w:pPr>
                    <w:pStyle w:val="Compact"/>
                    <w:jc w:val="center"/>
                  </w:pPr>
                  <w:r>
                    <w:t>62</w:t>
                  </w:r>
                </w:p>
              </w:tc>
              <w:tc>
                <w:tcPr>
                  <w:tcW w:w="810" w:type="dxa"/>
                </w:tcPr>
                <w:p w14:paraId="6D35C3BF" w14:textId="77777777" w:rsidR="00FC22CD" w:rsidRDefault="00000000">
                  <w:pPr>
                    <w:pStyle w:val="Compact"/>
                    <w:jc w:val="center"/>
                  </w:pPr>
                  <w:r>
                    <w:t>41.1</w:t>
                  </w:r>
                </w:p>
              </w:tc>
              <w:tc>
                <w:tcPr>
                  <w:tcW w:w="1080" w:type="dxa"/>
                </w:tcPr>
                <w:p w14:paraId="42A359BE" w14:textId="77777777" w:rsidR="00FC22CD" w:rsidRDefault="00FC22CD">
                  <w:pPr>
                    <w:pStyle w:val="Compact"/>
                  </w:pPr>
                </w:p>
              </w:tc>
              <w:tc>
                <w:tcPr>
                  <w:tcW w:w="1170" w:type="dxa"/>
                </w:tcPr>
                <w:p w14:paraId="0FB6A279" w14:textId="77777777" w:rsidR="00FC22CD" w:rsidRDefault="00FC22CD">
                  <w:pPr>
                    <w:pStyle w:val="Compact"/>
                  </w:pPr>
                </w:p>
              </w:tc>
              <w:tc>
                <w:tcPr>
                  <w:tcW w:w="1595" w:type="dxa"/>
                  <w:gridSpan w:val="2"/>
                </w:tcPr>
                <w:p w14:paraId="6C83A444" w14:textId="77777777" w:rsidR="00FC22CD" w:rsidRDefault="00FC22CD">
                  <w:pPr>
                    <w:pStyle w:val="Compact"/>
                  </w:pPr>
                </w:p>
              </w:tc>
            </w:tr>
            <w:tr w:rsidR="00A14839" w14:paraId="047BC184" w14:textId="77777777" w:rsidTr="00A14839">
              <w:tc>
                <w:tcPr>
                  <w:tcW w:w="4320" w:type="dxa"/>
                </w:tcPr>
                <w:p w14:paraId="3FC611E6" w14:textId="77777777" w:rsidR="00DC42EF" w:rsidRDefault="00DC42EF" w:rsidP="00DC42EF">
                  <w:pPr>
                    <w:pStyle w:val="Compact"/>
                    <w:spacing w:after="0"/>
                  </w:pPr>
                  <w:r>
                    <w:t xml:space="preserve">     Alcoholics Anonymous/Narcotics </w:t>
                  </w:r>
                </w:p>
                <w:p w14:paraId="21939C65" w14:textId="0FACE5EF" w:rsidR="00FC22CD" w:rsidRDefault="00DC42EF" w:rsidP="00A14839">
                  <w:pPr>
                    <w:pStyle w:val="Compact"/>
                  </w:pPr>
                  <w:r>
                    <w:t xml:space="preserve">     Anonymous</w:t>
                  </w:r>
                </w:p>
              </w:tc>
              <w:tc>
                <w:tcPr>
                  <w:tcW w:w="630" w:type="dxa"/>
                </w:tcPr>
                <w:p w14:paraId="36E3926D" w14:textId="77777777" w:rsidR="00FC22CD" w:rsidRDefault="00000000">
                  <w:pPr>
                    <w:pStyle w:val="Compact"/>
                    <w:jc w:val="center"/>
                  </w:pPr>
                  <w:r>
                    <w:t>93</w:t>
                  </w:r>
                </w:p>
              </w:tc>
              <w:tc>
                <w:tcPr>
                  <w:tcW w:w="810" w:type="dxa"/>
                </w:tcPr>
                <w:p w14:paraId="5375413A" w14:textId="77777777" w:rsidR="00FC22CD" w:rsidRDefault="00000000">
                  <w:pPr>
                    <w:pStyle w:val="Compact"/>
                    <w:jc w:val="center"/>
                  </w:pPr>
                  <w:r>
                    <w:t>61.6</w:t>
                  </w:r>
                </w:p>
              </w:tc>
              <w:tc>
                <w:tcPr>
                  <w:tcW w:w="1080" w:type="dxa"/>
                </w:tcPr>
                <w:p w14:paraId="545441E9" w14:textId="77777777" w:rsidR="00FC22CD" w:rsidRDefault="00FC22CD">
                  <w:pPr>
                    <w:pStyle w:val="Compact"/>
                  </w:pPr>
                </w:p>
              </w:tc>
              <w:tc>
                <w:tcPr>
                  <w:tcW w:w="1170" w:type="dxa"/>
                </w:tcPr>
                <w:p w14:paraId="3F715A71" w14:textId="77777777" w:rsidR="00FC22CD" w:rsidRDefault="00FC22CD">
                  <w:pPr>
                    <w:pStyle w:val="Compact"/>
                  </w:pPr>
                </w:p>
              </w:tc>
              <w:tc>
                <w:tcPr>
                  <w:tcW w:w="1595" w:type="dxa"/>
                  <w:gridSpan w:val="2"/>
                </w:tcPr>
                <w:p w14:paraId="7AA76FDF" w14:textId="77777777" w:rsidR="00FC22CD" w:rsidRDefault="00FC22CD">
                  <w:pPr>
                    <w:pStyle w:val="Compact"/>
                  </w:pPr>
                </w:p>
              </w:tc>
            </w:tr>
            <w:tr w:rsidR="00A14839" w14:paraId="341039B1" w14:textId="77777777" w:rsidTr="00A14839">
              <w:tc>
                <w:tcPr>
                  <w:tcW w:w="4320" w:type="dxa"/>
                </w:tcPr>
                <w:p w14:paraId="1ABB900A" w14:textId="66B2EEEA" w:rsidR="00FC22CD" w:rsidRDefault="00DC42EF" w:rsidP="00A14839">
                  <w:pPr>
                    <w:pStyle w:val="Compact"/>
                  </w:pPr>
                  <w:r>
                    <w:t xml:space="preserve">     Other</w:t>
                  </w:r>
                </w:p>
              </w:tc>
              <w:tc>
                <w:tcPr>
                  <w:tcW w:w="630" w:type="dxa"/>
                </w:tcPr>
                <w:p w14:paraId="2891941E" w14:textId="77777777" w:rsidR="00FC22CD" w:rsidRDefault="00000000">
                  <w:pPr>
                    <w:pStyle w:val="Compact"/>
                    <w:jc w:val="center"/>
                  </w:pPr>
                  <w:r>
                    <w:t>40</w:t>
                  </w:r>
                </w:p>
              </w:tc>
              <w:tc>
                <w:tcPr>
                  <w:tcW w:w="810" w:type="dxa"/>
                </w:tcPr>
                <w:p w14:paraId="73EC1D7C" w14:textId="77777777" w:rsidR="00FC22CD" w:rsidRDefault="00000000">
                  <w:pPr>
                    <w:pStyle w:val="Compact"/>
                    <w:jc w:val="center"/>
                  </w:pPr>
                  <w:r>
                    <w:t>26.5</w:t>
                  </w:r>
                </w:p>
              </w:tc>
              <w:tc>
                <w:tcPr>
                  <w:tcW w:w="1080" w:type="dxa"/>
                </w:tcPr>
                <w:p w14:paraId="44340F0A" w14:textId="77777777" w:rsidR="00FC22CD" w:rsidRDefault="00FC22CD">
                  <w:pPr>
                    <w:pStyle w:val="Compact"/>
                  </w:pPr>
                </w:p>
              </w:tc>
              <w:tc>
                <w:tcPr>
                  <w:tcW w:w="1170" w:type="dxa"/>
                </w:tcPr>
                <w:p w14:paraId="1C31C92D" w14:textId="77777777" w:rsidR="00FC22CD" w:rsidRDefault="00FC22CD">
                  <w:pPr>
                    <w:pStyle w:val="Compact"/>
                  </w:pPr>
                </w:p>
              </w:tc>
              <w:tc>
                <w:tcPr>
                  <w:tcW w:w="1595" w:type="dxa"/>
                  <w:gridSpan w:val="2"/>
                </w:tcPr>
                <w:p w14:paraId="3CFF9552" w14:textId="77777777" w:rsidR="00FC22CD" w:rsidRDefault="00FC22CD">
                  <w:pPr>
                    <w:pStyle w:val="Compact"/>
                  </w:pPr>
                </w:p>
              </w:tc>
            </w:tr>
            <w:tr w:rsidR="00FC22CD" w14:paraId="2E3BE840" w14:textId="77777777" w:rsidTr="00A14839">
              <w:trPr>
                <w:gridAfter w:val="1"/>
                <w:wAfter w:w="6" w:type="dxa"/>
              </w:trPr>
              <w:tc>
                <w:tcPr>
                  <w:tcW w:w="9599" w:type="dxa"/>
                  <w:gridSpan w:val="6"/>
                </w:tcPr>
                <w:p w14:paraId="6D81F90A" w14:textId="77777777" w:rsidR="00FC22CD" w:rsidRDefault="00000000" w:rsidP="00A14839">
                  <w:pPr>
                    <w:pStyle w:val="Compact"/>
                  </w:pPr>
                  <w:r>
                    <w:t>Received Medication for Alcohol Use Disorder</w:t>
                  </w:r>
                </w:p>
              </w:tc>
            </w:tr>
            <w:tr w:rsidR="00A14839" w14:paraId="0F349230" w14:textId="77777777" w:rsidTr="00A14839">
              <w:tc>
                <w:tcPr>
                  <w:tcW w:w="4320" w:type="dxa"/>
                </w:tcPr>
                <w:p w14:paraId="4B499D37" w14:textId="79B043EF" w:rsidR="00FC22CD" w:rsidRDefault="00DC42EF" w:rsidP="00A14839">
                  <w:pPr>
                    <w:pStyle w:val="Compact"/>
                  </w:pPr>
                  <w:r>
                    <w:t xml:space="preserve">     Yes</w:t>
                  </w:r>
                </w:p>
              </w:tc>
              <w:tc>
                <w:tcPr>
                  <w:tcW w:w="630" w:type="dxa"/>
                </w:tcPr>
                <w:p w14:paraId="62212923" w14:textId="77777777" w:rsidR="00FC22CD" w:rsidRDefault="00000000">
                  <w:pPr>
                    <w:pStyle w:val="Compact"/>
                    <w:jc w:val="center"/>
                  </w:pPr>
                  <w:r>
                    <w:t>59</w:t>
                  </w:r>
                </w:p>
              </w:tc>
              <w:tc>
                <w:tcPr>
                  <w:tcW w:w="810" w:type="dxa"/>
                </w:tcPr>
                <w:p w14:paraId="2D33FB9B" w14:textId="77777777" w:rsidR="00FC22CD" w:rsidRDefault="00000000">
                  <w:pPr>
                    <w:pStyle w:val="Compact"/>
                    <w:jc w:val="center"/>
                  </w:pPr>
                  <w:r>
                    <w:t>39.1</w:t>
                  </w:r>
                </w:p>
              </w:tc>
              <w:tc>
                <w:tcPr>
                  <w:tcW w:w="1080" w:type="dxa"/>
                </w:tcPr>
                <w:p w14:paraId="3E48459F" w14:textId="77777777" w:rsidR="00FC22CD" w:rsidRDefault="00FC22CD">
                  <w:pPr>
                    <w:pStyle w:val="Compact"/>
                  </w:pPr>
                </w:p>
              </w:tc>
              <w:tc>
                <w:tcPr>
                  <w:tcW w:w="1170" w:type="dxa"/>
                </w:tcPr>
                <w:p w14:paraId="75A3B635" w14:textId="77777777" w:rsidR="00FC22CD" w:rsidRDefault="00FC22CD">
                  <w:pPr>
                    <w:pStyle w:val="Compact"/>
                  </w:pPr>
                </w:p>
              </w:tc>
              <w:tc>
                <w:tcPr>
                  <w:tcW w:w="1595" w:type="dxa"/>
                  <w:gridSpan w:val="2"/>
                </w:tcPr>
                <w:p w14:paraId="2491FA1B" w14:textId="77777777" w:rsidR="00FC22CD" w:rsidRDefault="00FC22CD">
                  <w:pPr>
                    <w:pStyle w:val="Compact"/>
                  </w:pPr>
                </w:p>
              </w:tc>
            </w:tr>
            <w:tr w:rsidR="00A14839" w14:paraId="32F291D7" w14:textId="77777777" w:rsidTr="00A14839">
              <w:tc>
                <w:tcPr>
                  <w:tcW w:w="4320" w:type="dxa"/>
                </w:tcPr>
                <w:p w14:paraId="6ED8EDA3" w14:textId="6056B611" w:rsidR="00FC22CD" w:rsidRDefault="00DC42EF" w:rsidP="00A14839">
                  <w:pPr>
                    <w:pStyle w:val="Compact"/>
                  </w:pPr>
                  <w:r>
                    <w:t xml:space="preserve">     No</w:t>
                  </w:r>
                </w:p>
              </w:tc>
              <w:tc>
                <w:tcPr>
                  <w:tcW w:w="630" w:type="dxa"/>
                </w:tcPr>
                <w:p w14:paraId="13217AE2" w14:textId="77777777" w:rsidR="00FC22CD" w:rsidRDefault="00000000">
                  <w:pPr>
                    <w:pStyle w:val="Compact"/>
                    <w:jc w:val="center"/>
                  </w:pPr>
                  <w:r>
                    <w:t>92</w:t>
                  </w:r>
                </w:p>
              </w:tc>
              <w:tc>
                <w:tcPr>
                  <w:tcW w:w="810" w:type="dxa"/>
                </w:tcPr>
                <w:p w14:paraId="0673DC8A" w14:textId="77777777" w:rsidR="00FC22CD" w:rsidRDefault="00000000">
                  <w:pPr>
                    <w:pStyle w:val="Compact"/>
                    <w:jc w:val="center"/>
                  </w:pPr>
                  <w:r>
                    <w:t>60.9</w:t>
                  </w:r>
                </w:p>
              </w:tc>
              <w:tc>
                <w:tcPr>
                  <w:tcW w:w="1080" w:type="dxa"/>
                </w:tcPr>
                <w:p w14:paraId="25E04299" w14:textId="77777777" w:rsidR="00FC22CD" w:rsidRDefault="00FC22CD">
                  <w:pPr>
                    <w:pStyle w:val="Compact"/>
                  </w:pPr>
                </w:p>
              </w:tc>
              <w:tc>
                <w:tcPr>
                  <w:tcW w:w="1170" w:type="dxa"/>
                </w:tcPr>
                <w:p w14:paraId="27679E5B" w14:textId="77777777" w:rsidR="00FC22CD" w:rsidRDefault="00FC22CD">
                  <w:pPr>
                    <w:pStyle w:val="Compact"/>
                  </w:pPr>
                </w:p>
              </w:tc>
              <w:tc>
                <w:tcPr>
                  <w:tcW w:w="1595" w:type="dxa"/>
                  <w:gridSpan w:val="2"/>
                </w:tcPr>
                <w:p w14:paraId="4D32DA6E" w14:textId="77777777" w:rsidR="00FC22CD" w:rsidRDefault="00FC22CD">
                  <w:pPr>
                    <w:pStyle w:val="Compact"/>
                  </w:pPr>
                </w:p>
              </w:tc>
            </w:tr>
            <w:tr w:rsidR="00FC22CD" w14:paraId="7051F32D" w14:textId="77777777" w:rsidTr="00A14839">
              <w:trPr>
                <w:gridAfter w:val="1"/>
                <w:wAfter w:w="6" w:type="dxa"/>
              </w:trPr>
              <w:tc>
                <w:tcPr>
                  <w:tcW w:w="9599" w:type="dxa"/>
                  <w:gridSpan w:val="6"/>
                </w:tcPr>
                <w:p w14:paraId="1ED1C3D1" w14:textId="77777777" w:rsidR="00FC22CD" w:rsidRDefault="00000000" w:rsidP="00A14839">
                  <w:pPr>
                    <w:pStyle w:val="Compact"/>
                  </w:pPr>
                  <w:r>
                    <w:t>Current (Past 3 Month) Drug Use</w:t>
                  </w:r>
                </w:p>
              </w:tc>
            </w:tr>
            <w:tr w:rsidR="00A14839" w14:paraId="3994E95E" w14:textId="77777777" w:rsidTr="00A14839">
              <w:tc>
                <w:tcPr>
                  <w:tcW w:w="4320" w:type="dxa"/>
                </w:tcPr>
                <w:p w14:paraId="59E19165" w14:textId="77777777" w:rsidR="00C36B4C" w:rsidRDefault="00C36B4C" w:rsidP="00C36B4C">
                  <w:pPr>
                    <w:pStyle w:val="Compact"/>
                    <w:spacing w:after="0"/>
                  </w:pPr>
                  <w:r>
                    <w:t xml:space="preserve">     </w:t>
                  </w:r>
                  <w:r w:rsidR="00000000">
                    <w:t xml:space="preserve">Tobacco products (cigarettes, </w:t>
                  </w:r>
                </w:p>
                <w:p w14:paraId="12EB05C7" w14:textId="4D00AFCA" w:rsidR="00FC22CD" w:rsidRDefault="00C36B4C" w:rsidP="00A14839">
                  <w:pPr>
                    <w:pStyle w:val="Compact"/>
                  </w:pPr>
                  <w:r>
                    <w:t xml:space="preserve">     </w:t>
                  </w:r>
                  <w:r w:rsidR="00000000">
                    <w:t>chewing tobacco, cigars, etc.)</w:t>
                  </w:r>
                </w:p>
              </w:tc>
              <w:tc>
                <w:tcPr>
                  <w:tcW w:w="630" w:type="dxa"/>
                </w:tcPr>
                <w:p w14:paraId="5D4963A8" w14:textId="77777777" w:rsidR="00FC22CD" w:rsidRDefault="00000000">
                  <w:pPr>
                    <w:pStyle w:val="Compact"/>
                    <w:jc w:val="center"/>
                  </w:pPr>
                  <w:r>
                    <w:t>84</w:t>
                  </w:r>
                </w:p>
              </w:tc>
              <w:tc>
                <w:tcPr>
                  <w:tcW w:w="810" w:type="dxa"/>
                </w:tcPr>
                <w:p w14:paraId="6380FEFE" w14:textId="77777777" w:rsidR="00FC22CD" w:rsidRDefault="00000000">
                  <w:pPr>
                    <w:pStyle w:val="Compact"/>
                    <w:jc w:val="center"/>
                  </w:pPr>
                  <w:r>
                    <w:t>55.6</w:t>
                  </w:r>
                </w:p>
              </w:tc>
              <w:tc>
                <w:tcPr>
                  <w:tcW w:w="1080" w:type="dxa"/>
                </w:tcPr>
                <w:p w14:paraId="66C343BE" w14:textId="77777777" w:rsidR="00FC22CD" w:rsidRDefault="00FC22CD">
                  <w:pPr>
                    <w:pStyle w:val="Compact"/>
                  </w:pPr>
                </w:p>
              </w:tc>
              <w:tc>
                <w:tcPr>
                  <w:tcW w:w="1170" w:type="dxa"/>
                </w:tcPr>
                <w:p w14:paraId="6C0AB852" w14:textId="77777777" w:rsidR="00FC22CD" w:rsidRDefault="00FC22CD">
                  <w:pPr>
                    <w:pStyle w:val="Compact"/>
                  </w:pPr>
                </w:p>
              </w:tc>
              <w:tc>
                <w:tcPr>
                  <w:tcW w:w="1595" w:type="dxa"/>
                  <w:gridSpan w:val="2"/>
                </w:tcPr>
                <w:p w14:paraId="724E1BFF" w14:textId="77777777" w:rsidR="00FC22CD" w:rsidRDefault="00FC22CD">
                  <w:pPr>
                    <w:pStyle w:val="Compact"/>
                  </w:pPr>
                </w:p>
              </w:tc>
            </w:tr>
            <w:tr w:rsidR="00A14839" w14:paraId="7D93629E" w14:textId="77777777" w:rsidTr="00A14839">
              <w:tc>
                <w:tcPr>
                  <w:tcW w:w="4320" w:type="dxa"/>
                </w:tcPr>
                <w:p w14:paraId="7ADF5D82" w14:textId="77777777" w:rsidR="00C36B4C" w:rsidRDefault="00C36B4C" w:rsidP="00C36B4C">
                  <w:pPr>
                    <w:pStyle w:val="Compact"/>
                    <w:spacing w:after="0"/>
                  </w:pPr>
                  <w:r>
                    <w:t xml:space="preserve">     </w:t>
                  </w:r>
                  <w:r w:rsidR="00000000">
                    <w:t xml:space="preserve">Cannabis (marijuana, pot, grass, </w:t>
                  </w:r>
                </w:p>
                <w:p w14:paraId="20C98C00" w14:textId="7DB12E14" w:rsidR="00FC22CD" w:rsidRDefault="00C36B4C" w:rsidP="00A14839">
                  <w:pPr>
                    <w:pStyle w:val="Compact"/>
                  </w:pPr>
                  <w:r>
                    <w:t xml:space="preserve">     </w:t>
                  </w:r>
                  <w:r w:rsidR="00000000">
                    <w:t>hash, etc.)</w:t>
                  </w:r>
                </w:p>
              </w:tc>
              <w:tc>
                <w:tcPr>
                  <w:tcW w:w="630" w:type="dxa"/>
                </w:tcPr>
                <w:p w14:paraId="6F0C8F19" w14:textId="77777777" w:rsidR="00FC22CD" w:rsidRDefault="00000000">
                  <w:pPr>
                    <w:pStyle w:val="Compact"/>
                    <w:jc w:val="center"/>
                  </w:pPr>
                  <w:r>
                    <w:t>66</w:t>
                  </w:r>
                </w:p>
              </w:tc>
              <w:tc>
                <w:tcPr>
                  <w:tcW w:w="810" w:type="dxa"/>
                </w:tcPr>
                <w:p w14:paraId="4FDAADA3" w14:textId="77777777" w:rsidR="00FC22CD" w:rsidRDefault="00000000">
                  <w:pPr>
                    <w:pStyle w:val="Compact"/>
                    <w:jc w:val="center"/>
                  </w:pPr>
                  <w:r>
                    <w:t>43.7</w:t>
                  </w:r>
                </w:p>
              </w:tc>
              <w:tc>
                <w:tcPr>
                  <w:tcW w:w="1080" w:type="dxa"/>
                </w:tcPr>
                <w:p w14:paraId="1344344A" w14:textId="77777777" w:rsidR="00FC22CD" w:rsidRDefault="00FC22CD">
                  <w:pPr>
                    <w:pStyle w:val="Compact"/>
                  </w:pPr>
                </w:p>
              </w:tc>
              <w:tc>
                <w:tcPr>
                  <w:tcW w:w="1170" w:type="dxa"/>
                </w:tcPr>
                <w:p w14:paraId="3A96A7D7" w14:textId="77777777" w:rsidR="00FC22CD" w:rsidRDefault="00FC22CD">
                  <w:pPr>
                    <w:pStyle w:val="Compact"/>
                  </w:pPr>
                </w:p>
              </w:tc>
              <w:tc>
                <w:tcPr>
                  <w:tcW w:w="1595" w:type="dxa"/>
                  <w:gridSpan w:val="2"/>
                </w:tcPr>
                <w:p w14:paraId="40B1BC58" w14:textId="77777777" w:rsidR="00FC22CD" w:rsidRDefault="00FC22CD">
                  <w:pPr>
                    <w:pStyle w:val="Compact"/>
                  </w:pPr>
                </w:p>
              </w:tc>
            </w:tr>
            <w:tr w:rsidR="00A14839" w14:paraId="18DFDD25" w14:textId="77777777" w:rsidTr="00A14839">
              <w:tc>
                <w:tcPr>
                  <w:tcW w:w="4320" w:type="dxa"/>
                </w:tcPr>
                <w:p w14:paraId="1A3B41C2" w14:textId="55F81891" w:rsidR="00FC22CD" w:rsidRDefault="00C36B4C" w:rsidP="00A14839">
                  <w:pPr>
                    <w:pStyle w:val="Compact"/>
                  </w:pPr>
                  <w:r>
                    <w:t xml:space="preserve">     </w:t>
                  </w:r>
                  <w:r w:rsidR="00000000">
                    <w:t>Cocaine (coke, crack, etc.)</w:t>
                  </w:r>
                </w:p>
              </w:tc>
              <w:tc>
                <w:tcPr>
                  <w:tcW w:w="630" w:type="dxa"/>
                </w:tcPr>
                <w:p w14:paraId="6E567AC7" w14:textId="77777777" w:rsidR="00FC22CD" w:rsidRDefault="00000000">
                  <w:pPr>
                    <w:pStyle w:val="Compact"/>
                    <w:jc w:val="center"/>
                  </w:pPr>
                  <w:r>
                    <w:t>18</w:t>
                  </w:r>
                </w:p>
              </w:tc>
              <w:tc>
                <w:tcPr>
                  <w:tcW w:w="810" w:type="dxa"/>
                </w:tcPr>
                <w:p w14:paraId="06B11331" w14:textId="77777777" w:rsidR="00FC22CD" w:rsidRDefault="00000000">
                  <w:pPr>
                    <w:pStyle w:val="Compact"/>
                    <w:jc w:val="center"/>
                  </w:pPr>
                  <w:r>
                    <w:t>11.9</w:t>
                  </w:r>
                </w:p>
              </w:tc>
              <w:tc>
                <w:tcPr>
                  <w:tcW w:w="1080" w:type="dxa"/>
                </w:tcPr>
                <w:p w14:paraId="5239EBAF" w14:textId="77777777" w:rsidR="00FC22CD" w:rsidRDefault="00FC22CD">
                  <w:pPr>
                    <w:pStyle w:val="Compact"/>
                  </w:pPr>
                </w:p>
              </w:tc>
              <w:tc>
                <w:tcPr>
                  <w:tcW w:w="1170" w:type="dxa"/>
                </w:tcPr>
                <w:p w14:paraId="13136AD9" w14:textId="77777777" w:rsidR="00FC22CD" w:rsidRDefault="00FC22CD">
                  <w:pPr>
                    <w:pStyle w:val="Compact"/>
                  </w:pPr>
                </w:p>
              </w:tc>
              <w:tc>
                <w:tcPr>
                  <w:tcW w:w="1595" w:type="dxa"/>
                  <w:gridSpan w:val="2"/>
                </w:tcPr>
                <w:p w14:paraId="6AF6CB3D" w14:textId="77777777" w:rsidR="00FC22CD" w:rsidRDefault="00FC22CD">
                  <w:pPr>
                    <w:pStyle w:val="Compact"/>
                  </w:pPr>
                </w:p>
              </w:tc>
            </w:tr>
            <w:tr w:rsidR="00A14839" w14:paraId="38E27691" w14:textId="77777777" w:rsidTr="00A14839">
              <w:tc>
                <w:tcPr>
                  <w:tcW w:w="4320" w:type="dxa"/>
                </w:tcPr>
                <w:p w14:paraId="7DB84035" w14:textId="77777777" w:rsidR="00C36B4C" w:rsidRDefault="00C36B4C" w:rsidP="00C36B4C">
                  <w:pPr>
                    <w:pStyle w:val="Compact"/>
                    <w:spacing w:after="0"/>
                  </w:pPr>
                  <w:r>
                    <w:t xml:space="preserve">     </w:t>
                  </w:r>
                  <w:r w:rsidR="00000000">
                    <w:t xml:space="preserve">Amphetamine type stimulants </w:t>
                  </w:r>
                </w:p>
                <w:p w14:paraId="5F33A331" w14:textId="2A19A6EF" w:rsidR="00FC22CD" w:rsidRDefault="00C36B4C" w:rsidP="00A14839">
                  <w:pPr>
                    <w:pStyle w:val="Compact"/>
                  </w:pPr>
                  <w:r>
                    <w:lastRenderedPageBreak/>
                    <w:t xml:space="preserve">     </w:t>
                  </w:r>
                  <w:r w:rsidR="00000000">
                    <w:t>(speed, diet pills, ecstasy, etc.)</w:t>
                  </w:r>
                </w:p>
              </w:tc>
              <w:tc>
                <w:tcPr>
                  <w:tcW w:w="630" w:type="dxa"/>
                </w:tcPr>
                <w:p w14:paraId="5B0864F8" w14:textId="77777777" w:rsidR="00FC22CD" w:rsidRDefault="00000000">
                  <w:pPr>
                    <w:pStyle w:val="Compact"/>
                    <w:jc w:val="center"/>
                  </w:pPr>
                  <w:r>
                    <w:lastRenderedPageBreak/>
                    <w:t>15</w:t>
                  </w:r>
                </w:p>
              </w:tc>
              <w:tc>
                <w:tcPr>
                  <w:tcW w:w="810" w:type="dxa"/>
                </w:tcPr>
                <w:p w14:paraId="6C165396" w14:textId="77777777" w:rsidR="00FC22CD" w:rsidRDefault="00000000">
                  <w:pPr>
                    <w:pStyle w:val="Compact"/>
                    <w:jc w:val="center"/>
                  </w:pPr>
                  <w:r>
                    <w:t>9.9</w:t>
                  </w:r>
                </w:p>
              </w:tc>
              <w:tc>
                <w:tcPr>
                  <w:tcW w:w="1080" w:type="dxa"/>
                </w:tcPr>
                <w:p w14:paraId="2F918500" w14:textId="77777777" w:rsidR="00FC22CD" w:rsidRDefault="00FC22CD">
                  <w:pPr>
                    <w:pStyle w:val="Compact"/>
                  </w:pPr>
                </w:p>
              </w:tc>
              <w:tc>
                <w:tcPr>
                  <w:tcW w:w="1170" w:type="dxa"/>
                </w:tcPr>
                <w:p w14:paraId="7CA80CDD" w14:textId="77777777" w:rsidR="00FC22CD" w:rsidRDefault="00FC22CD">
                  <w:pPr>
                    <w:pStyle w:val="Compact"/>
                  </w:pPr>
                </w:p>
              </w:tc>
              <w:tc>
                <w:tcPr>
                  <w:tcW w:w="1595" w:type="dxa"/>
                  <w:gridSpan w:val="2"/>
                </w:tcPr>
                <w:p w14:paraId="56027F82" w14:textId="77777777" w:rsidR="00FC22CD" w:rsidRDefault="00FC22CD">
                  <w:pPr>
                    <w:pStyle w:val="Compact"/>
                  </w:pPr>
                </w:p>
              </w:tc>
            </w:tr>
            <w:tr w:rsidR="00A14839" w14:paraId="4BD7C357" w14:textId="77777777" w:rsidTr="00A14839">
              <w:tc>
                <w:tcPr>
                  <w:tcW w:w="4320" w:type="dxa"/>
                </w:tcPr>
                <w:p w14:paraId="2551A626" w14:textId="77777777" w:rsidR="00C36B4C" w:rsidRDefault="00C36B4C" w:rsidP="00C36B4C">
                  <w:pPr>
                    <w:pStyle w:val="Compact"/>
                    <w:spacing w:after="0"/>
                  </w:pPr>
                  <w:r>
                    <w:t xml:space="preserve">     </w:t>
                  </w:r>
                  <w:r w:rsidR="00000000">
                    <w:t xml:space="preserve">Inhalants (nitrous, glue, petrol, paint </w:t>
                  </w:r>
                </w:p>
                <w:p w14:paraId="62EB786F" w14:textId="2CF1711E" w:rsidR="00FC22CD" w:rsidRDefault="00C36B4C" w:rsidP="00A14839">
                  <w:pPr>
                    <w:pStyle w:val="Compact"/>
                  </w:pPr>
                  <w:r>
                    <w:t xml:space="preserve">     </w:t>
                  </w:r>
                  <w:r w:rsidR="00000000">
                    <w:t>thinner, etc.)</w:t>
                  </w:r>
                </w:p>
              </w:tc>
              <w:tc>
                <w:tcPr>
                  <w:tcW w:w="630" w:type="dxa"/>
                </w:tcPr>
                <w:p w14:paraId="7E781968" w14:textId="77777777" w:rsidR="00FC22CD" w:rsidRDefault="00000000">
                  <w:pPr>
                    <w:pStyle w:val="Compact"/>
                    <w:jc w:val="center"/>
                  </w:pPr>
                  <w:r>
                    <w:t>3</w:t>
                  </w:r>
                </w:p>
              </w:tc>
              <w:tc>
                <w:tcPr>
                  <w:tcW w:w="810" w:type="dxa"/>
                </w:tcPr>
                <w:p w14:paraId="607397E0" w14:textId="77777777" w:rsidR="00FC22CD" w:rsidRDefault="00000000">
                  <w:pPr>
                    <w:pStyle w:val="Compact"/>
                    <w:jc w:val="center"/>
                  </w:pPr>
                  <w:r>
                    <w:t>2.0</w:t>
                  </w:r>
                </w:p>
              </w:tc>
              <w:tc>
                <w:tcPr>
                  <w:tcW w:w="1080" w:type="dxa"/>
                </w:tcPr>
                <w:p w14:paraId="4D965832" w14:textId="77777777" w:rsidR="00FC22CD" w:rsidRDefault="00FC22CD">
                  <w:pPr>
                    <w:pStyle w:val="Compact"/>
                  </w:pPr>
                </w:p>
              </w:tc>
              <w:tc>
                <w:tcPr>
                  <w:tcW w:w="1170" w:type="dxa"/>
                </w:tcPr>
                <w:p w14:paraId="1BC25E9E" w14:textId="77777777" w:rsidR="00FC22CD" w:rsidRDefault="00FC22CD">
                  <w:pPr>
                    <w:pStyle w:val="Compact"/>
                  </w:pPr>
                </w:p>
              </w:tc>
              <w:tc>
                <w:tcPr>
                  <w:tcW w:w="1595" w:type="dxa"/>
                  <w:gridSpan w:val="2"/>
                </w:tcPr>
                <w:p w14:paraId="0AB48ED2" w14:textId="77777777" w:rsidR="00FC22CD" w:rsidRDefault="00FC22CD">
                  <w:pPr>
                    <w:pStyle w:val="Compact"/>
                  </w:pPr>
                </w:p>
              </w:tc>
            </w:tr>
            <w:tr w:rsidR="00A14839" w14:paraId="15B7BE06" w14:textId="77777777" w:rsidTr="00A14839">
              <w:tc>
                <w:tcPr>
                  <w:tcW w:w="4320" w:type="dxa"/>
                </w:tcPr>
                <w:p w14:paraId="75773230" w14:textId="77777777" w:rsidR="00C36B4C" w:rsidRDefault="00C36B4C" w:rsidP="00C36B4C">
                  <w:pPr>
                    <w:pStyle w:val="Compact"/>
                    <w:spacing w:after="0"/>
                  </w:pPr>
                  <w:r>
                    <w:t xml:space="preserve">     </w:t>
                  </w:r>
                  <w:r w:rsidR="00000000">
                    <w:t xml:space="preserve">Sedatives or sleeping pills (Valium, </w:t>
                  </w:r>
                </w:p>
                <w:p w14:paraId="2F6DAB29" w14:textId="16D529BB" w:rsidR="00FC22CD" w:rsidRDefault="00C36B4C" w:rsidP="00A14839">
                  <w:pPr>
                    <w:pStyle w:val="Compact"/>
                  </w:pPr>
                  <w:r>
                    <w:t xml:space="preserve">     </w:t>
                  </w:r>
                  <w:proofErr w:type="spellStart"/>
                  <w:r w:rsidR="00000000">
                    <w:t>Serepax</w:t>
                  </w:r>
                  <w:proofErr w:type="spellEnd"/>
                  <w:r w:rsidR="00000000">
                    <w:t>, Rohypnol, etc.)</w:t>
                  </w:r>
                </w:p>
              </w:tc>
              <w:tc>
                <w:tcPr>
                  <w:tcW w:w="630" w:type="dxa"/>
                </w:tcPr>
                <w:p w14:paraId="1D4C1379" w14:textId="77777777" w:rsidR="00FC22CD" w:rsidRDefault="00000000">
                  <w:pPr>
                    <w:pStyle w:val="Compact"/>
                    <w:jc w:val="center"/>
                  </w:pPr>
                  <w:r>
                    <w:t>22</w:t>
                  </w:r>
                </w:p>
              </w:tc>
              <w:tc>
                <w:tcPr>
                  <w:tcW w:w="810" w:type="dxa"/>
                </w:tcPr>
                <w:p w14:paraId="0A93B8B1" w14:textId="77777777" w:rsidR="00FC22CD" w:rsidRDefault="00000000">
                  <w:pPr>
                    <w:pStyle w:val="Compact"/>
                    <w:jc w:val="center"/>
                  </w:pPr>
                  <w:r>
                    <w:t>14.6</w:t>
                  </w:r>
                </w:p>
              </w:tc>
              <w:tc>
                <w:tcPr>
                  <w:tcW w:w="1080" w:type="dxa"/>
                </w:tcPr>
                <w:p w14:paraId="60210676" w14:textId="77777777" w:rsidR="00FC22CD" w:rsidRDefault="00FC22CD">
                  <w:pPr>
                    <w:pStyle w:val="Compact"/>
                  </w:pPr>
                </w:p>
              </w:tc>
              <w:tc>
                <w:tcPr>
                  <w:tcW w:w="1170" w:type="dxa"/>
                </w:tcPr>
                <w:p w14:paraId="6E01C47E" w14:textId="77777777" w:rsidR="00FC22CD" w:rsidRDefault="00FC22CD">
                  <w:pPr>
                    <w:pStyle w:val="Compact"/>
                  </w:pPr>
                </w:p>
              </w:tc>
              <w:tc>
                <w:tcPr>
                  <w:tcW w:w="1595" w:type="dxa"/>
                  <w:gridSpan w:val="2"/>
                </w:tcPr>
                <w:p w14:paraId="54DBF7A1" w14:textId="77777777" w:rsidR="00FC22CD" w:rsidRDefault="00FC22CD">
                  <w:pPr>
                    <w:pStyle w:val="Compact"/>
                  </w:pPr>
                </w:p>
              </w:tc>
            </w:tr>
            <w:tr w:rsidR="00A14839" w14:paraId="7417141D" w14:textId="77777777" w:rsidTr="00A14839">
              <w:tc>
                <w:tcPr>
                  <w:tcW w:w="4320" w:type="dxa"/>
                </w:tcPr>
                <w:p w14:paraId="7602DCE6" w14:textId="77777777" w:rsidR="00C36B4C" w:rsidRDefault="00C36B4C" w:rsidP="00C36B4C">
                  <w:pPr>
                    <w:pStyle w:val="Compact"/>
                    <w:spacing w:after="0"/>
                  </w:pPr>
                  <w:r>
                    <w:t xml:space="preserve">     </w:t>
                  </w:r>
                  <w:r w:rsidR="00000000">
                    <w:t xml:space="preserve">Hallucinogens (LSD, acid, </w:t>
                  </w:r>
                </w:p>
                <w:p w14:paraId="45019A30" w14:textId="62A6A364" w:rsidR="00FC22CD" w:rsidRDefault="00C36B4C" w:rsidP="00A14839">
                  <w:pPr>
                    <w:pStyle w:val="Compact"/>
                  </w:pPr>
                  <w:r>
                    <w:t xml:space="preserve">     </w:t>
                  </w:r>
                  <w:r w:rsidR="00000000">
                    <w:t>mushrooms, PCP, Special K, etc.)</w:t>
                  </w:r>
                </w:p>
              </w:tc>
              <w:tc>
                <w:tcPr>
                  <w:tcW w:w="630" w:type="dxa"/>
                </w:tcPr>
                <w:p w14:paraId="6984EB24" w14:textId="77777777" w:rsidR="00FC22CD" w:rsidRDefault="00000000">
                  <w:pPr>
                    <w:pStyle w:val="Compact"/>
                    <w:jc w:val="center"/>
                  </w:pPr>
                  <w:r>
                    <w:t>14</w:t>
                  </w:r>
                </w:p>
              </w:tc>
              <w:tc>
                <w:tcPr>
                  <w:tcW w:w="810" w:type="dxa"/>
                </w:tcPr>
                <w:p w14:paraId="2B3DBDC3" w14:textId="77777777" w:rsidR="00FC22CD" w:rsidRDefault="00000000">
                  <w:pPr>
                    <w:pStyle w:val="Compact"/>
                    <w:jc w:val="center"/>
                  </w:pPr>
                  <w:r>
                    <w:t>9.3</w:t>
                  </w:r>
                </w:p>
              </w:tc>
              <w:tc>
                <w:tcPr>
                  <w:tcW w:w="1080" w:type="dxa"/>
                </w:tcPr>
                <w:p w14:paraId="7AA5BB14" w14:textId="77777777" w:rsidR="00FC22CD" w:rsidRDefault="00FC22CD">
                  <w:pPr>
                    <w:pStyle w:val="Compact"/>
                  </w:pPr>
                </w:p>
              </w:tc>
              <w:tc>
                <w:tcPr>
                  <w:tcW w:w="1170" w:type="dxa"/>
                </w:tcPr>
                <w:p w14:paraId="4306D4EB" w14:textId="77777777" w:rsidR="00FC22CD" w:rsidRDefault="00FC22CD">
                  <w:pPr>
                    <w:pStyle w:val="Compact"/>
                  </w:pPr>
                </w:p>
              </w:tc>
              <w:tc>
                <w:tcPr>
                  <w:tcW w:w="1595" w:type="dxa"/>
                  <w:gridSpan w:val="2"/>
                </w:tcPr>
                <w:p w14:paraId="78230F83" w14:textId="77777777" w:rsidR="00FC22CD" w:rsidRDefault="00FC22CD">
                  <w:pPr>
                    <w:pStyle w:val="Compact"/>
                  </w:pPr>
                </w:p>
              </w:tc>
            </w:tr>
            <w:tr w:rsidR="00A14839" w14:paraId="02C2360B" w14:textId="77777777" w:rsidTr="00A14839">
              <w:tc>
                <w:tcPr>
                  <w:tcW w:w="4320" w:type="dxa"/>
                </w:tcPr>
                <w:p w14:paraId="676B87E1" w14:textId="77777777" w:rsidR="00C36B4C" w:rsidRDefault="00C36B4C" w:rsidP="00C36B4C">
                  <w:pPr>
                    <w:pStyle w:val="Compact"/>
                    <w:spacing w:after="0"/>
                  </w:pPr>
                  <w:r>
                    <w:t xml:space="preserve">     </w:t>
                  </w:r>
                  <w:r w:rsidR="00000000">
                    <w:t xml:space="preserve">Opioids (heroin, morphine, </w:t>
                  </w:r>
                </w:p>
                <w:p w14:paraId="346BA2BC" w14:textId="6341A32B" w:rsidR="00FC22CD" w:rsidRDefault="00C36B4C" w:rsidP="00A14839">
                  <w:pPr>
                    <w:pStyle w:val="Compact"/>
                  </w:pPr>
                  <w:r>
                    <w:t xml:space="preserve">     </w:t>
                  </w:r>
                  <w:r w:rsidR="00000000">
                    <w:t>methadone, codeine, etc.)</w:t>
                  </w:r>
                </w:p>
              </w:tc>
              <w:tc>
                <w:tcPr>
                  <w:tcW w:w="630" w:type="dxa"/>
                </w:tcPr>
                <w:p w14:paraId="204EC610" w14:textId="77777777" w:rsidR="00FC22CD" w:rsidRDefault="00000000">
                  <w:pPr>
                    <w:pStyle w:val="Compact"/>
                    <w:jc w:val="center"/>
                  </w:pPr>
                  <w:r>
                    <w:t>16</w:t>
                  </w:r>
                </w:p>
              </w:tc>
              <w:tc>
                <w:tcPr>
                  <w:tcW w:w="810" w:type="dxa"/>
                </w:tcPr>
                <w:p w14:paraId="09111D65" w14:textId="77777777" w:rsidR="00FC22CD" w:rsidRDefault="00000000">
                  <w:pPr>
                    <w:pStyle w:val="Compact"/>
                    <w:jc w:val="center"/>
                  </w:pPr>
                  <w:r>
                    <w:t>10.6</w:t>
                  </w:r>
                </w:p>
              </w:tc>
              <w:tc>
                <w:tcPr>
                  <w:tcW w:w="1080" w:type="dxa"/>
                </w:tcPr>
                <w:p w14:paraId="70A16D67" w14:textId="77777777" w:rsidR="00FC22CD" w:rsidRDefault="00FC22CD">
                  <w:pPr>
                    <w:pStyle w:val="Compact"/>
                  </w:pPr>
                </w:p>
              </w:tc>
              <w:tc>
                <w:tcPr>
                  <w:tcW w:w="1170" w:type="dxa"/>
                </w:tcPr>
                <w:p w14:paraId="7BEEEDB8" w14:textId="77777777" w:rsidR="00FC22CD" w:rsidRDefault="00FC22CD">
                  <w:pPr>
                    <w:pStyle w:val="Compact"/>
                  </w:pPr>
                </w:p>
              </w:tc>
              <w:tc>
                <w:tcPr>
                  <w:tcW w:w="1595" w:type="dxa"/>
                  <w:gridSpan w:val="2"/>
                </w:tcPr>
                <w:p w14:paraId="18229BDD" w14:textId="77777777" w:rsidR="00FC22CD" w:rsidRDefault="00FC22CD">
                  <w:pPr>
                    <w:pStyle w:val="Compact"/>
                  </w:pPr>
                </w:p>
              </w:tc>
            </w:tr>
            <w:tr w:rsidR="00A14839" w14:paraId="50BF26D8" w14:textId="77777777" w:rsidTr="00A14839">
              <w:tc>
                <w:tcPr>
                  <w:tcW w:w="4320" w:type="dxa"/>
                </w:tcPr>
                <w:p w14:paraId="6FA005C8" w14:textId="4EDBBEDF" w:rsidR="00FC22CD" w:rsidRDefault="00000000" w:rsidP="00A14839">
                  <w:pPr>
                    <w:pStyle w:val="Compact"/>
                  </w:pPr>
                  <w:r>
                    <w:t>Reported 1</w:t>
                  </w:r>
                  <w:r w:rsidR="00C36B4C">
                    <w:t>+</w:t>
                  </w:r>
                  <w:r>
                    <w:t xml:space="preserve"> Lapse During Study Period</w:t>
                  </w:r>
                </w:p>
              </w:tc>
              <w:tc>
                <w:tcPr>
                  <w:tcW w:w="630" w:type="dxa"/>
                </w:tcPr>
                <w:p w14:paraId="690AB5EE" w14:textId="77777777" w:rsidR="00FC22CD" w:rsidRDefault="00FC22CD">
                  <w:pPr>
                    <w:pStyle w:val="Compact"/>
                  </w:pPr>
                </w:p>
              </w:tc>
              <w:tc>
                <w:tcPr>
                  <w:tcW w:w="810" w:type="dxa"/>
                </w:tcPr>
                <w:p w14:paraId="5AF247FF" w14:textId="77777777" w:rsidR="00FC22CD" w:rsidRDefault="00FC22CD">
                  <w:pPr>
                    <w:pStyle w:val="Compact"/>
                  </w:pPr>
                </w:p>
              </w:tc>
              <w:tc>
                <w:tcPr>
                  <w:tcW w:w="1080" w:type="dxa"/>
                </w:tcPr>
                <w:p w14:paraId="1BC0E7FE" w14:textId="77777777" w:rsidR="00FC22CD" w:rsidRDefault="00FC22CD">
                  <w:pPr>
                    <w:pStyle w:val="Compact"/>
                  </w:pPr>
                </w:p>
              </w:tc>
              <w:tc>
                <w:tcPr>
                  <w:tcW w:w="1170" w:type="dxa"/>
                </w:tcPr>
                <w:p w14:paraId="5290B365" w14:textId="77777777" w:rsidR="00FC22CD" w:rsidRDefault="00FC22CD">
                  <w:pPr>
                    <w:pStyle w:val="Compact"/>
                  </w:pPr>
                </w:p>
              </w:tc>
              <w:tc>
                <w:tcPr>
                  <w:tcW w:w="1595" w:type="dxa"/>
                  <w:gridSpan w:val="2"/>
                </w:tcPr>
                <w:p w14:paraId="143F0568" w14:textId="77777777" w:rsidR="00FC22CD" w:rsidRDefault="00FC22CD">
                  <w:pPr>
                    <w:pStyle w:val="Compact"/>
                  </w:pPr>
                </w:p>
              </w:tc>
            </w:tr>
            <w:tr w:rsidR="00A14839" w14:paraId="1F9986C6" w14:textId="77777777" w:rsidTr="00A14839">
              <w:tc>
                <w:tcPr>
                  <w:tcW w:w="4320" w:type="dxa"/>
                </w:tcPr>
                <w:p w14:paraId="1CE6F0F5" w14:textId="3070151C" w:rsidR="00FC22CD" w:rsidRDefault="00DC42EF" w:rsidP="00A14839">
                  <w:pPr>
                    <w:pStyle w:val="Compact"/>
                  </w:pPr>
                  <w:r>
                    <w:t xml:space="preserve">     Yes</w:t>
                  </w:r>
                </w:p>
              </w:tc>
              <w:tc>
                <w:tcPr>
                  <w:tcW w:w="630" w:type="dxa"/>
                </w:tcPr>
                <w:p w14:paraId="62B6A292" w14:textId="77777777" w:rsidR="00FC22CD" w:rsidRDefault="00000000">
                  <w:pPr>
                    <w:pStyle w:val="Compact"/>
                    <w:jc w:val="center"/>
                  </w:pPr>
                  <w:r>
                    <w:t>84</w:t>
                  </w:r>
                </w:p>
              </w:tc>
              <w:tc>
                <w:tcPr>
                  <w:tcW w:w="810" w:type="dxa"/>
                </w:tcPr>
                <w:p w14:paraId="1387A464" w14:textId="77777777" w:rsidR="00FC22CD" w:rsidRDefault="00000000">
                  <w:pPr>
                    <w:pStyle w:val="Compact"/>
                    <w:jc w:val="center"/>
                  </w:pPr>
                  <w:r>
                    <w:t>55.6</w:t>
                  </w:r>
                </w:p>
              </w:tc>
              <w:tc>
                <w:tcPr>
                  <w:tcW w:w="1080" w:type="dxa"/>
                </w:tcPr>
                <w:p w14:paraId="55BA52A3" w14:textId="77777777" w:rsidR="00FC22CD" w:rsidRDefault="00FC22CD">
                  <w:pPr>
                    <w:pStyle w:val="Compact"/>
                  </w:pPr>
                </w:p>
              </w:tc>
              <w:tc>
                <w:tcPr>
                  <w:tcW w:w="1170" w:type="dxa"/>
                </w:tcPr>
                <w:p w14:paraId="68012DE6" w14:textId="77777777" w:rsidR="00FC22CD" w:rsidRDefault="00FC22CD">
                  <w:pPr>
                    <w:pStyle w:val="Compact"/>
                  </w:pPr>
                </w:p>
              </w:tc>
              <w:tc>
                <w:tcPr>
                  <w:tcW w:w="1595" w:type="dxa"/>
                  <w:gridSpan w:val="2"/>
                </w:tcPr>
                <w:p w14:paraId="104AC5F8" w14:textId="77777777" w:rsidR="00FC22CD" w:rsidRDefault="00FC22CD">
                  <w:pPr>
                    <w:pStyle w:val="Compact"/>
                  </w:pPr>
                </w:p>
              </w:tc>
            </w:tr>
            <w:tr w:rsidR="00A14839" w14:paraId="06F94F54" w14:textId="77777777" w:rsidTr="00A14839">
              <w:tc>
                <w:tcPr>
                  <w:tcW w:w="4320" w:type="dxa"/>
                </w:tcPr>
                <w:p w14:paraId="5FD41EF0" w14:textId="6343D72E" w:rsidR="00FC22CD" w:rsidRDefault="00DC42EF" w:rsidP="00A14839">
                  <w:pPr>
                    <w:pStyle w:val="Compact"/>
                  </w:pPr>
                  <w:r>
                    <w:t xml:space="preserve">     No</w:t>
                  </w:r>
                </w:p>
              </w:tc>
              <w:tc>
                <w:tcPr>
                  <w:tcW w:w="630" w:type="dxa"/>
                </w:tcPr>
                <w:p w14:paraId="67B3C230" w14:textId="77777777" w:rsidR="00FC22CD" w:rsidRDefault="00000000">
                  <w:pPr>
                    <w:pStyle w:val="Compact"/>
                    <w:jc w:val="center"/>
                  </w:pPr>
                  <w:r>
                    <w:t>67</w:t>
                  </w:r>
                </w:p>
              </w:tc>
              <w:tc>
                <w:tcPr>
                  <w:tcW w:w="810" w:type="dxa"/>
                </w:tcPr>
                <w:p w14:paraId="762DA5F1" w14:textId="77777777" w:rsidR="00FC22CD" w:rsidRDefault="00000000">
                  <w:pPr>
                    <w:pStyle w:val="Compact"/>
                    <w:jc w:val="center"/>
                  </w:pPr>
                  <w:r>
                    <w:t>44.4</w:t>
                  </w:r>
                </w:p>
              </w:tc>
              <w:tc>
                <w:tcPr>
                  <w:tcW w:w="1080" w:type="dxa"/>
                </w:tcPr>
                <w:p w14:paraId="50440E14" w14:textId="77777777" w:rsidR="00FC22CD" w:rsidRDefault="00FC22CD">
                  <w:pPr>
                    <w:pStyle w:val="Compact"/>
                  </w:pPr>
                </w:p>
              </w:tc>
              <w:tc>
                <w:tcPr>
                  <w:tcW w:w="1170" w:type="dxa"/>
                </w:tcPr>
                <w:p w14:paraId="5DDCF519" w14:textId="77777777" w:rsidR="00FC22CD" w:rsidRDefault="00FC22CD">
                  <w:pPr>
                    <w:pStyle w:val="Compact"/>
                  </w:pPr>
                </w:p>
              </w:tc>
              <w:tc>
                <w:tcPr>
                  <w:tcW w:w="1595" w:type="dxa"/>
                  <w:gridSpan w:val="2"/>
                </w:tcPr>
                <w:p w14:paraId="00B3A623" w14:textId="77777777" w:rsidR="00FC22CD" w:rsidRDefault="00FC22CD">
                  <w:pPr>
                    <w:pStyle w:val="Compact"/>
                  </w:pPr>
                </w:p>
              </w:tc>
            </w:tr>
            <w:tr w:rsidR="00A14839" w14:paraId="6C612111" w14:textId="77777777" w:rsidTr="00A14839">
              <w:tc>
                <w:tcPr>
                  <w:tcW w:w="4320" w:type="dxa"/>
                </w:tcPr>
                <w:p w14:paraId="25650F5A" w14:textId="77777777" w:rsidR="00FC22CD" w:rsidRDefault="00000000" w:rsidP="00A14839">
                  <w:pPr>
                    <w:pStyle w:val="Compact"/>
                  </w:pPr>
                  <w:r>
                    <w:t>Number of reported lapses</w:t>
                  </w:r>
                </w:p>
              </w:tc>
              <w:tc>
                <w:tcPr>
                  <w:tcW w:w="630" w:type="dxa"/>
                </w:tcPr>
                <w:p w14:paraId="310AB9C3" w14:textId="77777777" w:rsidR="00FC22CD" w:rsidRDefault="00FC22CD">
                  <w:pPr>
                    <w:pStyle w:val="Compact"/>
                  </w:pPr>
                </w:p>
              </w:tc>
              <w:tc>
                <w:tcPr>
                  <w:tcW w:w="810" w:type="dxa"/>
                </w:tcPr>
                <w:p w14:paraId="038549AB" w14:textId="77777777" w:rsidR="00FC22CD" w:rsidRDefault="00FC22CD">
                  <w:pPr>
                    <w:pStyle w:val="Compact"/>
                  </w:pPr>
                </w:p>
              </w:tc>
              <w:tc>
                <w:tcPr>
                  <w:tcW w:w="1080" w:type="dxa"/>
                </w:tcPr>
                <w:p w14:paraId="2B67DC75" w14:textId="77777777" w:rsidR="00FC22CD" w:rsidRDefault="00000000">
                  <w:pPr>
                    <w:pStyle w:val="Compact"/>
                    <w:jc w:val="center"/>
                  </w:pPr>
                  <w:r>
                    <w:t>6.8</w:t>
                  </w:r>
                </w:p>
              </w:tc>
              <w:tc>
                <w:tcPr>
                  <w:tcW w:w="1170" w:type="dxa"/>
                </w:tcPr>
                <w:p w14:paraId="4A814098" w14:textId="77777777" w:rsidR="00FC22CD" w:rsidRDefault="00000000">
                  <w:pPr>
                    <w:pStyle w:val="Compact"/>
                    <w:jc w:val="center"/>
                  </w:pPr>
                  <w:r>
                    <w:t>12</w:t>
                  </w:r>
                </w:p>
              </w:tc>
              <w:tc>
                <w:tcPr>
                  <w:tcW w:w="1595" w:type="dxa"/>
                  <w:gridSpan w:val="2"/>
                </w:tcPr>
                <w:p w14:paraId="5B97DF5F" w14:textId="77777777" w:rsidR="00FC22CD" w:rsidRDefault="00000000">
                  <w:pPr>
                    <w:pStyle w:val="Compact"/>
                    <w:jc w:val="center"/>
                  </w:pPr>
                  <w:r>
                    <w:t>0-75</w:t>
                  </w:r>
                </w:p>
              </w:tc>
            </w:tr>
            <w:tr w:rsidR="00A14839" w14:paraId="476EDDC6" w14:textId="77777777" w:rsidTr="00A14839">
              <w:tc>
                <w:tcPr>
                  <w:tcW w:w="4320" w:type="dxa"/>
                </w:tcPr>
                <w:p w14:paraId="653E760B" w14:textId="77777777" w:rsidR="00FC22CD" w:rsidRDefault="00000000" w:rsidP="00C36B4C">
                  <w:pPr>
                    <w:pStyle w:val="Compact"/>
                  </w:pPr>
                  <w:r>
                    <w:t xml:space="preserve">Note: </w:t>
                  </w:r>
                </w:p>
              </w:tc>
              <w:tc>
                <w:tcPr>
                  <w:tcW w:w="630" w:type="dxa"/>
                </w:tcPr>
                <w:p w14:paraId="2843815A" w14:textId="77777777" w:rsidR="00FC22CD" w:rsidRDefault="00FC22CD">
                  <w:pPr>
                    <w:pStyle w:val="Compact"/>
                  </w:pPr>
                </w:p>
              </w:tc>
              <w:tc>
                <w:tcPr>
                  <w:tcW w:w="810" w:type="dxa"/>
                </w:tcPr>
                <w:p w14:paraId="40C62F1D" w14:textId="77777777" w:rsidR="00FC22CD" w:rsidRDefault="00FC22CD">
                  <w:pPr>
                    <w:pStyle w:val="Compact"/>
                  </w:pPr>
                </w:p>
              </w:tc>
              <w:tc>
                <w:tcPr>
                  <w:tcW w:w="1080" w:type="dxa"/>
                </w:tcPr>
                <w:p w14:paraId="0E0A4813" w14:textId="77777777" w:rsidR="00FC22CD" w:rsidRDefault="00FC22CD">
                  <w:pPr>
                    <w:pStyle w:val="Compact"/>
                  </w:pPr>
                </w:p>
              </w:tc>
              <w:tc>
                <w:tcPr>
                  <w:tcW w:w="1170" w:type="dxa"/>
                </w:tcPr>
                <w:p w14:paraId="3B7BC0E4" w14:textId="77777777" w:rsidR="00FC22CD" w:rsidRDefault="00FC22CD">
                  <w:pPr>
                    <w:pStyle w:val="Compact"/>
                  </w:pPr>
                </w:p>
              </w:tc>
              <w:tc>
                <w:tcPr>
                  <w:tcW w:w="1595" w:type="dxa"/>
                  <w:gridSpan w:val="2"/>
                </w:tcPr>
                <w:p w14:paraId="15A3C951" w14:textId="77777777" w:rsidR="00FC22CD" w:rsidRDefault="00FC22CD">
                  <w:pPr>
                    <w:pStyle w:val="Compact"/>
                  </w:pPr>
                </w:p>
              </w:tc>
            </w:tr>
            <w:tr w:rsidR="00A14839" w14:paraId="277091AF" w14:textId="77777777" w:rsidTr="00A14839">
              <w:trPr>
                <w:gridAfter w:val="1"/>
                <w:wAfter w:w="6" w:type="dxa"/>
              </w:trPr>
              <w:tc>
                <w:tcPr>
                  <w:tcW w:w="9599" w:type="dxa"/>
                  <w:gridSpan w:val="6"/>
                </w:tcPr>
                <w:p w14:paraId="4ECCF219" w14:textId="5A61E5D5" w:rsidR="00A14839" w:rsidRDefault="00A14839">
                  <w:pPr>
                    <w:pStyle w:val="Compact"/>
                  </w:pPr>
                  <w:r>
                    <w:t xml:space="preserve"> N = 151</w:t>
                  </w:r>
                </w:p>
              </w:tc>
            </w:tr>
            <w:tr w:rsidR="00A14839" w14:paraId="53A1D09E" w14:textId="77777777" w:rsidTr="00A14839">
              <w:trPr>
                <w:gridAfter w:val="1"/>
                <w:wAfter w:w="6" w:type="dxa"/>
              </w:trPr>
              <w:tc>
                <w:tcPr>
                  <w:tcW w:w="9599" w:type="dxa"/>
                  <w:gridSpan w:val="6"/>
                </w:tcPr>
                <w:p w14:paraId="3BC36FB9" w14:textId="202D1E57" w:rsidR="00A14839" w:rsidRDefault="00A14839">
                  <w:pPr>
                    <w:pStyle w:val="Compact"/>
                  </w:pPr>
                  <w:r>
                    <w:t xml:space="preserve"> *Two participants reported 100 or more quit attempts. We removed these outliers prior to calculating the mean (M), standard deviation (SD), and range.</w:t>
                  </w:r>
                </w:p>
              </w:tc>
            </w:tr>
            <w:bookmarkEnd w:id="23"/>
          </w:tbl>
          <w:p w14:paraId="01CD1106" w14:textId="77777777" w:rsidR="00FC22CD" w:rsidRDefault="00FC22CD"/>
        </w:tc>
      </w:tr>
    </w:tbl>
    <w:p w14:paraId="0ADF6DF8" w14:textId="77777777" w:rsidR="00FC22CD" w:rsidRDefault="00000000">
      <w:pPr>
        <w:pStyle w:val="Heading2"/>
      </w:pPr>
      <w:bookmarkStart w:id="24" w:name="model-evaluation"/>
      <w:bookmarkEnd w:id="22"/>
      <w:r>
        <w:lastRenderedPageBreak/>
        <w:t>Model Evaluation</w:t>
      </w:r>
    </w:p>
    <w:p w14:paraId="388A772B" w14:textId="77777777" w:rsidR="00FC22CD" w:rsidRDefault="00FC22CD">
      <w:pPr>
        <w:pStyle w:val="FirstParagraph"/>
      </w:pPr>
      <w:hyperlink w:anchor="fig-pp">
        <w:r>
          <w:rPr>
            <w:rStyle w:val="Hyperlink"/>
          </w:rPr>
          <w:t>Figure 2</w:t>
        </w:r>
      </w:hyperlink>
      <w:r w:rsidR="00000000">
        <w:t xml:space="preserve"> 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w="5000" w:type="pct"/>
        <w:tblLayout w:type="fixed"/>
        <w:tblLook w:val="0000" w:firstRow="0" w:lastRow="0" w:firstColumn="0" w:lastColumn="0" w:noHBand="0" w:noVBand="0"/>
      </w:tblPr>
      <w:tblGrid>
        <w:gridCol w:w="9360"/>
      </w:tblGrid>
      <w:tr w:rsidR="00FC22CD" w14:paraId="4A3C1E13" w14:textId="77777777">
        <w:tc>
          <w:tcPr>
            <w:tcW w:w="7920" w:type="dxa"/>
          </w:tcPr>
          <w:p w14:paraId="330A8FAD" w14:textId="77777777" w:rsidR="00FC22CD" w:rsidRDefault="00000000">
            <w:pPr>
              <w:pStyle w:val="Compact"/>
              <w:jc w:val="center"/>
            </w:pPr>
            <w:bookmarkStart w:id="25" w:name="fig-pp"/>
            <w:r>
              <w:rPr>
                <w:noProof/>
              </w:rPr>
              <w:lastRenderedPageBreak/>
              <w:drawing>
                <wp:inline distT="0" distB="0" distL="0" distR="0" wp14:anchorId="4F377D5E" wp14:editId="1ED15CD9">
                  <wp:extent cx="5334000" cy="5334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ndex_files/figure-docx/notebooks-mak_figures-fig-pp-output-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3736BEA2" w14:textId="77777777" w:rsidR="00FC22CD" w:rsidRDefault="00000000">
            <w:pPr>
              <w:pStyle w:val="ImageCaption"/>
              <w:spacing w:before="200"/>
            </w:pPr>
            <w:r>
              <w:t>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tc>
        <w:bookmarkEnd w:id="25"/>
      </w:tr>
    </w:tbl>
    <w:p w14:paraId="510D096B" w14:textId="77777777" w:rsidR="00FC22CD" w:rsidRDefault="00000000">
      <w:pPr>
        <w:pStyle w:val="Heading2"/>
      </w:pPr>
      <w:bookmarkStart w:id="26" w:name="model-comparisons"/>
      <w:bookmarkEnd w:id="24"/>
      <w:r>
        <w:t>Model Comparisons</w:t>
      </w:r>
    </w:p>
    <w:p w14:paraId="7C2F3DE3" w14:textId="77777777" w:rsidR="00FC22CD" w:rsidRDefault="00FC22CD">
      <w:pPr>
        <w:pStyle w:val="FirstParagraph"/>
      </w:pPr>
      <w:hyperlink w:anchor="tbl-model">
        <w:r>
          <w:rPr>
            <w:rStyle w:val="Hyperlink"/>
          </w:rPr>
          <w:t>Table 2</w:t>
        </w:r>
      </w:hyperlink>
      <w:r w:rsidR="00000000">
        <w:t xml:space="preserve"> 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w:t>
      </w:r>
      <w:r w:rsidR="00000000">
        <w:lastRenderedPageBreak/>
        <w:t>performed worse than the baseline (no lag) model, with average drops in auROC ranging from 0.02-0.06, and the previous adjacent lagged model, with average drops in auROC ranging from 0.01-0.02.</w:t>
      </w:r>
    </w:p>
    <w:tbl>
      <w:tblPr>
        <w:tblStyle w:val="Table"/>
        <w:tblW w:w="5000" w:type="pct"/>
        <w:tblLayout w:type="fixed"/>
        <w:tblLook w:val="0000" w:firstRow="0" w:lastRow="0" w:firstColumn="0" w:lastColumn="0" w:noHBand="0" w:noVBand="0"/>
      </w:tblPr>
      <w:tblGrid>
        <w:gridCol w:w="9360"/>
      </w:tblGrid>
      <w:tr w:rsidR="00FC22CD" w14:paraId="294452A7" w14:textId="77777777">
        <w:tc>
          <w:tcPr>
            <w:tcW w:w="7920" w:type="dxa"/>
          </w:tcPr>
          <w:p w14:paraId="3B661C82" w14:textId="77777777" w:rsidR="00FC22CD" w:rsidRDefault="00000000">
            <w:pPr>
              <w:pStyle w:val="ImageCaption"/>
              <w:spacing w:before="200"/>
            </w:pPr>
            <w:bookmarkStart w:id="27" w:name="tbl-model"/>
            <w:r>
              <w:t>Table 2: Median difference in auROC, 95% Bayesian credible interval (CI), and posterior probability that that the auROC difference was greater than 0 for all baseline and adjacent lag contrasts.</w:t>
            </w:r>
          </w:p>
          <w:tbl>
            <w:tblPr>
              <w:tblStyle w:val="Table"/>
              <w:tblW w:w="0" w:type="auto"/>
              <w:tblLook w:val="0060" w:firstRow="1" w:lastRow="1" w:firstColumn="0" w:lastColumn="0" w:noHBand="0" w:noVBand="0"/>
            </w:tblPr>
            <w:tblGrid>
              <w:gridCol w:w="3171"/>
              <w:gridCol w:w="1797"/>
              <w:gridCol w:w="2537"/>
              <w:gridCol w:w="1797"/>
            </w:tblGrid>
            <w:tr w:rsidR="00FC22CD" w14:paraId="237FA57A" w14:textId="77777777" w:rsidTr="006A7D27">
              <w:trPr>
                <w:cnfStyle w:val="100000000000" w:firstRow="1" w:lastRow="0" w:firstColumn="0" w:lastColumn="0" w:oddVBand="0" w:evenVBand="0" w:oddHBand="0" w:evenHBand="0" w:firstRowFirstColumn="0" w:firstRowLastColumn="0" w:lastRowFirstColumn="0" w:lastRowLastColumn="0"/>
                <w:trHeight w:val="356"/>
                <w:tblHeader/>
              </w:trPr>
              <w:tc>
                <w:tcPr>
                  <w:tcW w:w="3171" w:type="dxa"/>
                </w:tcPr>
                <w:p w14:paraId="5760888F" w14:textId="77777777" w:rsidR="00FC22CD" w:rsidRDefault="00000000">
                  <w:pPr>
                    <w:pStyle w:val="Compact"/>
                    <w:jc w:val="center"/>
                  </w:pPr>
                  <w:r>
                    <w:t>Contrast</w:t>
                  </w:r>
                </w:p>
              </w:tc>
              <w:tc>
                <w:tcPr>
                  <w:tcW w:w="1797" w:type="dxa"/>
                </w:tcPr>
                <w:p w14:paraId="2D63ADEB" w14:textId="77777777" w:rsidR="00FC22CD" w:rsidRDefault="00000000">
                  <w:pPr>
                    <w:pStyle w:val="Compact"/>
                    <w:jc w:val="center"/>
                  </w:pPr>
                  <w:r>
                    <w:t>Median</w:t>
                  </w:r>
                </w:p>
              </w:tc>
              <w:tc>
                <w:tcPr>
                  <w:tcW w:w="2537" w:type="dxa"/>
                </w:tcPr>
                <w:p w14:paraId="6413CD49" w14:textId="77777777" w:rsidR="00FC22CD" w:rsidRDefault="00000000">
                  <w:pPr>
                    <w:pStyle w:val="Compact"/>
                    <w:jc w:val="center"/>
                  </w:pPr>
                  <w:r>
                    <w:t>Bayesian CI</w:t>
                  </w:r>
                </w:p>
              </w:tc>
              <w:tc>
                <w:tcPr>
                  <w:tcW w:w="1797" w:type="dxa"/>
                </w:tcPr>
                <w:p w14:paraId="66B75D35" w14:textId="77777777" w:rsidR="00FC22CD" w:rsidRDefault="00000000">
                  <w:pPr>
                    <w:pStyle w:val="Compact"/>
                    <w:jc w:val="center"/>
                  </w:pPr>
                  <w:r>
                    <w:t>Probability</w:t>
                  </w:r>
                </w:p>
              </w:tc>
            </w:tr>
            <w:tr w:rsidR="00FC22CD" w14:paraId="367CBB69" w14:textId="77777777" w:rsidTr="006A7D27">
              <w:trPr>
                <w:trHeight w:val="370"/>
              </w:trPr>
              <w:tc>
                <w:tcPr>
                  <w:tcW w:w="3171" w:type="dxa"/>
                </w:tcPr>
                <w:p w14:paraId="72FC1062" w14:textId="77777777" w:rsidR="00FC22CD" w:rsidRDefault="00000000" w:rsidP="00FD6437">
                  <w:pPr>
                    <w:pStyle w:val="Compact"/>
                  </w:pPr>
                  <w:r>
                    <w:t>Baseline Contrasts</w:t>
                  </w:r>
                </w:p>
              </w:tc>
              <w:tc>
                <w:tcPr>
                  <w:tcW w:w="1797" w:type="dxa"/>
                </w:tcPr>
                <w:p w14:paraId="4B0D825A" w14:textId="77777777" w:rsidR="00FC22CD" w:rsidRDefault="00FC22CD">
                  <w:pPr>
                    <w:pStyle w:val="Compact"/>
                  </w:pPr>
                </w:p>
              </w:tc>
              <w:tc>
                <w:tcPr>
                  <w:tcW w:w="2537" w:type="dxa"/>
                </w:tcPr>
                <w:p w14:paraId="604E8F2F" w14:textId="77777777" w:rsidR="00FC22CD" w:rsidRDefault="00FC22CD">
                  <w:pPr>
                    <w:pStyle w:val="Compact"/>
                  </w:pPr>
                </w:p>
              </w:tc>
              <w:tc>
                <w:tcPr>
                  <w:tcW w:w="1797" w:type="dxa"/>
                </w:tcPr>
                <w:p w14:paraId="40D7EBC5" w14:textId="77777777" w:rsidR="00FC22CD" w:rsidRDefault="00FC22CD">
                  <w:pPr>
                    <w:pStyle w:val="Compact"/>
                  </w:pPr>
                </w:p>
              </w:tc>
            </w:tr>
            <w:tr w:rsidR="00FC22CD" w14:paraId="727ADF16" w14:textId="77777777" w:rsidTr="006A7D27">
              <w:trPr>
                <w:trHeight w:val="356"/>
              </w:trPr>
              <w:tc>
                <w:tcPr>
                  <w:tcW w:w="3171" w:type="dxa"/>
                </w:tcPr>
                <w:p w14:paraId="2729AB86" w14:textId="6140025C" w:rsidR="00FC22CD" w:rsidRDefault="00FD6437" w:rsidP="00FD6437">
                  <w:pPr>
                    <w:pStyle w:val="Compact"/>
                  </w:pPr>
                  <w:r>
                    <w:t xml:space="preserve">     </w:t>
                  </w:r>
                  <w:r w:rsidR="00000000">
                    <w:t>1-day vs. No lag</w:t>
                  </w:r>
                </w:p>
              </w:tc>
              <w:tc>
                <w:tcPr>
                  <w:tcW w:w="1797" w:type="dxa"/>
                </w:tcPr>
                <w:p w14:paraId="04A5F2D9" w14:textId="77777777" w:rsidR="00FC22CD" w:rsidRDefault="00000000">
                  <w:pPr>
                    <w:pStyle w:val="Compact"/>
                    <w:jc w:val="center"/>
                  </w:pPr>
                  <w:r>
                    <w:t>-0.021</w:t>
                  </w:r>
                </w:p>
              </w:tc>
              <w:tc>
                <w:tcPr>
                  <w:tcW w:w="2537" w:type="dxa"/>
                </w:tcPr>
                <w:p w14:paraId="6D622707" w14:textId="77777777" w:rsidR="00FC22CD" w:rsidRDefault="00000000">
                  <w:pPr>
                    <w:pStyle w:val="Compact"/>
                    <w:jc w:val="center"/>
                  </w:pPr>
                  <w:r>
                    <w:t>[-0.025, -0.017]</w:t>
                  </w:r>
                </w:p>
              </w:tc>
              <w:tc>
                <w:tcPr>
                  <w:tcW w:w="1797" w:type="dxa"/>
                </w:tcPr>
                <w:p w14:paraId="69801A39" w14:textId="77777777" w:rsidR="00FC22CD" w:rsidRDefault="00000000">
                  <w:pPr>
                    <w:pStyle w:val="Compact"/>
                    <w:jc w:val="center"/>
                  </w:pPr>
                  <w:r>
                    <w:t>1</w:t>
                  </w:r>
                </w:p>
              </w:tc>
            </w:tr>
            <w:tr w:rsidR="00FC22CD" w14:paraId="199B99D7" w14:textId="77777777" w:rsidTr="006A7D27">
              <w:trPr>
                <w:trHeight w:val="356"/>
              </w:trPr>
              <w:tc>
                <w:tcPr>
                  <w:tcW w:w="3171" w:type="dxa"/>
                </w:tcPr>
                <w:p w14:paraId="6ECD3BC9" w14:textId="41FBFF24" w:rsidR="00FC22CD" w:rsidRDefault="00FD6437" w:rsidP="00FD6437">
                  <w:pPr>
                    <w:pStyle w:val="Compact"/>
                  </w:pPr>
                  <w:r>
                    <w:t xml:space="preserve">     </w:t>
                  </w:r>
                  <w:r w:rsidR="00000000">
                    <w:t>3-day vs. No lag</w:t>
                  </w:r>
                </w:p>
              </w:tc>
              <w:tc>
                <w:tcPr>
                  <w:tcW w:w="1797" w:type="dxa"/>
                </w:tcPr>
                <w:p w14:paraId="527B8455" w14:textId="77777777" w:rsidR="00FC22CD" w:rsidRDefault="00000000">
                  <w:pPr>
                    <w:pStyle w:val="Compact"/>
                    <w:jc w:val="center"/>
                  </w:pPr>
                  <w:r>
                    <w:t>-0.03</w:t>
                  </w:r>
                </w:p>
              </w:tc>
              <w:tc>
                <w:tcPr>
                  <w:tcW w:w="2537" w:type="dxa"/>
                </w:tcPr>
                <w:p w14:paraId="67908386" w14:textId="77777777" w:rsidR="00FC22CD" w:rsidRDefault="00000000">
                  <w:pPr>
                    <w:pStyle w:val="Compact"/>
                    <w:jc w:val="center"/>
                  </w:pPr>
                  <w:r>
                    <w:t>[-0.035, -0.025]</w:t>
                  </w:r>
                </w:p>
              </w:tc>
              <w:tc>
                <w:tcPr>
                  <w:tcW w:w="1797" w:type="dxa"/>
                </w:tcPr>
                <w:p w14:paraId="2E1292EF" w14:textId="77777777" w:rsidR="00FC22CD" w:rsidRDefault="00000000">
                  <w:pPr>
                    <w:pStyle w:val="Compact"/>
                    <w:jc w:val="center"/>
                  </w:pPr>
                  <w:r>
                    <w:t>1</w:t>
                  </w:r>
                </w:p>
              </w:tc>
            </w:tr>
            <w:tr w:rsidR="00FC22CD" w14:paraId="23714A19" w14:textId="77777777" w:rsidTr="006A7D27">
              <w:trPr>
                <w:trHeight w:val="370"/>
              </w:trPr>
              <w:tc>
                <w:tcPr>
                  <w:tcW w:w="3171" w:type="dxa"/>
                </w:tcPr>
                <w:p w14:paraId="01699DBC" w14:textId="7CF65D72" w:rsidR="00FC22CD" w:rsidRDefault="00FD6437" w:rsidP="00FD6437">
                  <w:pPr>
                    <w:pStyle w:val="Compact"/>
                  </w:pPr>
                  <w:r>
                    <w:t xml:space="preserve">     </w:t>
                  </w:r>
                  <w:r w:rsidR="00000000">
                    <w:t>1-week vs. No lag</w:t>
                  </w:r>
                </w:p>
              </w:tc>
              <w:tc>
                <w:tcPr>
                  <w:tcW w:w="1797" w:type="dxa"/>
                </w:tcPr>
                <w:p w14:paraId="4BD4D37E" w14:textId="77777777" w:rsidR="00FC22CD" w:rsidRDefault="00000000">
                  <w:pPr>
                    <w:pStyle w:val="Compact"/>
                    <w:jc w:val="center"/>
                  </w:pPr>
                  <w:r>
                    <w:t>-0.042</w:t>
                  </w:r>
                </w:p>
              </w:tc>
              <w:tc>
                <w:tcPr>
                  <w:tcW w:w="2537" w:type="dxa"/>
                </w:tcPr>
                <w:p w14:paraId="3EC26A55" w14:textId="77777777" w:rsidR="00FC22CD" w:rsidRDefault="00000000">
                  <w:pPr>
                    <w:pStyle w:val="Compact"/>
                    <w:jc w:val="center"/>
                  </w:pPr>
                  <w:r>
                    <w:t>[-0.048, -0.037]</w:t>
                  </w:r>
                </w:p>
              </w:tc>
              <w:tc>
                <w:tcPr>
                  <w:tcW w:w="1797" w:type="dxa"/>
                </w:tcPr>
                <w:p w14:paraId="437610DA" w14:textId="77777777" w:rsidR="00FC22CD" w:rsidRDefault="00000000">
                  <w:pPr>
                    <w:pStyle w:val="Compact"/>
                    <w:jc w:val="center"/>
                  </w:pPr>
                  <w:r>
                    <w:t>1</w:t>
                  </w:r>
                </w:p>
              </w:tc>
            </w:tr>
            <w:tr w:rsidR="00FC22CD" w14:paraId="328621FF" w14:textId="77777777" w:rsidTr="006A7D27">
              <w:trPr>
                <w:trHeight w:val="356"/>
              </w:trPr>
              <w:tc>
                <w:tcPr>
                  <w:tcW w:w="3171" w:type="dxa"/>
                </w:tcPr>
                <w:p w14:paraId="4C345ED3" w14:textId="609045F5" w:rsidR="00FC22CD" w:rsidRDefault="00FD6437" w:rsidP="00FD6437">
                  <w:pPr>
                    <w:pStyle w:val="Compact"/>
                  </w:pPr>
                  <w:r>
                    <w:t xml:space="preserve">     </w:t>
                  </w:r>
                  <w:r w:rsidR="00000000">
                    <w:t>2-week vs. No lag</w:t>
                  </w:r>
                </w:p>
              </w:tc>
              <w:tc>
                <w:tcPr>
                  <w:tcW w:w="1797" w:type="dxa"/>
                </w:tcPr>
                <w:p w14:paraId="102691E8" w14:textId="77777777" w:rsidR="00FC22CD" w:rsidRDefault="00000000">
                  <w:pPr>
                    <w:pStyle w:val="Compact"/>
                    <w:jc w:val="center"/>
                  </w:pPr>
                  <w:r>
                    <w:t>-0.062</w:t>
                  </w:r>
                </w:p>
              </w:tc>
              <w:tc>
                <w:tcPr>
                  <w:tcW w:w="2537" w:type="dxa"/>
                </w:tcPr>
                <w:p w14:paraId="32B82F2C" w14:textId="77777777" w:rsidR="00FC22CD" w:rsidRDefault="00000000">
                  <w:pPr>
                    <w:pStyle w:val="Compact"/>
                    <w:jc w:val="center"/>
                  </w:pPr>
                  <w:r>
                    <w:t>[-0.07, -0.056]</w:t>
                  </w:r>
                </w:p>
              </w:tc>
              <w:tc>
                <w:tcPr>
                  <w:tcW w:w="1797" w:type="dxa"/>
                </w:tcPr>
                <w:p w14:paraId="5EF6862C" w14:textId="77777777" w:rsidR="00FC22CD" w:rsidRDefault="00000000">
                  <w:pPr>
                    <w:pStyle w:val="Compact"/>
                    <w:jc w:val="center"/>
                  </w:pPr>
                  <w:r>
                    <w:t>1</w:t>
                  </w:r>
                </w:p>
              </w:tc>
            </w:tr>
            <w:tr w:rsidR="00FC22CD" w14:paraId="0AE5F3A3" w14:textId="77777777" w:rsidTr="006A7D27">
              <w:trPr>
                <w:trHeight w:val="356"/>
              </w:trPr>
              <w:tc>
                <w:tcPr>
                  <w:tcW w:w="3171" w:type="dxa"/>
                </w:tcPr>
                <w:p w14:paraId="5ED30F92" w14:textId="77777777" w:rsidR="00FC22CD" w:rsidRDefault="00000000" w:rsidP="00FD6437">
                  <w:pPr>
                    <w:pStyle w:val="Compact"/>
                  </w:pPr>
                  <w:r>
                    <w:t>Adjacent Contrasts</w:t>
                  </w:r>
                </w:p>
              </w:tc>
              <w:tc>
                <w:tcPr>
                  <w:tcW w:w="1797" w:type="dxa"/>
                </w:tcPr>
                <w:p w14:paraId="62094F5F" w14:textId="77777777" w:rsidR="00FC22CD" w:rsidRDefault="00FC22CD">
                  <w:pPr>
                    <w:pStyle w:val="Compact"/>
                  </w:pPr>
                </w:p>
              </w:tc>
              <w:tc>
                <w:tcPr>
                  <w:tcW w:w="2537" w:type="dxa"/>
                </w:tcPr>
                <w:p w14:paraId="1A36C89B" w14:textId="77777777" w:rsidR="00FC22CD" w:rsidRDefault="00FC22CD">
                  <w:pPr>
                    <w:pStyle w:val="Compact"/>
                  </w:pPr>
                </w:p>
              </w:tc>
              <w:tc>
                <w:tcPr>
                  <w:tcW w:w="1797" w:type="dxa"/>
                </w:tcPr>
                <w:p w14:paraId="42BA94A9" w14:textId="77777777" w:rsidR="00FC22CD" w:rsidRDefault="00FC22CD">
                  <w:pPr>
                    <w:pStyle w:val="Compact"/>
                  </w:pPr>
                </w:p>
              </w:tc>
            </w:tr>
            <w:tr w:rsidR="00FC22CD" w14:paraId="503418DE" w14:textId="77777777" w:rsidTr="006A7D27">
              <w:trPr>
                <w:trHeight w:val="370"/>
              </w:trPr>
              <w:tc>
                <w:tcPr>
                  <w:tcW w:w="3171" w:type="dxa"/>
                </w:tcPr>
                <w:p w14:paraId="3F1FD843" w14:textId="5DE407EA" w:rsidR="00FC22CD" w:rsidRDefault="00FD6437" w:rsidP="00FD6437">
                  <w:pPr>
                    <w:pStyle w:val="Compact"/>
                  </w:pPr>
                  <w:r>
                    <w:t xml:space="preserve">     </w:t>
                  </w:r>
                  <w:r w:rsidR="00000000">
                    <w:t>3-day vs. 1-day</w:t>
                  </w:r>
                </w:p>
              </w:tc>
              <w:tc>
                <w:tcPr>
                  <w:tcW w:w="1797" w:type="dxa"/>
                </w:tcPr>
                <w:p w14:paraId="43B8507D" w14:textId="77777777" w:rsidR="00FC22CD" w:rsidRDefault="00000000">
                  <w:pPr>
                    <w:pStyle w:val="Compact"/>
                    <w:jc w:val="center"/>
                  </w:pPr>
                  <w:r>
                    <w:t>-0.009</w:t>
                  </w:r>
                </w:p>
              </w:tc>
              <w:tc>
                <w:tcPr>
                  <w:tcW w:w="2537" w:type="dxa"/>
                </w:tcPr>
                <w:p w14:paraId="10F4B690" w14:textId="77777777" w:rsidR="00FC22CD" w:rsidRDefault="00000000">
                  <w:pPr>
                    <w:pStyle w:val="Compact"/>
                    <w:jc w:val="center"/>
                  </w:pPr>
                  <w:r>
                    <w:t>[-0.013, -0.005]</w:t>
                  </w:r>
                </w:p>
              </w:tc>
              <w:tc>
                <w:tcPr>
                  <w:tcW w:w="1797" w:type="dxa"/>
                </w:tcPr>
                <w:p w14:paraId="170C5C0D" w14:textId="77777777" w:rsidR="00FC22CD" w:rsidRDefault="00000000">
                  <w:pPr>
                    <w:pStyle w:val="Compact"/>
                    <w:jc w:val="center"/>
                  </w:pPr>
                  <w:r>
                    <w:t>1</w:t>
                  </w:r>
                </w:p>
              </w:tc>
            </w:tr>
            <w:tr w:rsidR="00FC22CD" w14:paraId="34B258AD" w14:textId="77777777" w:rsidTr="006A7D27">
              <w:trPr>
                <w:trHeight w:val="356"/>
              </w:trPr>
              <w:tc>
                <w:tcPr>
                  <w:tcW w:w="3171" w:type="dxa"/>
                </w:tcPr>
                <w:p w14:paraId="79AAD4B0" w14:textId="002701B7" w:rsidR="00FC22CD" w:rsidRDefault="00FD6437" w:rsidP="00FD6437">
                  <w:pPr>
                    <w:pStyle w:val="Compact"/>
                  </w:pPr>
                  <w:r>
                    <w:t xml:space="preserve">     </w:t>
                  </w:r>
                  <w:r w:rsidR="00000000">
                    <w:t>1-week vs. 3-day</w:t>
                  </w:r>
                </w:p>
              </w:tc>
              <w:tc>
                <w:tcPr>
                  <w:tcW w:w="1797" w:type="dxa"/>
                </w:tcPr>
                <w:p w14:paraId="29AE4E30" w14:textId="77777777" w:rsidR="00FC22CD" w:rsidRDefault="00000000">
                  <w:pPr>
                    <w:pStyle w:val="Compact"/>
                    <w:jc w:val="center"/>
                  </w:pPr>
                  <w:r>
                    <w:t>-0.012</w:t>
                  </w:r>
                </w:p>
              </w:tc>
              <w:tc>
                <w:tcPr>
                  <w:tcW w:w="2537" w:type="dxa"/>
                </w:tcPr>
                <w:p w14:paraId="1EFA50CB" w14:textId="77777777" w:rsidR="00FC22CD" w:rsidRDefault="00000000">
                  <w:pPr>
                    <w:pStyle w:val="Compact"/>
                    <w:jc w:val="center"/>
                  </w:pPr>
                  <w:r>
                    <w:t>[-0.017, -0.008]</w:t>
                  </w:r>
                </w:p>
              </w:tc>
              <w:tc>
                <w:tcPr>
                  <w:tcW w:w="1797" w:type="dxa"/>
                </w:tcPr>
                <w:p w14:paraId="03FA4EEC" w14:textId="77777777" w:rsidR="00FC22CD" w:rsidRDefault="00000000">
                  <w:pPr>
                    <w:pStyle w:val="Compact"/>
                    <w:jc w:val="center"/>
                  </w:pPr>
                  <w:r>
                    <w:t>1</w:t>
                  </w:r>
                </w:p>
              </w:tc>
            </w:tr>
            <w:tr w:rsidR="00FC22CD" w14:paraId="29867626" w14:textId="77777777" w:rsidTr="006A7D27">
              <w:trPr>
                <w:trHeight w:val="356"/>
              </w:trPr>
              <w:tc>
                <w:tcPr>
                  <w:tcW w:w="3171" w:type="dxa"/>
                </w:tcPr>
                <w:p w14:paraId="3900AD61" w14:textId="174BC30A" w:rsidR="00FC22CD" w:rsidRDefault="00FD6437" w:rsidP="00FD6437">
                  <w:pPr>
                    <w:pStyle w:val="Compact"/>
                  </w:pPr>
                  <w:r>
                    <w:t xml:space="preserve">     </w:t>
                  </w:r>
                  <w:r w:rsidR="00000000">
                    <w:t>2-week vs. 1-week</w:t>
                  </w:r>
                </w:p>
              </w:tc>
              <w:tc>
                <w:tcPr>
                  <w:tcW w:w="1797" w:type="dxa"/>
                </w:tcPr>
                <w:p w14:paraId="6A08357B" w14:textId="77777777" w:rsidR="00FC22CD" w:rsidRDefault="00000000">
                  <w:pPr>
                    <w:pStyle w:val="Compact"/>
                    <w:jc w:val="center"/>
                  </w:pPr>
                  <w:r>
                    <w:t>-0.02</w:t>
                  </w:r>
                </w:p>
              </w:tc>
              <w:tc>
                <w:tcPr>
                  <w:tcW w:w="2537" w:type="dxa"/>
                </w:tcPr>
                <w:p w14:paraId="57F8A851" w14:textId="77777777" w:rsidR="00FC22CD" w:rsidRDefault="00000000">
                  <w:pPr>
                    <w:pStyle w:val="Compact"/>
                    <w:jc w:val="center"/>
                  </w:pPr>
                  <w:r>
                    <w:t>[-0.026, -0.015]</w:t>
                  </w:r>
                </w:p>
              </w:tc>
              <w:tc>
                <w:tcPr>
                  <w:tcW w:w="1797" w:type="dxa"/>
                </w:tcPr>
                <w:p w14:paraId="795E1632" w14:textId="77777777" w:rsidR="00FC22CD" w:rsidRDefault="00000000">
                  <w:pPr>
                    <w:pStyle w:val="Compact"/>
                    <w:jc w:val="center"/>
                  </w:pPr>
                  <w:r>
                    <w:t>1</w:t>
                  </w:r>
                </w:p>
              </w:tc>
            </w:tr>
            <w:tr w:rsidR="00FD6437" w14:paraId="7EEE6ECA" w14:textId="77777777" w:rsidTr="006A7D27">
              <w:trPr>
                <w:trHeight w:val="1809"/>
              </w:trPr>
              <w:tc>
                <w:tcPr>
                  <w:tcW w:w="9302" w:type="dxa"/>
                  <w:gridSpan w:val="4"/>
                </w:tcPr>
                <w:p w14:paraId="07C3D5D1" w14:textId="10094556" w:rsidR="00FD6437" w:rsidRDefault="00FD6437">
                  <w:pPr>
                    <w:pStyle w:val="Compact"/>
                  </w:pPr>
                  <w:r>
                    <w:t xml:space="preserve"> 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r>
            <w:bookmarkEnd w:id="27"/>
          </w:tbl>
          <w:p w14:paraId="1C1D409C" w14:textId="77777777" w:rsidR="00FC22CD" w:rsidRDefault="00FC22CD"/>
        </w:tc>
      </w:tr>
    </w:tbl>
    <w:p w14:paraId="177466E6" w14:textId="77777777" w:rsidR="00FC22CD" w:rsidRDefault="00000000">
      <w:pPr>
        <w:pStyle w:val="Heading2"/>
      </w:pPr>
      <w:bookmarkStart w:id="28" w:name="fairness-analyses-1"/>
      <w:bookmarkEnd w:id="26"/>
      <w:r>
        <w:t>Fairness Analyses</w:t>
      </w:r>
    </w:p>
    <w:p w14:paraId="679C4C49" w14:textId="77777777" w:rsidR="00FC22CD" w:rsidRDefault="00FC22CD">
      <w:pPr>
        <w:pStyle w:val="FirstParagraph"/>
      </w:pPr>
      <w:hyperlink w:anchor="tbl-fairness">
        <w:r>
          <w:rPr>
            <w:rStyle w:val="Hyperlink"/>
          </w:rPr>
          <w:t>Table 3</w:t>
        </w:r>
      </w:hyperlink>
      <w:r w:rsidR="00000000">
        <w:t xml:space="preserve"> presents the median difference in auROC, 95% Bayesian CI, and posterior probability that the auROC difference was smaller than 0 for the three fairness contrasts: race/ethnicity (not White; </w:t>
      </w:r>
      <w:r w:rsidR="00000000">
        <w:rPr>
          <w:i/>
          <w:iCs/>
        </w:rPr>
        <w:t>N</w:t>
      </w:r>
      <w:r w:rsidR="00000000">
        <w:t xml:space="preserve"> = 20 vs. Non-Hispanic White; </w:t>
      </w:r>
      <w:r w:rsidR="00000000">
        <w:rPr>
          <w:i/>
          <w:iCs/>
        </w:rPr>
        <w:t>N</w:t>
      </w:r>
      <w:r w:rsidR="00000000">
        <w:t xml:space="preserve"> = 131), sex at birth (female; </w:t>
      </w:r>
      <w:r w:rsidR="00000000">
        <w:rPr>
          <w:i/>
          <w:iCs/>
        </w:rPr>
        <w:t>N</w:t>
      </w:r>
      <w:r w:rsidR="00000000">
        <w:t xml:space="preserve"> = 74 vs. male; </w:t>
      </w:r>
      <w:r w:rsidR="00000000">
        <w:rPr>
          <w:i/>
          <w:iCs/>
        </w:rPr>
        <w:t>N</w:t>
      </w:r>
      <w:r w:rsidR="00000000">
        <w:t xml:space="preserve"> = 77), and income (below poverty; </w:t>
      </w:r>
      <w:r w:rsidR="00000000">
        <w:rPr>
          <w:i/>
          <w:iCs/>
        </w:rPr>
        <w:t>N</w:t>
      </w:r>
      <w:r w:rsidR="00000000">
        <w:t xml:space="preserve"> = 49 vs. above poverty; </w:t>
      </w:r>
      <w:r w:rsidR="00000000">
        <w:rPr>
          <w:i/>
          <w:iCs/>
        </w:rPr>
        <w:t>N</w:t>
      </w:r>
      <w:r w:rsidR="00000000">
        <w:t xml:space="preserve"> = 102). Median auROC differences less than 0 indicate the model, on average, performed worse for the non-advantaged group (female, not White, below poverty) compared to the advantaged group (male, non-Hispanic White, and above poverty). In </w:t>
      </w:r>
      <w:hyperlink w:anchor="tbl-fairness">
        <w:r>
          <w:rPr>
            <w:rStyle w:val="Hyperlink"/>
          </w:rPr>
          <w:t>Table 3</w:t>
        </w:r>
      </w:hyperlink>
      <w:r w:rsidR="00000000">
        <w:t xml:space="preserve"> 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14:paraId="72277857" w14:textId="77777777" w:rsidR="00FC22CD" w:rsidRDefault="00000000">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w:t>
      </w:r>
      <w:r>
        <w:lastRenderedPageBreak/>
        <w:t>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14:paraId="6F408A0E" w14:textId="77777777" w:rsidR="00FC22CD" w:rsidRDefault="00000000">
      <w:pPr>
        <w:pStyle w:val="BodyText"/>
      </w:pPr>
      <w:r>
        <w:t>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w="5000" w:type="pct"/>
        <w:tblLayout w:type="fixed"/>
        <w:tblLook w:val="0000" w:firstRow="0" w:lastRow="0" w:firstColumn="0" w:lastColumn="0" w:noHBand="0" w:noVBand="0"/>
      </w:tblPr>
      <w:tblGrid>
        <w:gridCol w:w="9360"/>
      </w:tblGrid>
      <w:tr w:rsidR="00FC22CD" w14:paraId="63EE49D7" w14:textId="77777777">
        <w:tc>
          <w:tcPr>
            <w:tcW w:w="7920" w:type="dxa"/>
          </w:tcPr>
          <w:p w14:paraId="19FD1D05" w14:textId="77777777" w:rsidR="00FC22CD" w:rsidRDefault="00000000">
            <w:pPr>
              <w:pStyle w:val="ImageCaption"/>
              <w:spacing w:before="200"/>
            </w:pPr>
            <w:bookmarkStart w:id="29" w:name="tbl-fairness"/>
            <w:r>
              <w:t>Table 3: Median difference in auROC, 95% Bayesian credible interval (CI), and posterior probability that that the auROC difference was greater than 0 for fairness contrasts for the no lag and 2-week lagged models.</w:t>
            </w:r>
          </w:p>
          <w:tbl>
            <w:tblPr>
              <w:tblStyle w:val="Table"/>
              <w:tblW w:w="0" w:type="auto"/>
              <w:tblLook w:val="0060" w:firstRow="1" w:lastRow="1" w:firstColumn="0" w:lastColumn="0" w:noHBand="0" w:noVBand="0"/>
            </w:tblPr>
            <w:tblGrid>
              <w:gridCol w:w="4140"/>
              <w:gridCol w:w="1440"/>
              <w:gridCol w:w="2070"/>
              <w:gridCol w:w="1620"/>
            </w:tblGrid>
            <w:tr w:rsidR="00FC22CD" w14:paraId="3FE171AE" w14:textId="77777777" w:rsidTr="006A7D27">
              <w:trPr>
                <w:cnfStyle w:val="100000000000" w:firstRow="1" w:lastRow="0" w:firstColumn="0" w:lastColumn="0" w:oddVBand="0" w:evenVBand="0" w:oddHBand="0" w:evenHBand="0" w:firstRowFirstColumn="0" w:firstRowLastColumn="0" w:lastRowFirstColumn="0" w:lastRowLastColumn="0"/>
                <w:tblHeader/>
              </w:trPr>
              <w:tc>
                <w:tcPr>
                  <w:tcW w:w="4140" w:type="dxa"/>
                </w:tcPr>
                <w:p w14:paraId="1E4F0BE1" w14:textId="77777777" w:rsidR="00FC22CD" w:rsidRDefault="00000000">
                  <w:pPr>
                    <w:pStyle w:val="Compact"/>
                    <w:jc w:val="center"/>
                  </w:pPr>
                  <w:r>
                    <w:t>Contrast</w:t>
                  </w:r>
                </w:p>
              </w:tc>
              <w:tc>
                <w:tcPr>
                  <w:tcW w:w="1440" w:type="dxa"/>
                </w:tcPr>
                <w:p w14:paraId="59878004" w14:textId="77777777" w:rsidR="00FC22CD" w:rsidRDefault="00000000">
                  <w:pPr>
                    <w:pStyle w:val="Compact"/>
                    <w:jc w:val="center"/>
                  </w:pPr>
                  <w:r>
                    <w:t>Median</w:t>
                  </w:r>
                </w:p>
              </w:tc>
              <w:tc>
                <w:tcPr>
                  <w:tcW w:w="2070" w:type="dxa"/>
                </w:tcPr>
                <w:p w14:paraId="3E470C05" w14:textId="77777777" w:rsidR="00FC22CD" w:rsidRDefault="00000000">
                  <w:pPr>
                    <w:pStyle w:val="Compact"/>
                    <w:jc w:val="center"/>
                  </w:pPr>
                  <w:r>
                    <w:t>Bayesian CI</w:t>
                  </w:r>
                </w:p>
              </w:tc>
              <w:tc>
                <w:tcPr>
                  <w:tcW w:w="1620" w:type="dxa"/>
                </w:tcPr>
                <w:p w14:paraId="46A4EB3E" w14:textId="77777777" w:rsidR="00FC22CD" w:rsidRDefault="00000000">
                  <w:pPr>
                    <w:pStyle w:val="Compact"/>
                    <w:jc w:val="center"/>
                  </w:pPr>
                  <w:r>
                    <w:t>Probability</w:t>
                  </w:r>
                </w:p>
              </w:tc>
            </w:tr>
            <w:tr w:rsidR="00FC22CD" w14:paraId="458B302F" w14:textId="77777777" w:rsidTr="006A7D27">
              <w:tc>
                <w:tcPr>
                  <w:tcW w:w="4140" w:type="dxa"/>
                </w:tcPr>
                <w:p w14:paraId="46D2F6FA" w14:textId="77777777" w:rsidR="00FC22CD" w:rsidRDefault="00000000" w:rsidP="006A7D27">
                  <w:pPr>
                    <w:pStyle w:val="Compact"/>
                  </w:pPr>
                  <w:r>
                    <w:t>Fairness Contrasts (No Lag)</w:t>
                  </w:r>
                </w:p>
              </w:tc>
              <w:tc>
                <w:tcPr>
                  <w:tcW w:w="1440" w:type="dxa"/>
                </w:tcPr>
                <w:p w14:paraId="2659BBB3" w14:textId="77777777" w:rsidR="00FC22CD" w:rsidRDefault="00FC22CD">
                  <w:pPr>
                    <w:pStyle w:val="Compact"/>
                  </w:pPr>
                </w:p>
              </w:tc>
              <w:tc>
                <w:tcPr>
                  <w:tcW w:w="2070" w:type="dxa"/>
                </w:tcPr>
                <w:p w14:paraId="5B828490" w14:textId="77777777" w:rsidR="00FC22CD" w:rsidRDefault="00FC22CD">
                  <w:pPr>
                    <w:pStyle w:val="Compact"/>
                  </w:pPr>
                </w:p>
              </w:tc>
              <w:tc>
                <w:tcPr>
                  <w:tcW w:w="1620" w:type="dxa"/>
                </w:tcPr>
                <w:p w14:paraId="39246D8B" w14:textId="77777777" w:rsidR="00FC22CD" w:rsidRDefault="00FC22CD">
                  <w:pPr>
                    <w:pStyle w:val="Compact"/>
                  </w:pPr>
                </w:p>
              </w:tc>
            </w:tr>
            <w:tr w:rsidR="00FC22CD" w14:paraId="6074D838" w14:textId="77777777" w:rsidTr="006A7D27">
              <w:tc>
                <w:tcPr>
                  <w:tcW w:w="4140" w:type="dxa"/>
                </w:tcPr>
                <w:p w14:paraId="5A6601A0" w14:textId="494DF6A1" w:rsidR="00FC22CD" w:rsidRDefault="006A7D27" w:rsidP="006A7D27">
                  <w:pPr>
                    <w:pStyle w:val="Compact"/>
                  </w:pPr>
                  <w:r>
                    <w:t xml:space="preserve">     </w:t>
                  </w:r>
                  <w:r w:rsidR="00000000">
                    <w:t>female vs. male</w:t>
                  </w:r>
                </w:p>
              </w:tc>
              <w:tc>
                <w:tcPr>
                  <w:tcW w:w="1440" w:type="dxa"/>
                </w:tcPr>
                <w:p w14:paraId="165930E4" w14:textId="77777777" w:rsidR="00FC22CD" w:rsidRDefault="00000000">
                  <w:pPr>
                    <w:pStyle w:val="Compact"/>
                    <w:jc w:val="center"/>
                  </w:pPr>
                  <w:r>
                    <w:t>-0.043</w:t>
                  </w:r>
                </w:p>
              </w:tc>
              <w:tc>
                <w:tcPr>
                  <w:tcW w:w="2070" w:type="dxa"/>
                </w:tcPr>
                <w:p w14:paraId="76B56587" w14:textId="77777777" w:rsidR="00FC22CD" w:rsidRDefault="00000000">
                  <w:pPr>
                    <w:pStyle w:val="Compact"/>
                    <w:jc w:val="center"/>
                  </w:pPr>
                  <w:r>
                    <w:t>[-0.059, -0.028]</w:t>
                  </w:r>
                </w:p>
              </w:tc>
              <w:tc>
                <w:tcPr>
                  <w:tcW w:w="1620" w:type="dxa"/>
                </w:tcPr>
                <w:p w14:paraId="2804EFEB" w14:textId="77777777" w:rsidR="00FC22CD" w:rsidRDefault="00000000">
                  <w:pPr>
                    <w:pStyle w:val="Compact"/>
                    <w:jc w:val="center"/>
                  </w:pPr>
                  <w:r>
                    <w:t>1</w:t>
                  </w:r>
                </w:p>
              </w:tc>
            </w:tr>
            <w:tr w:rsidR="00FC22CD" w14:paraId="023B7BDC" w14:textId="77777777" w:rsidTr="006A7D27">
              <w:tc>
                <w:tcPr>
                  <w:tcW w:w="4140" w:type="dxa"/>
                </w:tcPr>
                <w:p w14:paraId="7D97D1FA" w14:textId="58607BD4" w:rsidR="00FC22CD" w:rsidRDefault="006A7D27" w:rsidP="006A7D27">
                  <w:pPr>
                    <w:pStyle w:val="Compact"/>
                  </w:pPr>
                  <w:r>
                    <w:t xml:space="preserve">     </w:t>
                  </w:r>
                  <w:r w:rsidR="00000000">
                    <w:t>not White vs. non-Hispanic White</w:t>
                  </w:r>
                </w:p>
              </w:tc>
              <w:tc>
                <w:tcPr>
                  <w:tcW w:w="1440" w:type="dxa"/>
                </w:tcPr>
                <w:p w14:paraId="445F6AC4" w14:textId="77777777" w:rsidR="00FC22CD" w:rsidRDefault="00000000">
                  <w:pPr>
                    <w:pStyle w:val="Compact"/>
                    <w:jc w:val="center"/>
                  </w:pPr>
                  <w:r>
                    <w:t>-0.131</w:t>
                  </w:r>
                </w:p>
              </w:tc>
              <w:tc>
                <w:tcPr>
                  <w:tcW w:w="2070" w:type="dxa"/>
                </w:tcPr>
                <w:p w14:paraId="1B8FC04A" w14:textId="77777777" w:rsidR="00FC22CD" w:rsidRDefault="00000000">
                  <w:pPr>
                    <w:pStyle w:val="Compact"/>
                    <w:jc w:val="center"/>
                  </w:pPr>
                  <w:r>
                    <w:t>[-0.222, -0.057]</w:t>
                  </w:r>
                </w:p>
              </w:tc>
              <w:tc>
                <w:tcPr>
                  <w:tcW w:w="1620" w:type="dxa"/>
                </w:tcPr>
                <w:p w14:paraId="74D09D9D" w14:textId="77777777" w:rsidR="00FC22CD" w:rsidRDefault="00000000">
                  <w:pPr>
                    <w:pStyle w:val="Compact"/>
                    <w:jc w:val="center"/>
                  </w:pPr>
                  <w:r>
                    <w:t>0.999</w:t>
                  </w:r>
                </w:p>
              </w:tc>
            </w:tr>
            <w:tr w:rsidR="00FC22CD" w14:paraId="0B4E06BB" w14:textId="77777777" w:rsidTr="006A7D27">
              <w:tc>
                <w:tcPr>
                  <w:tcW w:w="4140" w:type="dxa"/>
                </w:tcPr>
                <w:p w14:paraId="3F0B6915" w14:textId="74D95973" w:rsidR="00FC22CD" w:rsidRDefault="006A7D27" w:rsidP="006A7D27">
                  <w:pPr>
                    <w:pStyle w:val="Compact"/>
                  </w:pPr>
                  <w:r>
                    <w:t xml:space="preserve">     </w:t>
                  </w:r>
                  <w:r w:rsidR="00000000">
                    <w:t>below poverty vs. above poverty</w:t>
                  </w:r>
                </w:p>
              </w:tc>
              <w:tc>
                <w:tcPr>
                  <w:tcW w:w="1440" w:type="dxa"/>
                </w:tcPr>
                <w:p w14:paraId="33CB3362" w14:textId="77777777" w:rsidR="00FC22CD" w:rsidRDefault="00000000">
                  <w:pPr>
                    <w:pStyle w:val="Compact"/>
                    <w:jc w:val="center"/>
                  </w:pPr>
                  <w:r>
                    <w:t>-0.012</w:t>
                  </w:r>
                </w:p>
              </w:tc>
              <w:tc>
                <w:tcPr>
                  <w:tcW w:w="2070" w:type="dxa"/>
                </w:tcPr>
                <w:p w14:paraId="157EFE89" w14:textId="77777777" w:rsidR="00FC22CD" w:rsidRDefault="00000000">
                  <w:pPr>
                    <w:pStyle w:val="Compact"/>
                    <w:jc w:val="center"/>
                  </w:pPr>
                  <w:r>
                    <w:t>[-0.033, 0.007]</w:t>
                  </w:r>
                </w:p>
              </w:tc>
              <w:tc>
                <w:tcPr>
                  <w:tcW w:w="1620" w:type="dxa"/>
                </w:tcPr>
                <w:p w14:paraId="43F78FA2" w14:textId="77777777" w:rsidR="00FC22CD" w:rsidRDefault="00000000">
                  <w:pPr>
                    <w:pStyle w:val="Compact"/>
                    <w:jc w:val="center"/>
                  </w:pPr>
                  <w:r>
                    <w:t>0.848</w:t>
                  </w:r>
                </w:p>
              </w:tc>
            </w:tr>
            <w:tr w:rsidR="00FC22CD" w14:paraId="114FD4ED" w14:textId="77777777" w:rsidTr="006A7D27">
              <w:tc>
                <w:tcPr>
                  <w:tcW w:w="4140" w:type="dxa"/>
                </w:tcPr>
                <w:p w14:paraId="4B64F558" w14:textId="77777777" w:rsidR="00FC22CD" w:rsidRDefault="00000000" w:rsidP="006A7D27">
                  <w:pPr>
                    <w:pStyle w:val="Compact"/>
                  </w:pPr>
                  <w:r>
                    <w:t>Fairness Contrasts (2-week Lag)</w:t>
                  </w:r>
                </w:p>
              </w:tc>
              <w:tc>
                <w:tcPr>
                  <w:tcW w:w="1440" w:type="dxa"/>
                </w:tcPr>
                <w:p w14:paraId="7B2520C2" w14:textId="77777777" w:rsidR="00FC22CD" w:rsidRDefault="00FC22CD">
                  <w:pPr>
                    <w:pStyle w:val="Compact"/>
                  </w:pPr>
                </w:p>
              </w:tc>
              <w:tc>
                <w:tcPr>
                  <w:tcW w:w="2070" w:type="dxa"/>
                </w:tcPr>
                <w:p w14:paraId="5A66B2FA" w14:textId="77777777" w:rsidR="00FC22CD" w:rsidRDefault="00FC22CD">
                  <w:pPr>
                    <w:pStyle w:val="Compact"/>
                  </w:pPr>
                </w:p>
              </w:tc>
              <w:tc>
                <w:tcPr>
                  <w:tcW w:w="1620" w:type="dxa"/>
                </w:tcPr>
                <w:p w14:paraId="30ED0E71" w14:textId="77777777" w:rsidR="00FC22CD" w:rsidRDefault="00FC22CD">
                  <w:pPr>
                    <w:pStyle w:val="Compact"/>
                  </w:pPr>
                </w:p>
              </w:tc>
            </w:tr>
            <w:tr w:rsidR="00FC22CD" w14:paraId="6220FB56" w14:textId="77777777" w:rsidTr="006A7D27">
              <w:tc>
                <w:tcPr>
                  <w:tcW w:w="4140" w:type="dxa"/>
                </w:tcPr>
                <w:p w14:paraId="42250B16" w14:textId="25115E1A" w:rsidR="00FC22CD" w:rsidRDefault="006A7D27" w:rsidP="006A7D27">
                  <w:pPr>
                    <w:pStyle w:val="Compact"/>
                  </w:pPr>
                  <w:r>
                    <w:t xml:space="preserve">     </w:t>
                  </w:r>
                  <w:r w:rsidR="00000000">
                    <w:t>female vs. male</w:t>
                  </w:r>
                </w:p>
              </w:tc>
              <w:tc>
                <w:tcPr>
                  <w:tcW w:w="1440" w:type="dxa"/>
                </w:tcPr>
                <w:p w14:paraId="22271EC4" w14:textId="77777777" w:rsidR="00FC22CD" w:rsidRDefault="00000000">
                  <w:pPr>
                    <w:pStyle w:val="Compact"/>
                    <w:jc w:val="center"/>
                  </w:pPr>
                  <w:r>
                    <w:t>-0.098</w:t>
                  </w:r>
                </w:p>
              </w:tc>
              <w:tc>
                <w:tcPr>
                  <w:tcW w:w="2070" w:type="dxa"/>
                </w:tcPr>
                <w:p w14:paraId="51D3FB86" w14:textId="77777777" w:rsidR="00FC22CD" w:rsidRDefault="00000000">
                  <w:pPr>
                    <w:pStyle w:val="Compact"/>
                    <w:jc w:val="center"/>
                  </w:pPr>
                  <w:r>
                    <w:t>[-0.125, -0.073]</w:t>
                  </w:r>
                </w:p>
              </w:tc>
              <w:tc>
                <w:tcPr>
                  <w:tcW w:w="1620" w:type="dxa"/>
                </w:tcPr>
                <w:p w14:paraId="4C6537F8" w14:textId="77777777" w:rsidR="00FC22CD" w:rsidRDefault="00000000">
                  <w:pPr>
                    <w:pStyle w:val="Compact"/>
                    <w:jc w:val="center"/>
                  </w:pPr>
                  <w:r>
                    <w:t>1</w:t>
                  </w:r>
                </w:p>
              </w:tc>
            </w:tr>
            <w:tr w:rsidR="00FC22CD" w14:paraId="5364F0C2" w14:textId="77777777" w:rsidTr="006A7D27">
              <w:tc>
                <w:tcPr>
                  <w:tcW w:w="4140" w:type="dxa"/>
                </w:tcPr>
                <w:p w14:paraId="2656EEB5" w14:textId="3CCDAC50" w:rsidR="00FC22CD" w:rsidRDefault="006A7D27" w:rsidP="006A7D27">
                  <w:pPr>
                    <w:pStyle w:val="Compact"/>
                  </w:pPr>
                  <w:r>
                    <w:t xml:space="preserve">     </w:t>
                  </w:r>
                  <w:r w:rsidR="00000000">
                    <w:t>not White vs. non-Hispanic White</w:t>
                  </w:r>
                </w:p>
              </w:tc>
              <w:tc>
                <w:tcPr>
                  <w:tcW w:w="1440" w:type="dxa"/>
                </w:tcPr>
                <w:p w14:paraId="70104EC6" w14:textId="77777777" w:rsidR="00FC22CD" w:rsidRDefault="00000000">
                  <w:pPr>
                    <w:pStyle w:val="Compact"/>
                    <w:jc w:val="center"/>
                  </w:pPr>
                  <w:r>
                    <w:t>-0.13</w:t>
                  </w:r>
                </w:p>
              </w:tc>
              <w:tc>
                <w:tcPr>
                  <w:tcW w:w="2070" w:type="dxa"/>
                </w:tcPr>
                <w:p w14:paraId="3CAAE489" w14:textId="77777777" w:rsidR="00FC22CD" w:rsidRDefault="00000000">
                  <w:pPr>
                    <w:pStyle w:val="Compact"/>
                    <w:jc w:val="center"/>
                  </w:pPr>
                  <w:r>
                    <w:t>[-0.208, -0.058]</w:t>
                  </w:r>
                </w:p>
              </w:tc>
              <w:tc>
                <w:tcPr>
                  <w:tcW w:w="1620" w:type="dxa"/>
                </w:tcPr>
                <w:p w14:paraId="030E371C" w14:textId="77777777" w:rsidR="00FC22CD" w:rsidRDefault="00000000">
                  <w:pPr>
                    <w:pStyle w:val="Compact"/>
                    <w:jc w:val="center"/>
                  </w:pPr>
                  <w:r>
                    <w:t>0.998</w:t>
                  </w:r>
                </w:p>
              </w:tc>
            </w:tr>
            <w:tr w:rsidR="00FC22CD" w14:paraId="3FF435D2" w14:textId="77777777" w:rsidTr="006A7D27">
              <w:tc>
                <w:tcPr>
                  <w:tcW w:w="4140" w:type="dxa"/>
                </w:tcPr>
                <w:p w14:paraId="6275162C" w14:textId="171CC8E9" w:rsidR="00FC22CD" w:rsidRDefault="006A7D27" w:rsidP="006A7D27">
                  <w:pPr>
                    <w:pStyle w:val="Compact"/>
                  </w:pPr>
                  <w:r>
                    <w:t xml:space="preserve">     </w:t>
                  </w:r>
                  <w:r w:rsidR="00000000">
                    <w:t>below poverty vs. above poverty</w:t>
                  </w:r>
                </w:p>
              </w:tc>
              <w:tc>
                <w:tcPr>
                  <w:tcW w:w="1440" w:type="dxa"/>
                </w:tcPr>
                <w:p w14:paraId="40E082B5" w14:textId="77777777" w:rsidR="00FC22CD" w:rsidRDefault="00000000">
                  <w:pPr>
                    <w:pStyle w:val="Compact"/>
                    <w:jc w:val="center"/>
                  </w:pPr>
                  <w:r>
                    <w:t>-0.039</w:t>
                  </w:r>
                </w:p>
              </w:tc>
              <w:tc>
                <w:tcPr>
                  <w:tcW w:w="2070" w:type="dxa"/>
                </w:tcPr>
                <w:p w14:paraId="000322BD" w14:textId="77777777" w:rsidR="00FC22CD" w:rsidRDefault="00000000">
                  <w:pPr>
                    <w:pStyle w:val="Compact"/>
                    <w:jc w:val="center"/>
                  </w:pPr>
                  <w:r>
                    <w:t>[-0.073, -0.008]</w:t>
                  </w:r>
                </w:p>
              </w:tc>
              <w:tc>
                <w:tcPr>
                  <w:tcW w:w="1620" w:type="dxa"/>
                </w:tcPr>
                <w:p w14:paraId="13585CFE" w14:textId="77777777" w:rsidR="00FC22CD" w:rsidRDefault="00000000">
                  <w:pPr>
                    <w:pStyle w:val="Compact"/>
                    <w:jc w:val="center"/>
                  </w:pPr>
                  <w:r>
                    <w:t>0.98</w:t>
                  </w:r>
                </w:p>
              </w:tc>
            </w:tr>
            <w:tr w:rsidR="006A7D27" w14:paraId="079D64A9" w14:textId="77777777" w:rsidTr="006A7D27">
              <w:tc>
                <w:tcPr>
                  <w:tcW w:w="9270" w:type="dxa"/>
                  <w:gridSpan w:val="4"/>
                </w:tcPr>
                <w:p w14:paraId="702647CD" w14:textId="64DA3C74" w:rsidR="006A7D27" w:rsidRDefault="006A7D27">
                  <w:pPr>
                    <w:pStyle w:val="Compact"/>
                  </w:pPr>
                  <w:r>
                    <w:t xml:space="preserve"> 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r>
            <w:bookmarkEnd w:id="29"/>
          </w:tbl>
          <w:p w14:paraId="3C2B4B23" w14:textId="77777777" w:rsidR="00FC22CD" w:rsidRDefault="00FC22CD"/>
        </w:tc>
      </w:tr>
    </w:tbl>
    <w:p w14:paraId="07376F61" w14:textId="77777777" w:rsidR="00FC22CD" w:rsidRDefault="00000000">
      <w:pPr>
        <w:pStyle w:val="Heading2"/>
      </w:pPr>
      <w:bookmarkStart w:id="30" w:name="model-calibration-1"/>
      <w:bookmarkEnd w:id="28"/>
      <w:r>
        <w:t>Model Calibration</w:t>
      </w:r>
    </w:p>
    <w:p w14:paraId="74B88C44" w14:textId="77777777" w:rsidR="00FC22CD" w:rsidRDefault="00000000">
      <w:pPr>
        <w:pStyle w:val="FirstParagraph"/>
      </w:pPr>
      <w:r>
        <w:t>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14:paraId="66E9F719" w14:textId="77777777" w:rsidR="00FC22CD" w:rsidRDefault="00FC22CD">
      <w:pPr>
        <w:pStyle w:val="BodyText"/>
      </w:pPr>
      <w:hyperlink w:anchor="fig-cal">
        <w:r>
          <w:rPr>
            <w:rStyle w:val="Hyperlink"/>
          </w:rPr>
          <w:t>Figure 3</w:t>
        </w:r>
      </w:hyperlink>
      <w:r w:rsidR="00000000">
        <w:t xml:space="preserve"> shows the calibration plots for the raw and calibrated probabilities for the no lag and 2-week lagged model. It also includes a histogram of raw probabilities that demonstrates our models produced variable predicted probabilities, spanning nearly the </w:t>
      </w:r>
      <w:r w:rsidR="00000000">
        <w:lastRenderedPageBreak/>
        <w:t>entire 0 - 1 range. Calibration plots and brier scores for all 5 models are available in the supplement.</w:t>
      </w:r>
    </w:p>
    <w:tbl>
      <w:tblPr>
        <w:tblStyle w:val="Table"/>
        <w:tblW w:w="5000" w:type="pct"/>
        <w:tblLayout w:type="fixed"/>
        <w:tblLook w:val="0000" w:firstRow="0" w:lastRow="0" w:firstColumn="0" w:lastColumn="0" w:noHBand="0" w:noVBand="0"/>
      </w:tblPr>
      <w:tblGrid>
        <w:gridCol w:w="9360"/>
      </w:tblGrid>
      <w:tr w:rsidR="00FC22CD" w14:paraId="764D9120" w14:textId="77777777">
        <w:tc>
          <w:tcPr>
            <w:tcW w:w="7920" w:type="dxa"/>
          </w:tcPr>
          <w:p w14:paraId="38B97796" w14:textId="77777777" w:rsidR="00FC22CD" w:rsidRDefault="00000000">
            <w:pPr>
              <w:pStyle w:val="Compact"/>
              <w:jc w:val="center"/>
            </w:pPr>
            <w:bookmarkStart w:id="31" w:name="fig-cal"/>
            <w:r>
              <w:rPr>
                <w:noProof/>
              </w:rPr>
              <w:drawing>
                <wp:inline distT="0" distB="0" distL="0" distR="0" wp14:anchorId="60E3BCF5" wp14:editId="1BD4F1D3">
                  <wp:extent cx="5334000" cy="5334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ndex_files/figure-docx/notebooks-mak_figures-fig-cal-outpu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E2D98D9" w14:textId="77777777" w:rsidR="00FC22CD" w:rsidRDefault="00000000">
            <w:pPr>
              <w:pStyle w:val="ImageCaption"/>
              <w:spacing w:before="200"/>
            </w:pPr>
            <w:r>
              <w:t>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tc>
        <w:bookmarkEnd w:id="31"/>
      </w:tr>
    </w:tbl>
    <w:p w14:paraId="66F63A02" w14:textId="77777777" w:rsidR="00FC22CD" w:rsidRDefault="00000000">
      <w:pPr>
        <w:pStyle w:val="Heading2"/>
      </w:pPr>
      <w:bookmarkStart w:id="32" w:name="feature-importance"/>
      <w:bookmarkEnd w:id="30"/>
      <w:r>
        <w:lastRenderedPageBreak/>
        <w:t>Feature Importance</w:t>
      </w:r>
    </w:p>
    <w:p w14:paraId="0F1C5DF5" w14:textId="77777777" w:rsidR="00FC22CD" w:rsidRDefault="00000000">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w:t>
      </w:r>
      <w:hyperlink w:anchor="fig-4">
        <w:r w:rsidR="00FC22CD">
          <w:rPr>
            <w:rStyle w:val="Hyperlink"/>
          </w:rPr>
          <w:t>Figure 4</w:t>
        </w:r>
      </w:hyperlink>
      <w:r>
        <w:t xml:space="preserve"> 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w="5000" w:type="pct"/>
        <w:tblLayout w:type="fixed"/>
        <w:tblLook w:val="0000" w:firstRow="0" w:lastRow="0" w:firstColumn="0" w:lastColumn="0" w:noHBand="0" w:noVBand="0"/>
      </w:tblPr>
      <w:tblGrid>
        <w:gridCol w:w="9360"/>
      </w:tblGrid>
      <w:tr w:rsidR="00FC22CD" w14:paraId="072EF39E" w14:textId="77777777">
        <w:tc>
          <w:tcPr>
            <w:tcW w:w="7920" w:type="dxa"/>
          </w:tcPr>
          <w:p w14:paraId="4E4D43D0" w14:textId="77777777" w:rsidR="00FC22CD" w:rsidRDefault="00000000">
            <w:pPr>
              <w:pStyle w:val="Compact"/>
              <w:jc w:val="center"/>
            </w:pPr>
            <w:bookmarkStart w:id="33" w:name="fig-4"/>
            <w:r>
              <w:rPr>
                <w:noProof/>
              </w:rPr>
              <w:drawing>
                <wp:inline distT="0" distB="0" distL="0" distR="0" wp14:anchorId="534DF7EE" wp14:editId="712D3BDA">
                  <wp:extent cx="5334000" cy="333374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ndex_files/figure-docx/notebooks-mak_figures-fig-4-output-1.png"/>
                          <pic:cNvPicPr>
                            <a:picLocks noChangeAspect="1" noChangeArrowheads="1"/>
                          </pic:cNvPicPr>
                        </pic:nvPicPr>
                        <pic:blipFill>
                          <a:blip r:embed="rId13"/>
                          <a:stretch>
                            <a:fillRect/>
                          </a:stretch>
                        </pic:blipFill>
                        <pic:spPr bwMode="auto">
                          <a:xfrm>
                            <a:off x="0" y="0"/>
                            <a:ext cx="5334000" cy="3333749"/>
                          </a:xfrm>
                          <a:prstGeom prst="rect">
                            <a:avLst/>
                          </a:prstGeom>
                          <a:noFill/>
                          <a:ln w="9525">
                            <a:noFill/>
                            <a:headEnd/>
                            <a:tailEnd/>
                          </a:ln>
                        </pic:spPr>
                      </pic:pic>
                    </a:graphicData>
                  </a:graphic>
                </wp:inline>
              </w:drawing>
            </w:r>
          </w:p>
          <w:p w14:paraId="052F6B2B" w14:textId="77777777" w:rsidR="00FC22CD" w:rsidRDefault="00000000">
            <w:pPr>
              <w:pStyle w:val="ImageCaption"/>
              <w:spacing w:before="200"/>
            </w:pPr>
            <w:r>
              <w:t>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tc>
        <w:bookmarkEnd w:id="33"/>
      </w:tr>
    </w:tbl>
    <w:p w14:paraId="76E9398E" w14:textId="77777777" w:rsidR="00FC22CD" w:rsidRDefault="00000000">
      <w:pPr>
        <w:pStyle w:val="Heading1"/>
      </w:pPr>
      <w:bookmarkStart w:id="34" w:name="discussion"/>
      <w:bookmarkEnd w:id="21"/>
      <w:bookmarkEnd w:id="32"/>
      <w:r>
        <w:t>Discussion</w:t>
      </w:r>
    </w:p>
    <w:p w14:paraId="6C51EB7A" w14:textId="77777777" w:rsidR="00FC22CD" w:rsidRDefault="00000000">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t>
      </w:r>
      <w:r>
        <w:lastRenderedPageBreak/>
        <w:t>which made the most distal predictions, had a .85 median posterior probability for auROC, suggesting lagged models can be used to shift a 24-hour prediction window meaningfully into the future.</w:t>
      </w:r>
    </w:p>
    <w:p w14:paraId="1DC3A0EE" w14:textId="77777777" w:rsidR="00FC22CD" w:rsidRDefault="00000000">
      <w:pPr>
        <w:pStyle w:val="BodyText"/>
      </w:pPr>
      <w:r>
        <w:t>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14:paraId="75019CCE" w14:textId="77777777" w:rsidR="00FC22CD" w:rsidRDefault="00000000">
      <w:pPr>
        <w:pStyle w:val="BodyText"/>
      </w:pPr>
      <w:r>
        <w:t>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p w14:paraId="59E97C93" w14:textId="77777777" w:rsidR="00FC22CD" w:rsidRDefault="00000000">
      <w:pPr>
        <w:pStyle w:val="Heading2"/>
      </w:pPr>
      <w:bookmarkStart w:id="35" w:name="model-fairness"/>
      <w:r>
        <w:t>Model Fairness</w:t>
      </w:r>
    </w:p>
    <w:p w14:paraId="6D5D0969" w14:textId="77777777" w:rsidR="00FC22CD" w:rsidRDefault="00000000">
      <w:pPr>
        <w:pStyle w:val="FirstParagraph"/>
      </w:pPr>
      <w:r>
        <w:t>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 (Veinot, Mitchell, and Ancker 2018).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14:paraId="253F0492" w14:textId="77777777" w:rsidR="00FC22CD" w:rsidRDefault="00000000">
      <w:pPr>
        <w:pStyle w:val="BodyText"/>
      </w:pPr>
      <w:r>
        <w:t>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N</w:t>
      </w:r>
      <w:r>
        <w:t xml:space="preserve"> = 20, 13%). Individuals below the poverty line were also underrepresented, though to a lesser degree (</w:t>
      </w:r>
      <w:r>
        <w:rPr>
          <w:i/>
          <w:iCs/>
        </w:rPr>
        <w:t>N</w:t>
      </w:r>
      <w:r>
        <w:t xml:space="preserve"> = 49, 32%).</w:t>
      </w:r>
    </w:p>
    <w:p w14:paraId="7D9F1F97" w14:textId="77777777" w:rsidR="00FC22CD" w:rsidRDefault="00000000">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 (Wyant et al. under review). In a separate project, we developed a national recruitment method that allowed us to recruit for racial, ethnic and income diversity while also focusing on much needed diversity across geographic location (e.g, rural vs. urban; </w:t>
      </w:r>
      <w:r>
        <w:lastRenderedPageBreak/>
        <w:t>(Moshontz et al. 2021)).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 (Lee et al. 2023; Lister et al. 2020).</w:t>
      </w:r>
    </w:p>
    <w:p w14:paraId="5C8BD9CB" w14:textId="77777777" w:rsidR="00FC22CD" w:rsidRDefault="00000000">
      <w:pPr>
        <w:pStyle w:val="BodyText"/>
      </w:pPr>
      <w:r>
        <w:t>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(Fisher 2015; David et al. 2018; Roche et al. 2014; Wright et al. 2016)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(Pulick, Curtin, and Mintz 2025). Such models may mitigate issues of unfairness to a large degree because they will weigh the individual’s own data more heavily than group level estimates over time as more data accrue.</w:t>
      </w:r>
    </w:p>
    <w:p w14:paraId="7C2F16FC" w14:textId="77777777" w:rsidR="00FC22CD" w:rsidRDefault="00000000">
      <w:pPr>
        <w:pStyle w:val="BodyText"/>
      </w:pPr>
      <w:r>
        <w:t>Of note, problems with model fairness can emerge even when subgroups are well-represented in the training data. Our models performed less well for women compared to men despite the fact that women were well-represented in the training data (</w:t>
      </w:r>
      <w:r>
        <w:rPr>
          <w:i/>
          <w:iCs/>
        </w:rPr>
        <w:t>N</w:t>
      </w:r>
      <w:r>
        <w:t xml:space="preserve"> =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 (Studies et al. 1994) that mandated the inclusion of minorities and women in research, women were mostly excluded from substance use treatment research due to their childbearing potential (Vannicelli and Nash 1984).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 (Walitzer and Dearing 2006), hormonal changes (McHugh et al. 2018)), and other groups under-represented in the literature before we can fully address these performance disparities.</w:t>
      </w:r>
    </w:p>
    <w:p w14:paraId="3591C45F" w14:textId="77777777" w:rsidR="00FC22CD" w:rsidRDefault="00000000">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 (Tausczik and Pennebaker 2010; Blei, Ng, and Jordan 2003; Devlin et al. 2019)) to text messages and other social media activity by our participants to engineer features that may predict their future lapses. Such </w:t>
      </w:r>
      <w:r>
        <w:lastRenderedPageBreak/>
        <w:t>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(Molnar 2022) can be applied to models that perform well to bootstrap the identification of new lapse risk constructs based on these novel features.</w:t>
      </w:r>
    </w:p>
    <w:p w14:paraId="3427500C" w14:textId="77777777" w:rsidR="00FC22CD" w:rsidRDefault="00000000">
      <w:pPr>
        <w:pStyle w:val="BodyText"/>
      </w:pPr>
      <w:r>
        <w:t>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 (Meyers et al. 2021)) may feel less trusting in disclosing substance use (Marwick and Boyd 2018).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p w14:paraId="6336A689" w14:textId="77777777" w:rsidR="00FC22CD" w:rsidRDefault="00000000">
      <w:pPr>
        <w:pStyle w:val="Heading2"/>
      </w:pPr>
      <w:bookmarkStart w:id="36" w:name="model-characterization-1"/>
      <w:bookmarkEnd w:id="35"/>
      <w:r>
        <w:t>Model Characterization</w:t>
      </w:r>
    </w:p>
    <w:p w14:paraId="429FCF3A" w14:textId="77777777" w:rsidR="00FC22CD" w:rsidRDefault="00000000">
      <w:pPr>
        <w:pStyle w:val="Heading3"/>
      </w:pPr>
      <w:bookmarkStart w:id="37" w:name="calibration"/>
      <w:r>
        <w:t>Calibration</w:t>
      </w:r>
    </w:p>
    <w:p w14:paraId="07DDCEC6" w14:textId="77777777" w:rsidR="00FC22CD" w:rsidRDefault="00000000">
      <w:pPr>
        <w:pStyle w:val="FirstParagraph"/>
      </w:pPr>
      <w:r>
        <w:t>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14:paraId="63522837" w14:textId="77777777" w:rsidR="00FC22CD" w:rsidRDefault="00000000">
      <w:pPr>
        <w:pStyle w:val="BodyText"/>
      </w:pPr>
      <w:r>
        <w:t>This pattern may not be necessarily problematic. Research suggests that people often struggle to interpret probabilistic feedback, especially when it’s provided in raw numerical form (Zikmund-Fisher 2013; Fagerlin et al. 2007; Zipkin et al. 2014). As a result, it may be more effective to communicate risk using coarser categories (e.g., low, medium, or high risk) or through relative changes in risk (e.g., “Your risk of lapse is higher this week compared to last week”). These forms of feedback may be less sensitive to small miscalibrations at the extremes as long as the relationship between predicted probabilities and the observed event rate is monotonic.</w:t>
      </w:r>
    </w:p>
    <w:p w14:paraId="61DDBF36" w14:textId="77777777" w:rsidR="00FC22CD" w:rsidRDefault="00000000">
      <w:pPr>
        <w:pStyle w:val="Heading3"/>
      </w:pPr>
      <w:bookmarkStart w:id="38" w:name="feature-importance-1"/>
      <w:bookmarkEnd w:id="37"/>
      <w:r>
        <w:t>Feature importance</w:t>
      </w:r>
    </w:p>
    <w:p w14:paraId="12FD76C7" w14:textId="77777777" w:rsidR="00FC22CD" w:rsidRDefault="00000000">
      <w:pPr>
        <w:pStyle w:val="FirstParagraph"/>
      </w:pPr>
      <w:r>
        <w:t xml:space="preserve">The relative ordering of top global features remained somewhat consistent across the no lag and 2-week lagged models. Past use was the most important feature in both models in </w:t>
      </w:r>
      <w:r>
        <w:lastRenderedPageBreak/>
        <w:t>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 (Marlatt and Gordon 1985)).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14:paraId="20C262F2" w14:textId="77777777" w:rsidR="00FC22CD" w:rsidRDefault="00000000">
      <w:pPr>
        <w:pStyle w:val="BodyText"/>
      </w:pPr>
      <w:r>
        <w:t>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 “one day at a time” mindset). Self-efficacy may become a more stable predictor of future abstinence success after longer periods of recovery, but our sample was limited to participants in early recovery (&lt;= 8 weeks of abstinence at intake).</w:t>
      </w:r>
    </w:p>
    <w:p w14:paraId="5C5AAFA9" w14:textId="77777777" w:rsidR="00FC22CD" w:rsidRDefault="00000000">
      <w:pPr>
        <w:pStyle w:val="BodyText"/>
      </w:pPr>
      <w:r>
        <w:t>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 “teachable moments” that can be used to reinforce recovery motivation, better understand risks, and develop skills to address those risks (Witkiewitz and Marlatt 2007). Conversely, lapses should not be ignored because they remain strong predictors of further use.</w:t>
      </w:r>
    </w:p>
    <w:p w14:paraId="1E11C6C1" w14:textId="77777777" w:rsidR="00FC22CD" w:rsidRDefault="00000000">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w:t>
      </w:r>
      <w:r>
        <w:lastRenderedPageBreak/>
        <w:t>assess future risks and/or makes use of a recovery monitoring prediction model like our lagged model.</w:t>
      </w:r>
    </w:p>
    <w:p w14:paraId="2B02A438" w14:textId="77777777" w:rsidR="00FC22CD" w:rsidRDefault="00000000">
      <w:pPr>
        <w:pStyle w:val="BodyText"/>
      </w:pPr>
      <w:r>
        <w:t>We were also surprised that stressful events, pleasant events, and affective state features did not make more important contributions to predictions across models. These constructs are highlighted in numerous theories about addiction and relapse (Marlatt and Gordon 1985; Witkiewitz and Marlatt 2004; Rawson et al. 1995) and represent targets for intervention in many existing treatments (McHugh, Hearon, and Otto 2010; Liese and Beck 2022; Bowen et al. 2021; Center for Substance Abuse Treatment 2006).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 (Molnar 2022). Alternatively, we may need to more carefully consider the nuanced role that these constructs play in the return to alcohol use during recovery (Fronk et al. 2020).</w:t>
      </w:r>
    </w:p>
    <w:p w14:paraId="1F62C479" w14:textId="77777777" w:rsidR="00FC22CD" w:rsidRDefault="00000000">
      <w:pPr>
        <w:pStyle w:val="Heading2"/>
      </w:pPr>
      <w:bookmarkStart w:id="39" w:name="X40ab624ebf83813907a18dba36edd4d1d14a553"/>
      <w:bookmarkEnd w:id="36"/>
      <w:bookmarkEnd w:id="38"/>
      <w:r>
        <w:t>Additional Limitations and Future Directions</w:t>
      </w:r>
    </w:p>
    <w:p w14:paraId="2B181E6A" w14:textId="77777777" w:rsidR="00FC22CD" w:rsidRDefault="00000000">
      <w:pPr>
        <w:pStyle w:val="FirstParagraph"/>
      </w:pPr>
      <w:r>
        <w:t>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14:paraId="575394C9" w14:textId="77777777" w:rsidR="00FC22CD" w:rsidRDefault="00000000">
      <w:pPr>
        <w:pStyle w:val="BodyText"/>
      </w:pPr>
      <w:r>
        <w:t>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14:paraId="3C7FB96A" w14:textId="77777777" w:rsidR="00FC22CD" w:rsidRDefault="00000000">
      <w:pPr>
        <w:pStyle w:val="BodyText"/>
      </w:pPr>
      <w:r>
        <w:t>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14:paraId="0AF8DB8C" w14:textId="77777777" w:rsidR="00FC22CD" w:rsidRDefault="00000000">
      <w:pPr>
        <w:pStyle w:val="BodyText"/>
      </w:pPr>
      <w:r>
        <w:lastRenderedPageBreak/>
        <w:t>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 (Wyant et al. under review).</w:t>
      </w:r>
    </w:p>
    <w:p w14:paraId="080B3AA4" w14:textId="77777777" w:rsidR="00FC22CD" w:rsidRDefault="00000000">
      <w:pPr>
        <w:pStyle w:val="BodyText"/>
      </w:pPr>
      <w:r>
        <w:t>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 (Moshontz et al. 2021). These data will allow us to train models with longer lags and to better evaluate the impact of data loss on model performance because lag time can be increased substantially with proportionally less data loss given 52 weeks of labeled observations per participant.</w:t>
      </w:r>
    </w:p>
    <w:p w14:paraId="31D56292" w14:textId="77777777" w:rsidR="00FC22CD" w:rsidRDefault="00000000">
      <w:pPr>
        <w:pStyle w:val="BodyText"/>
      </w:pPr>
      <w:r>
        <w:t>Our use of features from 4x daily EMA as model inputs may raise concerns about measurement burden. We confirmed that participants can comply with such EMA schedules over this time period and that they find it acceptable given its potential benefits to them (Wyant et al. 2023; see also Jones et al. 2019). However, frequent daily surveys may become too burdensome within a RMSS intended for use over many, many months to years for long-term continuing care. We have begun to address this concern by training no lag models with fewer EMAs (1x daily) and have found comparable performance (Pulick, Curtin, and Mintz 2025).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14:paraId="62334F55" w14:textId="77777777" w:rsidR="00FC22CD" w:rsidRDefault="00000000">
      <w:pPr>
        <w:pStyle w:val="BodyText"/>
      </w:pPr>
      <w:r>
        <w:t>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(Huang, Li, and Yue 2010; Xie, Deng, and Zhou 2009) or collected from the user directly (Moshontz et al. 2021).</w:t>
      </w:r>
    </w:p>
    <w:p w14:paraId="657756FA" w14:textId="77777777" w:rsidR="00FC22CD" w:rsidRDefault="00000000">
      <w:pPr>
        <w:pStyle w:val="Heading2"/>
      </w:pPr>
      <w:bookmarkStart w:id="40" w:name="conclusions"/>
      <w:bookmarkEnd w:id="39"/>
      <w:r>
        <w:lastRenderedPageBreak/>
        <w:t>Conclusions</w:t>
      </w:r>
    </w:p>
    <w:p w14:paraId="2E50B2A0" w14:textId="77777777" w:rsidR="00FC22CD" w:rsidRDefault="00000000">
      <w:pPr>
        <w:pStyle w:val="FirstParagraph"/>
      </w:pPr>
      <w:r>
        <w:t>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p w14:paraId="68E17CFD" w14:textId="77777777" w:rsidR="00FC22CD" w:rsidRDefault="00000000">
      <w:pPr>
        <w:pStyle w:val="Heading1"/>
      </w:pPr>
      <w:bookmarkStart w:id="41" w:name="references"/>
      <w:bookmarkEnd w:id="34"/>
      <w:bookmarkEnd w:id="40"/>
      <w:r>
        <w:t>References</w:t>
      </w:r>
    </w:p>
    <w:p w14:paraId="2D84E016" w14:textId="77777777" w:rsidR="00FC22CD" w:rsidRDefault="00000000">
      <w:pPr>
        <w:pStyle w:val="Bibliography"/>
      </w:pPr>
      <w:bookmarkStart w:id="42" w:name="X126aebe61d5329fdf5f31356b05d81ee3379203"/>
      <w:bookmarkStart w:id="43" w:name="refs"/>
      <w:r>
        <w:t xml:space="preserve">Aczel, Balazs, Barnabas Szaszi, Alexandra Sarafoglou, Zoltan Kekecs, Šimon Kucharský, Daniel Benjamin, Christopher D. Chambers, et al. 2019. “A Consensus-Based Transparency Checklist.” </w:t>
      </w:r>
      <w:r>
        <w:rPr>
          <w:i/>
          <w:iCs/>
        </w:rPr>
        <w:t>Nature Human Behaviour</w:t>
      </w:r>
      <w:r>
        <w:t xml:space="preserve">, December, 1–3. </w:t>
      </w:r>
      <w:hyperlink r:id="rId14">
        <w:r w:rsidR="00FC22CD">
          <w:rPr>
            <w:rStyle w:val="Hyperlink"/>
          </w:rPr>
          <w:t>https://doi.org/10.1038/s41562-019-0772-6</w:t>
        </w:r>
      </w:hyperlink>
      <w:r>
        <w:t>.</w:t>
      </w:r>
    </w:p>
    <w:p w14:paraId="5D956E3A" w14:textId="77777777" w:rsidR="00FC22CD" w:rsidRDefault="00000000">
      <w:pPr>
        <w:pStyle w:val="Bibliography"/>
      </w:pPr>
      <w:bookmarkStart w:id="44" w:name="ref-bickmanAchievingPrecisionMental2016"/>
      <w:bookmarkEnd w:id="42"/>
      <w:r>
        <w:t xml:space="preserve">Bickman, Leonard, Aaron R. Lyon, and Miranda Wolpert. 2016. “Achieving Precision Mental Health Through Effective Assessment, Monitoring, and Feedback Processes.” </w:t>
      </w:r>
      <w:r>
        <w:rPr>
          <w:i/>
          <w:iCs/>
        </w:rPr>
        <w:t>Administration and Policy in Mental Health and Mental Health Services Research</w:t>
      </w:r>
      <w:r>
        <w:t xml:space="preserve"> 43 (3): 271–76. </w:t>
      </w:r>
      <w:hyperlink r:id="rId15">
        <w:r w:rsidR="00FC22CD">
          <w:rPr>
            <w:rStyle w:val="Hyperlink"/>
          </w:rPr>
          <w:t>https://doi.org/10.1007/s10488-016-0718-5</w:t>
        </w:r>
      </w:hyperlink>
      <w:r>
        <w:t>.</w:t>
      </w:r>
    </w:p>
    <w:p w14:paraId="48B296CA" w14:textId="77777777" w:rsidR="00FC22CD" w:rsidRDefault="00000000">
      <w:pPr>
        <w:pStyle w:val="Bibliography"/>
      </w:pPr>
      <w:bookmarkStart w:id="45" w:name="ref-bleiLatentDirichletAllocation2003"/>
      <w:bookmarkEnd w:id="44"/>
      <w:r>
        <w:t xml:space="preserve">Blei, David M., Andrew Y. Ng, and Michael I. Jordan. 2003. “Latent Dirichlet Allocation.” </w:t>
      </w:r>
      <w:r>
        <w:rPr>
          <w:i/>
          <w:iCs/>
        </w:rPr>
        <w:t>J. Mach. Learn. Res.</w:t>
      </w:r>
      <w:r>
        <w:t xml:space="preserve"> 3 (null): 993–1022.</w:t>
      </w:r>
    </w:p>
    <w:p w14:paraId="064F968F" w14:textId="77777777" w:rsidR="00FC22CD" w:rsidRDefault="00000000">
      <w:pPr>
        <w:pStyle w:val="Bibliography"/>
      </w:pPr>
      <w:bookmarkStart w:id="46" w:name="X6c5adf42984d4dcd96717e3e06f47f768bdce11"/>
      <w:bookmarkEnd w:id="45"/>
      <w:r>
        <w:t xml:space="preserve">Bowen, Sarah, Neha Chawla, Joel Grow, and G. Alan Marlatt. 2021. </w:t>
      </w:r>
      <w:r>
        <w:rPr>
          <w:i/>
          <w:iCs/>
        </w:rPr>
        <w:t>Mindfulness-Based Relapse Prevention for Addictive Behaviors: A Clinician’s Guide</w:t>
      </w:r>
      <w:r>
        <w:t>. Second edition. New York: The Guilford Press.</w:t>
      </w:r>
    </w:p>
    <w:p w14:paraId="364F90E4" w14:textId="77777777" w:rsidR="00FC22CD" w:rsidRDefault="00000000">
      <w:pPr>
        <w:pStyle w:val="Bibliography"/>
      </w:pPr>
      <w:bookmarkStart w:id="47" w:name="ref-brandonRelapseRelapsePrevention2007"/>
      <w:bookmarkEnd w:id="46"/>
      <w:r>
        <w:t xml:space="preserve">Brandon, Thomas H., Jennifer Irvin Vidrine, and Erika B. Litvin. 2007. “Relapse and Relapse Prevention.” </w:t>
      </w:r>
      <w:r>
        <w:rPr>
          <w:i/>
          <w:iCs/>
        </w:rPr>
        <w:t>Annual Review of Clinical Psychology</w:t>
      </w:r>
      <w:r>
        <w:t xml:space="preserve"> 3 (1): 257–84. </w:t>
      </w:r>
      <w:hyperlink r:id="rId16">
        <w:r w:rsidR="00FC22CD">
          <w:rPr>
            <w:rStyle w:val="Hyperlink"/>
          </w:rPr>
          <w:t>https://doi.org/10.1146/annurev.clinpsy.3.022806.091455</w:t>
        </w:r>
      </w:hyperlink>
      <w:r>
        <w:t>.</w:t>
      </w:r>
    </w:p>
    <w:p w14:paraId="2576435C" w14:textId="77777777" w:rsidR="00FC22CD" w:rsidRDefault="00000000">
      <w:pPr>
        <w:pStyle w:val="Bibliography"/>
      </w:pPr>
      <w:bookmarkStart w:id="48" w:name="ref-chtc"/>
      <w:bookmarkEnd w:id="47"/>
      <w:r>
        <w:t xml:space="preserve">Center for High Throughput Computing. 2006. “Center for High Throughput Computing.” Center for High Throughput Computing. </w:t>
      </w:r>
      <w:hyperlink r:id="rId17">
        <w:r w:rsidR="00FC22CD">
          <w:rPr>
            <w:rStyle w:val="Hyperlink"/>
          </w:rPr>
          <w:t>https://doi.org/10.21231/GNT1-HW21</w:t>
        </w:r>
      </w:hyperlink>
      <w:r>
        <w:t>.</w:t>
      </w:r>
    </w:p>
    <w:p w14:paraId="4502F3AB" w14:textId="77777777" w:rsidR="00FC22CD" w:rsidRDefault="00000000">
      <w:pPr>
        <w:pStyle w:val="Bibliography"/>
      </w:pPr>
      <w:bookmarkStart w:id="49" w:name="X8e0e943878d1a2c3026b4a46f6c482e09849b94"/>
      <w:bookmarkEnd w:id="48"/>
      <w:r>
        <w:t xml:space="preserve">Center for Substance Abuse Treatment. 2006. </w:t>
      </w:r>
      <w:r>
        <w:rPr>
          <w:i/>
          <w:iCs/>
        </w:rPr>
        <w:t>Counselor’s Treatment Manual: Matrix Intensive Outpatient Treatment for People With Stimulant Use Disorders</w:t>
      </w:r>
      <w:r>
        <w:t xml:space="preserve">. HHS Publication </w:t>
      </w:r>
      <w:r>
        <w:lastRenderedPageBreak/>
        <w:t>No. (SMA) 13-4152. Rockville, MD: Substance Abuse and Mental Health Services Administration.</w:t>
      </w:r>
    </w:p>
    <w:p w14:paraId="1D4AB965" w14:textId="77777777" w:rsidR="00FC22CD" w:rsidRDefault="00000000">
      <w:pPr>
        <w:pStyle w:val="Bibliography"/>
      </w:pPr>
      <w:bookmarkStart w:id="50" w:name="X21d9bc577093464d5d051ef6477b67710b39313"/>
      <w:bookmarkEnd w:id="49"/>
      <w:r>
        <w:t xml:space="preserve">Centers for Disease Control and Prevention (CDC). n.d. “Annual Average for United States 2011–2015 Alcohol-Attributable Deaths Due to Excessive Alcohol Use, All Ages.” </w:t>
      </w:r>
      <w:r>
        <w:rPr>
          <w:i/>
          <w:iCs/>
        </w:rPr>
        <w:t>2022 Alcohol Related Disease Impact (ARDI) Application Website</w:t>
      </w:r>
      <w:r>
        <w:t>. https://nccd.cdc.gov/DPH_ARDI/Default/Default.aspx. Accessed December 14, 2022.</w:t>
      </w:r>
    </w:p>
    <w:p w14:paraId="56B71C1A" w14:textId="77777777" w:rsidR="00FC22CD" w:rsidRDefault="00000000">
      <w:pPr>
        <w:pStyle w:val="Bibliography"/>
      </w:pPr>
      <w:bookmarkStart w:id="51" w:name="Xb70ed90433964dc3a7ede0ee8357d97241623cc"/>
      <w:bookmarkEnd w:id="50"/>
      <w:r>
        <w:t xml:space="preserve">David, Sarah Jo, Andrew J. Marshall, Emma K. Evanovich, and Gregory H. Mumma. 2018. “Intraindividual Dynamic Network Analysis - Implications for Clinical Assessment.” </w:t>
      </w:r>
      <w:r>
        <w:rPr>
          <w:i/>
          <w:iCs/>
        </w:rPr>
        <w:t>Journal of Psychopathology and Behavioral Assessment</w:t>
      </w:r>
      <w:r>
        <w:t xml:space="preserve"> 40 (2): 235–48. </w:t>
      </w:r>
      <w:hyperlink r:id="rId18">
        <w:r w:rsidR="00FC22CD">
          <w:rPr>
            <w:rStyle w:val="Hyperlink"/>
          </w:rPr>
          <w:t>https://doi.org/10.1007/s10862-017-9632-8</w:t>
        </w:r>
      </w:hyperlink>
      <w:r>
        <w:t>.</w:t>
      </w:r>
    </w:p>
    <w:p w14:paraId="49BDE511" w14:textId="77777777" w:rsidR="00FC22CD" w:rsidRDefault="00000000">
      <w:pPr>
        <w:pStyle w:val="Bibliography"/>
      </w:pPr>
      <w:bookmarkStart w:id="52" w:name="ref-dennisManagingAddictionChronic2007"/>
      <w:bookmarkEnd w:id="51"/>
      <w:r>
        <w:t>Dennis, Michael, and Christy K Scott. 2007. “</w:t>
      </w:r>
      <w:hyperlink r:id="rId19">
        <w:r w:rsidR="00FC22CD">
          <w:rPr>
            <w:rStyle w:val="Hyperlink"/>
          </w:rPr>
          <w:t>Managing Addiction as a Chronic Condition</w:t>
        </w:r>
      </w:hyperlink>
      <w:r>
        <w:t xml:space="preserve">.” </w:t>
      </w:r>
      <w:r>
        <w:rPr>
          <w:i/>
          <w:iCs/>
        </w:rPr>
        <w:t>Addiction Science &amp; Clinical Practice</w:t>
      </w:r>
      <w:r>
        <w:t xml:space="preserve"> 4 (1): 45–55.</w:t>
      </w:r>
    </w:p>
    <w:p w14:paraId="15098BEE" w14:textId="77777777" w:rsidR="00FC22CD" w:rsidRDefault="00000000">
      <w:pPr>
        <w:pStyle w:val="Bibliography"/>
      </w:pPr>
      <w:bookmarkStart w:id="53" w:name="ref-derogatislBriefSymptomInventory"/>
      <w:bookmarkEnd w:id="52"/>
      <w:r>
        <w:t xml:space="preserve">Derogatis, L.R. 2000. </w:t>
      </w:r>
      <w:r>
        <w:rPr>
          <w:i/>
          <w:iCs/>
        </w:rPr>
        <w:t>Brief Symptom Inventory 18 - Administration, Scoring, and Procedures Manual</w:t>
      </w:r>
      <w:r>
        <w:t>. Minneapolis: NCS Pearson.</w:t>
      </w:r>
    </w:p>
    <w:p w14:paraId="2A49D944" w14:textId="77777777" w:rsidR="00FC22CD" w:rsidRDefault="00000000">
      <w:pPr>
        <w:pStyle w:val="Bibliography"/>
      </w:pPr>
      <w:bookmarkStart w:id="54" w:name="ref-derubeisHistoryCurrentStatus2019"/>
      <w:bookmarkEnd w:id="53"/>
      <w:r>
        <w:t xml:space="preserve">DeRubeis, Robert J. 2019. “The History, Current Status, and Possible Future of Precision Mental Health.” </w:t>
      </w:r>
      <w:r>
        <w:rPr>
          <w:i/>
          <w:iCs/>
        </w:rPr>
        <w:t>Behaviour Research and Therapy</w:t>
      </w:r>
      <w:r>
        <w:t xml:space="preserve"> 123 (December): 103506. </w:t>
      </w:r>
      <w:hyperlink r:id="rId20">
        <w:r w:rsidR="00FC22CD">
          <w:rPr>
            <w:rStyle w:val="Hyperlink"/>
          </w:rPr>
          <w:t>https://doi.org/10.1016/j.brat.2019.103506</w:t>
        </w:r>
      </w:hyperlink>
      <w:r>
        <w:t>.</w:t>
      </w:r>
    </w:p>
    <w:p w14:paraId="6E20DB32" w14:textId="77777777" w:rsidR="00FC22CD" w:rsidRDefault="00000000">
      <w:pPr>
        <w:pStyle w:val="Bibliography"/>
      </w:pPr>
      <w:bookmarkStart w:id="55" w:name="ref-devlinBERTPretrainingDeep2019"/>
      <w:bookmarkEnd w:id="54"/>
      <w:r>
        <w:t xml:space="preserve">Devlin, Jacob, Ming-Wei Chang, Kenton Lee, and Kristina Toutanova. 2019. “BERT: Pre-training of Deep Bidirectional Transformers for Language Understanding.” arXiv. </w:t>
      </w:r>
      <w:hyperlink r:id="rId21">
        <w:r w:rsidR="00FC22CD">
          <w:rPr>
            <w:rStyle w:val="Hyperlink"/>
          </w:rPr>
          <w:t>https://doi.org/10.48550/arXiv.1810.04805</w:t>
        </w:r>
      </w:hyperlink>
      <w:r>
        <w:t>.</w:t>
      </w:r>
    </w:p>
    <w:p w14:paraId="7D85F0AA" w14:textId="77777777" w:rsidR="00FC22CD" w:rsidRDefault="00000000">
      <w:pPr>
        <w:pStyle w:val="Bibliography"/>
      </w:pPr>
      <w:bookmarkStart w:id="56" w:name="ref-fagerlinMakingNumbersMatter2007"/>
      <w:bookmarkEnd w:id="55"/>
      <w:r>
        <w:t xml:space="preserve">Fagerlin, Angela, Peter A. Ubel, Dylan M. Smith, and Brian J. Zikmund-Fisher. 2007. “Making Numbers Matter: Present and Future Research in Risk Communication.” </w:t>
      </w:r>
      <w:r>
        <w:rPr>
          <w:i/>
          <w:iCs/>
        </w:rPr>
        <w:t>American Journal of Health Behavior</w:t>
      </w:r>
      <w:r>
        <w:t xml:space="preserve"> 31 Suppl 1: S47–56. </w:t>
      </w:r>
      <w:hyperlink r:id="rId22">
        <w:r w:rsidR="00FC22CD">
          <w:rPr>
            <w:rStyle w:val="Hyperlink"/>
          </w:rPr>
          <w:t>https://doi.org/10.5555/ajhb.2007.31.supp.S47</w:t>
        </w:r>
      </w:hyperlink>
      <w:r>
        <w:t>.</w:t>
      </w:r>
    </w:p>
    <w:p w14:paraId="166EB25B" w14:textId="77777777" w:rsidR="00FC22CD" w:rsidRDefault="00000000">
      <w:pPr>
        <w:pStyle w:val="Bibliography"/>
      </w:pPr>
      <w:bookmarkStart w:id="57" w:name="ref-fisherDynamicModelPsychological2015"/>
      <w:bookmarkEnd w:id="56"/>
      <w:r>
        <w:t xml:space="preserve">Fisher, Aaron J. 2015. “Toward a Dynamic Model of Psychological Assessment: Implications for Personalized Care.” </w:t>
      </w:r>
      <w:r>
        <w:rPr>
          <w:i/>
          <w:iCs/>
        </w:rPr>
        <w:t>Journal of Consulting and Clinical Psychology</w:t>
      </w:r>
      <w:r>
        <w:t xml:space="preserve"> 83 (4): 825–36. </w:t>
      </w:r>
      <w:hyperlink r:id="rId23">
        <w:r w:rsidR="00FC22CD">
          <w:rPr>
            <w:rStyle w:val="Hyperlink"/>
          </w:rPr>
          <w:t>https://doi.org/10.1037/ccp0000026</w:t>
        </w:r>
      </w:hyperlink>
      <w:r>
        <w:t>.</w:t>
      </w:r>
    </w:p>
    <w:p w14:paraId="2FBD05A1" w14:textId="77777777" w:rsidR="00FC22CD" w:rsidRDefault="00000000">
      <w:pPr>
        <w:pStyle w:val="Bibliography"/>
      </w:pPr>
      <w:bookmarkStart w:id="58" w:name="ref-fronkStressAllostasisSubstance2020"/>
      <w:bookmarkEnd w:id="57"/>
      <w:r>
        <w:t xml:space="preserve">Fronk, Gaylen E., Sarah J. Sant’Ana, Jesse T. Kaye, and John J. Curtin. 2020. “Stress Allostasis in Substance Use Disorders: Promise, Progress, and Emerging Priorities in Clinical Research.” </w:t>
      </w:r>
      <w:r>
        <w:rPr>
          <w:i/>
          <w:iCs/>
        </w:rPr>
        <w:t>Annual Review of Clinical Psychology</w:t>
      </w:r>
      <w:r>
        <w:t xml:space="preserve"> 16 (1): 401–30. </w:t>
      </w:r>
      <w:hyperlink r:id="rId24">
        <w:r w:rsidR="00FC22CD">
          <w:rPr>
            <w:rStyle w:val="Hyperlink"/>
          </w:rPr>
          <w:t>https://doi.org/10.1146/annurev-clinpsy-102419-125016</w:t>
        </w:r>
      </w:hyperlink>
      <w:r>
        <w:t>.</w:t>
      </w:r>
    </w:p>
    <w:p w14:paraId="018DD0A7" w14:textId="77777777" w:rsidR="00FC22CD" w:rsidRDefault="00000000">
      <w:pPr>
        <w:pStyle w:val="Bibliography"/>
      </w:pPr>
      <w:bookmarkStart w:id="59" w:name="ref-gabryPriorDistributionsRstanarm2023"/>
      <w:bookmarkEnd w:id="58"/>
      <w:r>
        <w:t xml:space="preserve">Gabry, Jonah, and Ben Goodrich. 2023. “Prior Distributions for Rstanarm Models.” </w:t>
      </w:r>
      <w:r>
        <w:rPr>
          <w:i/>
          <w:iCs/>
        </w:rPr>
        <w:t>CRAN R-Project</w:t>
      </w:r>
      <w:r>
        <w:t>. https://cran.r-project.org/web/packages/rstanarm/vignettes/priors.html.</w:t>
      </w:r>
    </w:p>
    <w:p w14:paraId="388A3E02" w14:textId="77777777" w:rsidR="00FC22CD" w:rsidRDefault="00000000">
      <w:pPr>
        <w:pStyle w:val="Bibliography"/>
      </w:pPr>
      <w:bookmarkStart w:id="60" w:name="ref-goodrichRstanarmBayesianApplied2023"/>
      <w:bookmarkEnd w:id="59"/>
      <w:r>
        <w:t>Goodrich, Ben, Jonah Gabry, Imad Ali, and Sam Brilleman. 2023. “Rstanarm: Bayesian Applied Regression Modeling via Stan.”</w:t>
      </w:r>
    </w:p>
    <w:p w14:paraId="2A799411" w14:textId="77777777" w:rsidR="00FC22CD" w:rsidRDefault="00000000">
      <w:pPr>
        <w:pStyle w:val="Bibliography"/>
      </w:pPr>
      <w:bookmarkStart w:id="61" w:name="Xa203ab3abd150ead1a7854a9fa5726c8a273f52"/>
      <w:bookmarkEnd w:id="60"/>
      <w:r>
        <w:t xml:space="preserve">Greenfield, Shelly F., Audrey J. Brooks, Susan M. Gordon, Carla A. Green, Frankie Kropp, R. Kathryn McHugh, Melissa Lincoln, Denise Hien, and Gloria M. Miele. 2007. “Substance </w:t>
      </w:r>
      <w:r>
        <w:lastRenderedPageBreak/>
        <w:t xml:space="preserve">Abuse Treatment Entry, Retention, and Outcome in Women: A Review of the Literature.” </w:t>
      </w:r>
      <w:r>
        <w:rPr>
          <w:i/>
          <w:iCs/>
        </w:rPr>
        <w:t>Drug and Alcohol Dependence</w:t>
      </w:r>
      <w:r>
        <w:t xml:space="preserve"> 86 (1): 1–21. </w:t>
      </w:r>
      <w:hyperlink r:id="rId25">
        <w:r w:rsidR="00FC22CD">
          <w:rPr>
            <w:rStyle w:val="Hyperlink"/>
          </w:rPr>
          <w:t>https://doi.org/10.1016/j.drugalcdep.2006.05.012</w:t>
        </w:r>
      </w:hyperlink>
      <w:r>
        <w:t>.</w:t>
      </w:r>
    </w:p>
    <w:p w14:paraId="15321E1B" w14:textId="77777777" w:rsidR="00FC22CD" w:rsidRDefault="00000000">
      <w:pPr>
        <w:pStyle w:val="Bibliography"/>
      </w:pPr>
      <w:bookmarkStart w:id="62" w:name="X76c131a5b0a374a6ad1e33cf8e2c0563392269f"/>
      <w:bookmarkEnd w:id="61"/>
      <w:r>
        <w:t xml:space="preserve">Hastie, Trevor, Robert Tibshirani, and J. H. Friedman. 2009. </w:t>
      </w:r>
      <w:r>
        <w:rPr>
          <w:i/>
          <w:iCs/>
        </w:rPr>
        <w:t>The Elements of Statistical Learning: Data Mining, Inference, and Prediction</w:t>
      </w:r>
      <w:r>
        <w:t>. 2nd ed. Springer Series in Statistics. New York, NY: Springer.</w:t>
      </w:r>
    </w:p>
    <w:p w14:paraId="3EB9A1B0" w14:textId="77777777" w:rsidR="00FC22CD" w:rsidRDefault="00000000">
      <w:pPr>
        <w:pStyle w:val="Bibliography"/>
      </w:pPr>
      <w:bookmarkStart w:id="63" w:name="ref-hedegaardDrugOverdoseDeaths2021"/>
      <w:bookmarkEnd w:id="62"/>
      <w:r>
        <w:t>Hedegaard, Holly, Arialdi M. Miniño, Merianne Rose Spencer, and Margaret Warner. 2021. “Drug Overdose Deaths in the United States, 1999–2020.”</w:t>
      </w:r>
    </w:p>
    <w:p w14:paraId="727CB965" w14:textId="77777777" w:rsidR="00FC22CD" w:rsidRDefault="00000000">
      <w:pPr>
        <w:pStyle w:val="Bibliography"/>
      </w:pPr>
      <w:bookmarkStart w:id="64" w:name="ref-hsiehSampleSizeTables1989"/>
      <w:bookmarkEnd w:id="63"/>
      <w:r>
        <w:t xml:space="preserve">Hsieh, F. 1989. “Sample Size Tables for Logistic Regression.” </w:t>
      </w:r>
      <w:r>
        <w:rPr>
          <w:i/>
          <w:iCs/>
        </w:rPr>
        <w:t>Statistics in Medicine</w:t>
      </w:r>
      <w:r>
        <w:t xml:space="preserve"> 8: 795–802.</w:t>
      </w:r>
    </w:p>
    <w:p w14:paraId="35E15D70" w14:textId="77777777" w:rsidR="00FC22CD" w:rsidRDefault="00000000">
      <w:pPr>
        <w:pStyle w:val="Bibliography"/>
      </w:pPr>
      <w:bookmarkStart w:id="65" w:name="ref-huangActivityIdentificationGPS2010"/>
      <w:bookmarkEnd w:id="64"/>
      <w:r>
        <w:t xml:space="preserve">Huang, Lian, Qingquan Li, and Yang Yue. 2010. “Activity Identification from GPS Trajectories Using Spatial Temporal POIs’ Attractiveness.” In </w:t>
      </w:r>
      <w:r>
        <w:rPr>
          <w:i/>
          <w:iCs/>
        </w:rPr>
        <w:t>Proceedings of the 2nd ACM SIGSPATIAL International Workshop on Location Based Social Networks</w:t>
      </w:r>
      <w:r>
        <w:t xml:space="preserve">, 27–30. LBSN ’10. New York, NY, USA: Association for Computing Machinery. </w:t>
      </w:r>
      <w:hyperlink r:id="rId26">
        <w:r w:rsidR="00FC22CD">
          <w:rPr>
            <w:rStyle w:val="Hyperlink"/>
          </w:rPr>
          <w:t>https://doi.org/10.1145/1867699.1867704</w:t>
        </w:r>
      </w:hyperlink>
      <w:r>
        <w:t>.</w:t>
      </w:r>
    </w:p>
    <w:p w14:paraId="21CA745F" w14:textId="77777777" w:rsidR="00FC22CD" w:rsidRDefault="00000000">
      <w:pPr>
        <w:pStyle w:val="Bibliography"/>
      </w:pPr>
      <w:bookmarkStart w:id="66" w:name="X9dfa929848d202736296032659cec14e42606bb"/>
      <w:bookmarkEnd w:id="65"/>
      <w:r>
        <w:t xml:space="preserve">Jones, Andrew, Danielle Remmerswaal, Ilse Verveer, Eric Robinson, Ingmar H. A. Franken, Cheng K. Fred Wen, and Matt Field. 2019. “Compliance with Ecological Momentary Assessment Protocols in Substance Users: A Meta-Analysis.” </w:t>
      </w:r>
      <w:r>
        <w:rPr>
          <w:i/>
          <w:iCs/>
        </w:rPr>
        <w:t>Addiction (Abingdon, England)</w:t>
      </w:r>
      <w:r>
        <w:t xml:space="preserve"> 114 (4): 609–19. </w:t>
      </w:r>
      <w:hyperlink r:id="rId27">
        <w:r w:rsidR="00FC22CD">
          <w:rPr>
            <w:rStyle w:val="Hyperlink"/>
          </w:rPr>
          <w:t>https://doi.org/10/gfsjzg</w:t>
        </w:r>
      </w:hyperlink>
      <w:r>
        <w:t>.</w:t>
      </w:r>
    </w:p>
    <w:p w14:paraId="6EDF1C74" w14:textId="77777777" w:rsidR="00FC22CD" w:rsidRDefault="00000000">
      <w:pPr>
        <w:pStyle w:val="Bibliography"/>
      </w:pPr>
      <w:bookmarkStart w:id="67" w:name="ref-kilaruIncidenceTreatmentOpioid2020"/>
      <w:bookmarkEnd w:id="66"/>
      <w:r>
        <w:t xml:space="preserve">Kilaru, Austin S., Aria Xiong, Margaret Lowenstein, Zachary F. Meisel, Jeanmarie Perrone, Utsha Khatri, Nandita Mitra, and M. Kit Delgado. 2020. “Incidence of Treatment for Opioid Use Disorder Following Nonfatal Overdose in Commercially Insured Patients.” </w:t>
      </w:r>
      <w:r>
        <w:rPr>
          <w:i/>
          <w:iCs/>
        </w:rPr>
        <w:t>JAMA Network Open</w:t>
      </w:r>
      <w:r>
        <w:t xml:space="preserve"> 3 (5): e205852. </w:t>
      </w:r>
      <w:hyperlink r:id="rId28">
        <w:r w:rsidR="00FC22CD">
          <w:rPr>
            <w:rStyle w:val="Hyperlink"/>
          </w:rPr>
          <w:t>https://doi.org/10.1001/jamanetworkopen.2020.5852</w:t>
        </w:r>
      </w:hyperlink>
      <w:r>
        <w:t>.</w:t>
      </w:r>
    </w:p>
    <w:p w14:paraId="005373F9" w14:textId="77777777" w:rsidR="00FC22CD" w:rsidRDefault="00000000">
      <w:pPr>
        <w:pStyle w:val="Bibliography"/>
      </w:pPr>
      <w:bookmarkStart w:id="68" w:name="X79dffb24bc183d6bf6fe142dbf048fe8e5a5dd0"/>
      <w:bookmarkEnd w:id="67"/>
      <w:r>
        <w:t xml:space="preserve">Kranzler, Henry R., and James R. McKay. 2012. “Personalized Treatment of Alcohol Dependence.” </w:t>
      </w:r>
      <w:r>
        <w:rPr>
          <w:i/>
          <w:iCs/>
        </w:rPr>
        <w:t>Current Psychiatry Reports</w:t>
      </w:r>
      <w:r>
        <w:t xml:space="preserve"> 14 (5): 486–93. </w:t>
      </w:r>
      <w:hyperlink r:id="rId29">
        <w:r w:rsidR="00FC22CD">
          <w:rPr>
            <w:rStyle w:val="Hyperlink"/>
          </w:rPr>
          <w:t>https://doi.org/10.1007/s11920-012-0296-5</w:t>
        </w:r>
      </w:hyperlink>
      <w:r>
        <w:t>.</w:t>
      </w:r>
    </w:p>
    <w:p w14:paraId="1C94C53E" w14:textId="77777777" w:rsidR="00FC22CD" w:rsidRDefault="00000000">
      <w:pPr>
        <w:pStyle w:val="Bibliography"/>
      </w:pPr>
      <w:bookmarkStart w:id="69" w:name="Xa93a98d1ce255982a5ea923c39451c32053b2a2"/>
      <w:bookmarkEnd w:id="68"/>
      <w:r>
        <w:t>Kuhn, Max. 2022. “Tidyposterior: Bayesian Analysis to Compare Models Using Resampling Statistics.”</w:t>
      </w:r>
    </w:p>
    <w:p w14:paraId="125F8E54" w14:textId="77777777" w:rsidR="00FC22CD" w:rsidRDefault="00000000">
      <w:pPr>
        <w:pStyle w:val="Bibliography"/>
      </w:pPr>
      <w:bookmarkStart w:id="70" w:name="ref-kuhnAppliedPredictiveModeling2018"/>
      <w:bookmarkEnd w:id="69"/>
      <w:r>
        <w:t xml:space="preserve">Kuhn, Max, and Kjell Johnson. 2018. </w:t>
      </w:r>
      <w:r>
        <w:rPr>
          <w:i/>
          <w:iCs/>
        </w:rPr>
        <w:t>Applied Predictive Modeling</w:t>
      </w:r>
      <w:r>
        <w:t xml:space="preserve">. 1st ed. 2013, Corr. 2nd printing 2018 edition. New York: Springer. </w:t>
      </w:r>
      <w:hyperlink r:id="rId30">
        <w:r w:rsidR="00FC22CD">
          <w:rPr>
            <w:rStyle w:val="Hyperlink"/>
          </w:rPr>
          <w:t>https://doi.org/10.1007/978-1-4614-6849-3</w:t>
        </w:r>
      </w:hyperlink>
      <w:r>
        <w:t>.</w:t>
      </w:r>
    </w:p>
    <w:p w14:paraId="76E3F438" w14:textId="77777777" w:rsidR="00FC22CD" w:rsidRDefault="00000000">
      <w:pPr>
        <w:pStyle w:val="Bibliography"/>
      </w:pPr>
      <w:bookmarkStart w:id="71" w:name="ref-kuhnTidymodelsCollectionPackages2020"/>
      <w:bookmarkEnd w:id="70"/>
      <w:r>
        <w:t>Kuhn, Max, and Hadley Wickham. 2020. “Tidymodels: A Collection of Packages for Modeling and Machine Learning Using Tidyverse Principles.”</w:t>
      </w:r>
    </w:p>
    <w:p w14:paraId="221D0208" w14:textId="77777777" w:rsidR="00FC22CD" w:rsidRDefault="00000000">
      <w:pPr>
        <w:pStyle w:val="Bibliography"/>
      </w:pPr>
      <w:bookmarkStart w:id="72" w:name="ref-leeUrbanRuralDisparities2023"/>
      <w:bookmarkEnd w:id="71"/>
      <w:r>
        <w:t xml:space="preserve">Lee, Jong Hyung, David C. Wheeler, Emily B. Zimmerman, Anika L. Hines, and Derek A. Chapman. 2023. “Urban–Rural Disparities in Deaths of Despair: A County-Level Analysis 2004–2016 in the U.S.” </w:t>
      </w:r>
      <w:r>
        <w:rPr>
          <w:i/>
          <w:iCs/>
        </w:rPr>
        <w:t>American Journal of Preventive Medicine</w:t>
      </w:r>
      <w:r>
        <w:t xml:space="preserve"> 64 (2): 149–56. </w:t>
      </w:r>
      <w:hyperlink r:id="rId31">
        <w:r w:rsidR="00FC22CD">
          <w:rPr>
            <w:rStyle w:val="Hyperlink"/>
          </w:rPr>
          <w:t>https://doi.org/10.1016/j.amepre.2022.08.022</w:t>
        </w:r>
      </w:hyperlink>
      <w:r>
        <w:t>.</w:t>
      </w:r>
    </w:p>
    <w:p w14:paraId="4DE39FC8" w14:textId="77777777" w:rsidR="00FC22CD" w:rsidRDefault="00000000">
      <w:pPr>
        <w:pStyle w:val="Bibliography"/>
      </w:pPr>
      <w:bookmarkStart w:id="73" w:name="X0943ff04c0b05099bf4a8c8078db37e3463cff7"/>
      <w:bookmarkEnd w:id="72"/>
      <w:r>
        <w:lastRenderedPageBreak/>
        <w:t xml:space="preserve">Liese, Bruce S., and Aaron T. Beck. 2022. </w:t>
      </w:r>
      <w:r>
        <w:rPr>
          <w:i/>
          <w:iCs/>
        </w:rPr>
        <w:t>Cognitive-Behavioral Therapy of Addictive Disorders</w:t>
      </w:r>
      <w:r>
        <w:t>. First edition. New York: The Guilford Press.</w:t>
      </w:r>
    </w:p>
    <w:p w14:paraId="3075A24F" w14:textId="77777777" w:rsidR="00FC22CD" w:rsidRDefault="00000000">
      <w:pPr>
        <w:pStyle w:val="Bibliography"/>
      </w:pPr>
      <w:bookmarkStart w:id="74" w:name="Xaa720cc9c8d959b428cd2035783815a9cba15e0"/>
      <w:bookmarkEnd w:id="73"/>
      <w:r>
        <w:t xml:space="preserve">Lister, Jamey J., Addie Weaver, Jennifer D. Ellis, Joseph A. Himle, and David M. Ledgerwood. 2020. “A Systematic Review of Rural-Specific Barriers to Medication Treatment for Opioid Use Disorder in the United States.” </w:t>
      </w:r>
      <w:r>
        <w:rPr>
          <w:i/>
          <w:iCs/>
        </w:rPr>
        <w:t>The American Journal of Drug and Alcohol Abuse</w:t>
      </w:r>
      <w:r>
        <w:t xml:space="preserve"> 46 (3): 273–88. </w:t>
      </w:r>
      <w:hyperlink r:id="rId32">
        <w:r w:rsidR="00FC22CD">
          <w:rPr>
            <w:rStyle w:val="Hyperlink"/>
          </w:rPr>
          <w:t>https://doi.org/10.1080/00952990.2019.1694536</w:t>
        </w:r>
      </w:hyperlink>
      <w:r>
        <w:t>.</w:t>
      </w:r>
    </w:p>
    <w:p w14:paraId="2BE084B2" w14:textId="77777777" w:rsidR="00FC22CD" w:rsidRDefault="00000000">
      <w:pPr>
        <w:pStyle w:val="Bibliography"/>
      </w:pPr>
      <w:bookmarkStart w:id="75" w:name="X34be55f2a2ff67a14e7206627bb93b426490c87"/>
      <w:bookmarkEnd w:id="74"/>
      <w:r>
        <w:t xml:space="preserve">Lundberg, Scott M., and Su-In Lee. 2017. “A Unified Approach to Interpreting Model Predictions.” In </w:t>
      </w:r>
      <w:r>
        <w:rPr>
          <w:i/>
          <w:iCs/>
        </w:rPr>
        <w:t>Proceedings of the 31st International Conference on Neural Information Processing Systems</w:t>
      </w:r>
      <w:r>
        <w:t>, 4768–77. NIPS’17. Red Hook, NY, USA: Curran Associates Inc.</w:t>
      </w:r>
    </w:p>
    <w:p w14:paraId="5F4F6BE4" w14:textId="77777777" w:rsidR="00FC22CD" w:rsidRDefault="00000000">
      <w:pPr>
        <w:pStyle w:val="Bibliography"/>
      </w:pPr>
      <w:bookmarkStart w:id="76" w:name="X0900e084d2d8751b94683f82b04534ea811d54e"/>
      <w:bookmarkEnd w:id="75"/>
      <w:r>
        <w:t xml:space="preserve">Marlatt, G. Alan, and Judith R. Gordon, eds. 1985. </w:t>
      </w:r>
      <w:r>
        <w:rPr>
          <w:i/>
          <w:iCs/>
        </w:rPr>
        <w:t>Relapse Prevention: Maintenance Strategies in the Treatment of Addictive Behaviors</w:t>
      </w:r>
      <w:r>
        <w:t>. First edition. New York: The Guilford Press.</w:t>
      </w:r>
    </w:p>
    <w:p w14:paraId="04EAF1C2" w14:textId="77777777" w:rsidR="00FC22CD" w:rsidRDefault="00000000">
      <w:pPr>
        <w:pStyle w:val="Bibliography"/>
      </w:pPr>
      <w:bookmarkStart w:id="77" w:name="Xb55b40a3d7f46ba5e03427f7cd05843a1612710"/>
      <w:bookmarkEnd w:id="76"/>
      <w:r>
        <w:t xml:space="preserve">Marwick, Alice E., and Danah Boyd. 2018. “Privacy at the Margins Understanding Privacy at the Margins—Introduction.” </w:t>
      </w:r>
      <w:r>
        <w:rPr>
          <w:i/>
          <w:iCs/>
        </w:rPr>
        <w:t>International Journal of Communication</w:t>
      </w:r>
      <w:r>
        <w:t xml:space="preserve"> 12 (0): 9.</w:t>
      </w:r>
    </w:p>
    <w:p w14:paraId="4449507B" w14:textId="77777777" w:rsidR="00FC22CD" w:rsidRDefault="00000000">
      <w:pPr>
        <w:pStyle w:val="Bibliography"/>
      </w:pPr>
      <w:bookmarkStart w:id="78" w:name="X1e16a8cc741ec7d68b9bde12ee2c181d9d36a93"/>
      <w:bookmarkEnd w:id="77"/>
      <w:r>
        <w:t xml:space="preserve">McHugh, R. Kathryn, Bridget A. Hearon, and Michael W. Otto. 2010. “Cognitive-Behavioral Therapy for Substance Use Disorders.” </w:t>
      </w:r>
      <w:r>
        <w:rPr>
          <w:i/>
          <w:iCs/>
        </w:rPr>
        <w:t>The Psychiatric Clinics of North America</w:t>
      </w:r>
      <w:r>
        <w:t xml:space="preserve"> 33 (3): 511–25. </w:t>
      </w:r>
      <w:hyperlink r:id="rId33">
        <w:r w:rsidR="00FC22CD">
          <w:rPr>
            <w:rStyle w:val="Hyperlink"/>
          </w:rPr>
          <w:t>https://doi.org/10.1016/j.psc.2010.04.012</w:t>
        </w:r>
      </w:hyperlink>
      <w:r>
        <w:t>.</w:t>
      </w:r>
    </w:p>
    <w:p w14:paraId="4BA15094" w14:textId="77777777" w:rsidR="00FC22CD" w:rsidRDefault="00000000">
      <w:pPr>
        <w:pStyle w:val="Bibliography"/>
      </w:pPr>
      <w:bookmarkStart w:id="79" w:name="ref-mchughSexGenderDifferences2018"/>
      <w:bookmarkEnd w:id="78"/>
      <w:r>
        <w:t xml:space="preserve">McHugh, R. Kathryn, Victoria R. Votaw, Dawn E. Sugarman, and Shelly F. Greenfield. 2018. “Sex and Gender Differences in Substance Use Disorders.” </w:t>
      </w:r>
      <w:r>
        <w:rPr>
          <w:i/>
          <w:iCs/>
        </w:rPr>
        <w:t>Clinical Psychology Review</w:t>
      </w:r>
      <w:r>
        <w:t xml:space="preserve"> 66 (December): 12–23. </w:t>
      </w:r>
      <w:hyperlink r:id="rId34">
        <w:r w:rsidR="00FC22CD">
          <w:rPr>
            <w:rStyle w:val="Hyperlink"/>
          </w:rPr>
          <w:t>https://doi.org/10.1016/j.cpr.2017.10.012</w:t>
        </w:r>
      </w:hyperlink>
      <w:r>
        <w:t>.</w:t>
      </w:r>
    </w:p>
    <w:p w14:paraId="069D2C10" w14:textId="77777777" w:rsidR="00FC22CD" w:rsidRDefault="00000000">
      <w:pPr>
        <w:pStyle w:val="Bibliography"/>
      </w:pPr>
      <w:bookmarkStart w:id="80" w:name="ref-mclellanDrugDependenceChronic2000"/>
      <w:bookmarkEnd w:id="79"/>
      <w:r>
        <w:t xml:space="preserve">McLellan, A. T., D. C. Lewis, C. P. O’Brien, and H. D. Kleber. 2000. “Drug Dependence, a Chronic Medical Illness: Implications for Treatment, Insurance, and Outcomes Evaluation.” </w:t>
      </w:r>
      <w:r>
        <w:rPr>
          <w:i/>
          <w:iCs/>
        </w:rPr>
        <w:t>JAMA</w:t>
      </w:r>
      <w:r>
        <w:t xml:space="preserve"> 284 (13): 1689–95. </w:t>
      </w:r>
      <w:hyperlink r:id="rId35">
        <w:r w:rsidR="00FC22CD">
          <w:rPr>
            <w:rStyle w:val="Hyperlink"/>
          </w:rPr>
          <w:t>https://doi.org/10.1001/jama.284.13.1689</w:t>
        </w:r>
      </w:hyperlink>
      <w:r>
        <w:t>.</w:t>
      </w:r>
    </w:p>
    <w:p w14:paraId="56B023AC" w14:textId="77777777" w:rsidR="00FC22CD" w:rsidRDefault="00000000">
      <w:pPr>
        <w:pStyle w:val="Bibliography"/>
      </w:pPr>
      <w:bookmarkStart w:id="81" w:name="ref-meyersIntersectionGenderDrug2021"/>
      <w:bookmarkEnd w:id="80"/>
      <w:r>
        <w:t xml:space="preserve">Meyers, S. A., V. A. Earnshaw, B. D’Ambrosio, N. Courchesne, D. Werb, and L. R. Smith. 2021. “The Intersection of Gender and Drug Use-Related Stigma: A Mixed Methods Systematic Review and Synthesis of the Literature.” </w:t>
      </w:r>
      <w:r>
        <w:rPr>
          <w:i/>
          <w:iCs/>
        </w:rPr>
        <w:t>Drug and Alcohol Dependence</w:t>
      </w:r>
      <w:r>
        <w:t xml:space="preserve"> 223 (June): 108706. </w:t>
      </w:r>
      <w:hyperlink r:id="rId36">
        <w:r w:rsidR="00FC22CD">
          <w:rPr>
            <w:rStyle w:val="Hyperlink"/>
          </w:rPr>
          <w:t>https://doi.org/10.1016/j.drugalcdep.2021.108706</w:t>
        </w:r>
      </w:hyperlink>
      <w:r>
        <w:t>.</w:t>
      </w:r>
    </w:p>
    <w:p w14:paraId="3E5570B9" w14:textId="77777777" w:rsidR="00FC22CD" w:rsidRDefault="00000000">
      <w:pPr>
        <w:pStyle w:val="Bibliography"/>
      </w:pPr>
      <w:bookmarkStart w:id="82" w:name="ref-mohrPersonalSensingUnderstanding2017"/>
      <w:bookmarkEnd w:id="81"/>
      <w:r>
        <w:t xml:space="preserve">Mohr, David C., Mi Zhang, and Stephen M. Schueller. 2017. “Personal Sensing: Understanding Mental Health Using Ubiquitous Sensors and Machine Learning.” </w:t>
      </w:r>
      <w:r>
        <w:rPr>
          <w:i/>
          <w:iCs/>
        </w:rPr>
        <w:t>Annual Review of Clinical Psychology</w:t>
      </w:r>
      <w:r>
        <w:t xml:space="preserve"> 13 (1): 23–47. </w:t>
      </w:r>
      <w:hyperlink r:id="rId37">
        <w:r w:rsidR="00FC22CD">
          <w:rPr>
            <w:rStyle w:val="Hyperlink"/>
          </w:rPr>
          <w:t>https://doi.org/10.1146/annurev-clinpsy-032816-044949</w:t>
        </w:r>
      </w:hyperlink>
      <w:r>
        <w:t>.</w:t>
      </w:r>
    </w:p>
    <w:p w14:paraId="6ED250FB" w14:textId="77777777" w:rsidR="00FC22CD" w:rsidRDefault="00000000">
      <w:pPr>
        <w:pStyle w:val="Bibliography"/>
      </w:pPr>
      <w:bookmarkStart w:id="83" w:name="X0c0e928dd8ff101aa479012bffab8d24e8c0dcf"/>
      <w:bookmarkEnd w:id="82"/>
      <w:r>
        <w:t xml:space="preserve">Molnar, Christoph. 2022. </w:t>
      </w:r>
      <w:r>
        <w:rPr>
          <w:i/>
          <w:iCs/>
        </w:rPr>
        <w:t>Interpretable Machine Learning: A Guide For Making Black Box Models Explainable</w:t>
      </w:r>
      <w:r>
        <w:t>. Munich, Germany: Independently published.</w:t>
      </w:r>
    </w:p>
    <w:p w14:paraId="15799CFB" w14:textId="77777777" w:rsidR="00FC22CD" w:rsidRDefault="00000000">
      <w:pPr>
        <w:pStyle w:val="Bibliography"/>
      </w:pPr>
      <w:bookmarkStart w:id="84" w:name="X1f44e09282148d362bdacfce67d6a56b1cf06db"/>
      <w:bookmarkEnd w:id="83"/>
      <w:r>
        <w:t xml:space="preserve">Moshontz, Hannah, Alejandra J. Colmenares, Gaylen E. Fronk, Sarah J. Sant’Ana, Kendra Wyant, Susan E. Wanta, Adam Maus, David H. Gustafson Jr, Dhavan Shah, and John J. Curtin. 2021. “Prospective Prediction of Lapses in Opioid Use Disorder: Protocol for a </w:t>
      </w:r>
      <w:r>
        <w:lastRenderedPageBreak/>
        <w:t xml:space="preserve">Personal Sensing Study.” </w:t>
      </w:r>
      <w:r>
        <w:rPr>
          <w:i/>
          <w:iCs/>
        </w:rPr>
        <w:t>JMIR Research Protocols</w:t>
      </w:r>
      <w:r>
        <w:t xml:space="preserve"> 10 (12): e29563. </w:t>
      </w:r>
      <w:hyperlink r:id="rId38">
        <w:r w:rsidR="00FC22CD">
          <w:rPr>
            <w:rStyle w:val="Hyperlink"/>
          </w:rPr>
          <w:t>https://doi.org/10.2196/29563</w:t>
        </w:r>
      </w:hyperlink>
      <w:r>
        <w:t>.</w:t>
      </w:r>
    </w:p>
    <w:p w14:paraId="7587FCF5" w14:textId="77777777" w:rsidR="00FC22CD" w:rsidRDefault="00000000">
      <w:pPr>
        <w:pStyle w:val="Bibliography"/>
      </w:pPr>
      <w:bookmarkStart w:id="85" w:name="ref-olfsonHealthcareCoverageService2022"/>
      <w:bookmarkEnd w:id="84"/>
      <w:r>
        <w:t xml:space="preserve">Olfson, Mark, Christine Mauro, Melanie M. Wall, C. Jean Choi, Colleen L. Barry, and Ramin Mojtabai. 2022. “Healthcare Coverage and Service Access for Low-Income Adults with Substance Use Disorders.” </w:t>
      </w:r>
      <w:r>
        <w:rPr>
          <w:i/>
          <w:iCs/>
        </w:rPr>
        <w:t>Journal of Substance Abuse Treatment</w:t>
      </w:r>
      <w:r>
        <w:t xml:space="preserve"> 137 (June): 108710. </w:t>
      </w:r>
      <w:hyperlink r:id="rId39">
        <w:r w:rsidR="00FC22CD">
          <w:rPr>
            <w:rStyle w:val="Hyperlink"/>
          </w:rPr>
          <w:t>https://doi.org/10.1016/j.jsat.2021.108710</w:t>
        </w:r>
      </w:hyperlink>
      <w:r>
        <w:t>.</w:t>
      </w:r>
    </w:p>
    <w:p w14:paraId="7D00308C" w14:textId="77777777" w:rsidR="00FC22CD" w:rsidRDefault="00000000">
      <w:pPr>
        <w:pStyle w:val="Bibliography"/>
      </w:pPr>
      <w:bookmarkStart w:id="86" w:name="ref-pinedoCurrentReexaminationRacial2019"/>
      <w:bookmarkEnd w:id="85"/>
      <w:r>
        <w:t xml:space="preserve">Pinedo, Miguel. 2019. “A Current Re-Examination of Racial/Ethnic Disparities in the Use of Substance Abuse Treatment: Do Disparities Persist?” </w:t>
      </w:r>
      <w:r>
        <w:rPr>
          <w:i/>
          <w:iCs/>
        </w:rPr>
        <w:t>Drug and Alcohol Dependence</w:t>
      </w:r>
      <w:r>
        <w:t xml:space="preserve"> 202 (September): 162–67. </w:t>
      </w:r>
      <w:hyperlink r:id="rId40">
        <w:r w:rsidR="00FC22CD">
          <w:rPr>
            <w:rStyle w:val="Hyperlink"/>
          </w:rPr>
          <w:t>https://doi.org/10.1016/j.drugalcdep.2019.05.017</w:t>
        </w:r>
      </w:hyperlink>
      <w:r>
        <w:t>.</w:t>
      </w:r>
    </w:p>
    <w:p w14:paraId="0B535A48" w14:textId="77777777" w:rsidR="00FC22CD" w:rsidRDefault="00000000">
      <w:pPr>
        <w:pStyle w:val="Bibliography"/>
      </w:pPr>
      <w:bookmarkStart w:id="87" w:name="ref-plattProbabilisticOutputsSupport1999"/>
      <w:bookmarkEnd w:id="86"/>
      <w:r>
        <w:t xml:space="preserve">Platt, John. 1999. “Probabilistic Outputs for Support Vector Machines and Comparisons to Regularized Likelihood Methods.” In </w:t>
      </w:r>
      <w:r>
        <w:rPr>
          <w:i/>
          <w:iCs/>
        </w:rPr>
        <w:t>Advances in Large Margin Classifiers</w:t>
      </w:r>
      <w:r>
        <w:t>, 61–74. MIT Press.</w:t>
      </w:r>
    </w:p>
    <w:p w14:paraId="17BB3388" w14:textId="77777777" w:rsidR="00FC22CD" w:rsidRDefault="00000000">
      <w:pPr>
        <w:pStyle w:val="Bibliography"/>
      </w:pPr>
      <w:bookmarkStart w:id="88" w:name="ref-pulickIdiographicLapsePrediction2025"/>
      <w:bookmarkEnd w:id="87"/>
      <w:r>
        <w:t xml:space="preserve">Pulick, Eric, John Curtin, and Yonatan Mintz. 2025. “Idiographic Lapse Prediction With State Space Modeling: Algorithm Development and Validation Study.” </w:t>
      </w:r>
      <w:r>
        <w:rPr>
          <w:i/>
          <w:iCs/>
        </w:rPr>
        <w:t>JMIR Formative Research</w:t>
      </w:r>
      <w:r>
        <w:t xml:space="preserve"> 9 (1): e73265. </w:t>
      </w:r>
      <w:hyperlink r:id="rId41">
        <w:r w:rsidR="00FC22CD">
          <w:rPr>
            <w:rStyle w:val="Hyperlink"/>
          </w:rPr>
          <w:t>https://doi.org/10.2196/73265</w:t>
        </w:r>
      </w:hyperlink>
      <w:r>
        <w:t>.</w:t>
      </w:r>
    </w:p>
    <w:p w14:paraId="03B4A4CD" w14:textId="77777777" w:rsidR="00FC22CD" w:rsidRDefault="00000000">
      <w:pPr>
        <w:pStyle w:val="Bibliography"/>
      </w:pPr>
      <w:bookmarkStart w:id="89" w:name="Xa1b8899d52f2070e9a46165cf23fe2013b5e4a3"/>
      <w:bookmarkEnd w:id="88"/>
      <w:r>
        <w:t xml:space="preserve">Rawson, R. A., S. J. Shoptaw, J. L. Obert, M. J. McCann, A. L. Hasson, P. J. Marinelli-Casey, P. R. Brethen, and W. Ling. 1995. “An Intensive Outpatient Approach for Cocaine Abuse Treatment. The Matrix Model.” </w:t>
      </w:r>
      <w:r>
        <w:rPr>
          <w:i/>
          <w:iCs/>
        </w:rPr>
        <w:t>Journal of Substance Abuse Treatment</w:t>
      </w:r>
      <w:r>
        <w:t xml:space="preserve"> 12 (2): 117–27. </w:t>
      </w:r>
      <w:hyperlink r:id="rId42">
        <w:r w:rsidR="00FC22CD">
          <w:rPr>
            <w:rStyle w:val="Hyperlink"/>
          </w:rPr>
          <w:t>https://doi.org/10.1016/0740-5472(94)00080-b</w:t>
        </w:r>
      </w:hyperlink>
      <w:r>
        <w:t>.</w:t>
      </w:r>
    </w:p>
    <w:p w14:paraId="44230F62" w14:textId="77777777" w:rsidR="00FC22CD" w:rsidRDefault="00000000">
      <w:pPr>
        <w:pStyle w:val="Bibliography"/>
      </w:pPr>
      <w:bookmarkStart w:id="90" w:name="Xc5cdea043ab663a81d5612c8b1e0f7c2b734aab"/>
      <w:bookmarkEnd w:id="89"/>
      <w:r>
        <w:t xml:space="preserve">Roche, Michael J., Aaron L. Pincus, Amanda L. Rebar, David E. Conroy, and Nilam Ram. 2014. “Enriching Psychological Assessment Using a Person-Specific Analysis of Interpersonal Processes in Daily Life.” </w:t>
      </w:r>
      <w:r>
        <w:rPr>
          <w:i/>
          <w:iCs/>
        </w:rPr>
        <w:t>Assessment</w:t>
      </w:r>
      <w:r>
        <w:t xml:space="preserve"> 21 (5): 515–28. </w:t>
      </w:r>
      <w:hyperlink r:id="rId43">
        <w:r w:rsidR="00FC22CD">
          <w:rPr>
            <w:rStyle w:val="Hyperlink"/>
          </w:rPr>
          <w:t>https://doi.org/10.1177/1073191114540320</w:t>
        </w:r>
      </w:hyperlink>
      <w:r>
        <w:t>.</w:t>
      </w:r>
    </w:p>
    <w:p w14:paraId="10120450" w14:textId="77777777" w:rsidR="00FC22CD" w:rsidRDefault="00000000">
      <w:pPr>
        <w:pStyle w:val="Bibliography"/>
      </w:pPr>
      <w:bookmarkStart w:id="91" w:name="X93e79e1a5ab79bb153842a6d1ed7d5e5cb3185f"/>
      <w:bookmarkEnd w:id="90"/>
      <w:r>
        <w:t>RStudio Team. 2020. “RStudio: Integrated Development for R.” Boston, MA: RStudio, Inc.</w:t>
      </w:r>
    </w:p>
    <w:p w14:paraId="1E3C1F25" w14:textId="77777777" w:rsidR="00FC22CD" w:rsidRDefault="00000000">
      <w:pPr>
        <w:pStyle w:val="Bibliography"/>
      </w:pPr>
      <w:bookmarkStart w:id="92" w:name="ref-sociasAdoptingCascadeCare2016"/>
      <w:bookmarkEnd w:id="91"/>
      <w:r>
        <w:t xml:space="preserve">Socías, M. Eugenia, Nora Volkow, and Evan Wood. 2016. “Adopting the ‘Cascade of Care’ Framework: An Opportunity to Close the Implementation Gap in Addiction Care?” </w:t>
      </w:r>
      <w:r>
        <w:rPr>
          <w:i/>
          <w:iCs/>
        </w:rPr>
        <w:t>Addiction</w:t>
      </w:r>
      <w:r>
        <w:t xml:space="preserve"> 111 (12): 2079–81. </w:t>
      </w:r>
      <w:hyperlink r:id="rId44">
        <w:r w:rsidR="00FC22CD">
          <w:rPr>
            <w:rStyle w:val="Hyperlink"/>
          </w:rPr>
          <w:t>https://doi.org/10.1111/add.13479</w:t>
        </w:r>
      </w:hyperlink>
      <w:r>
        <w:t>.</w:t>
      </w:r>
    </w:p>
    <w:p w14:paraId="03839D1F" w14:textId="77777777" w:rsidR="00FC22CD" w:rsidRDefault="00000000">
      <w:pPr>
        <w:pStyle w:val="Bibliography"/>
      </w:pPr>
      <w:bookmarkStart w:id="93" w:name="Xd4c1d027f60920f356af6131267e679804e946e"/>
      <w:bookmarkEnd w:id="92"/>
      <w:r>
        <w:t xml:space="preserve">Soyster, Peter D., Leighann Ashlock, and Aaron J. Fisher. 2022. “Pooled and Person-Specific Machine Learning Models for Predicting Future Alcohol Consumption, Craving, and Wanting to Drink: A Demonstration of Parallel Utility.” </w:t>
      </w:r>
      <w:r>
        <w:rPr>
          <w:i/>
          <w:iCs/>
        </w:rPr>
        <w:t>Psychology of Addictive Behaviors: Journal of the Society of Psychologists in Addictive Behaviors</w:t>
      </w:r>
      <w:r>
        <w:t xml:space="preserve"> 36 (3): 296–306. </w:t>
      </w:r>
      <w:hyperlink r:id="rId45">
        <w:r w:rsidR="00FC22CD">
          <w:rPr>
            <w:rStyle w:val="Hyperlink"/>
          </w:rPr>
          <w:t>https://doi.org/10.1037/adb0000666</w:t>
        </w:r>
      </w:hyperlink>
      <w:r>
        <w:t>.</w:t>
      </w:r>
    </w:p>
    <w:p w14:paraId="6B2F5718" w14:textId="77777777" w:rsidR="00FC22CD" w:rsidRDefault="00000000">
      <w:pPr>
        <w:pStyle w:val="Bibliography"/>
      </w:pPr>
      <w:bookmarkStart w:id="94" w:name="X01387e434119cf09c116d0feeabab9f278d40e3"/>
      <w:bookmarkEnd w:id="93"/>
      <w:r>
        <w:t xml:space="preserve">Stanojlović, Milena, and Larry Davidson. 2021. “Targeting the Barriers in the Substance Use Disorder Continuum of Care With Peer Recovery Support.” </w:t>
      </w:r>
      <w:r>
        <w:rPr>
          <w:i/>
          <w:iCs/>
        </w:rPr>
        <w:t>Substance Abuse: Research and Treatment</w:t>
      </w:r>
      <w:r>
        <w:t xml:space="preserve"> 15 (January): 1178221820976988. </w:t>
      </w:r>
      <w:hyperlink r:id="rId46">
        <w:r w:rsidR="00FC22CD">
          <w:rPr>
            <w:rStyle w:val="Hyperlink"/>
          </w:rPr>
          <w:t>https://doi.org/10.1177/1178221820976988</w:t>
        </w:r>
      </w:hyperlink>
      <w:r>
        <w:t>.</w:t>
      </w:r>
    </w:p>
    <w:p w14:paraId="122D33B3" w14:textId="77777777" w:rsidR="00FC22CD" w:rsidRDefault="00000000">
      <w:pPr>
        <w:pStyle w:val="Bibliography"/>
      </w:pPr>
      <w:bookmarkStart w:id="95" w:name="ref-studiesNIHRevitalizationAct1994"/>
      <w:bookmarkEnd w:id="94"/>
      <w:r>
        <w:lastRenderedPageBreak/>
        <w:t xml:space="preserve">Studies, Institute of Medicine (US) Committee on Ethical and Legal Issues Relating to the Inclusion of Women in Clinical, Anna C. Mastroianni, Ruth Faden, and Daniel Federman. 1994. “NIH Revitalization Act of 1993 Public Law 103-43.” In </w:t>
      </w:r>
      <w:r>
        <w:rPr>
          <w:i/>
          <w:iCs/>
        </w:rPr>
        <w:t>Women and Health Research: Ethical and Legal Issues of Including Women in Clinical Studies: Volume I</w:t>
      </w:r>
      <w:r>
        <w:t>. National Academies Press (US).</w:t>
      </w:r>
    </w:p>
    <w:p w14:paraId="6B2516CB" w14:textId="77777777" w:rsidR="00FC22CD" w:rsidRDefault="00000000">
      <w:pPr>
        <w:pStyle w:val="Bibliography"/>
      </w:pPr>
      <w:bookmarkStart w:id="96" w:name="X49615488ccbe1cc080620555246c804ab34d103"/>
      <w:bookmarkEnd w:id="95"/>
      <w:r>
        <w:t>Substance Abuse and Mental Health Services Administration. n.d. “2023 NSDUH Detailed Tables  CBHSQ Data.” https://www.samhsa.gov/data/report/2023-nsduh-detailed-tables. Accessed January 13, 2025.</w:t>
      </w:r>
    </w:p>
    <w:p w14:paraId="08E84F81" w14:textId="77777777" w:rsidR="00FC22CD" w:rsidRDefault="00000000">
      <w:pPr>
        <w:pStyle w:val="Bibliography"/>
      </w:pPr>
      <w:bookmarkStart w:id="97" w:name="Xdd108b50209bad1fdcf1a9fcca4dd1d7d3b13e9"/>
      <w:bookmarkEnd w:id="96"/>
      <w:r>
        <w:t xml:space="preserve">Tausczik, Yla R., and James W. Pennebaker. 2010. “The Psychological Meaning of Words: LIWC and Computerized Text Analysis Methods.” </w:t>
      </w:r>
      <w:r>
        <w:rPr>
          <w:i/>
          <w:iCs/>
        </w:rPr>
        <w:t>Journal of Language and Social Psychology</w:t>
      </w:r>
      <w:r>
        <w:t xml:space="preserve"> 29 (1): 24–54. </w:t>
      </w:r>
      <w:hyperlink r:id="rId47">
        <w:r w:rsidR="00FC22CD">
          <w:rPr>
            <w:rStyle w:val="Hyperlink"/>
          </w:rPr>
          <w:t>https://doi.org/10.1177/0261927X09351676</w:t>
        </w:r>
      </w:hyperlink>
      <w:r>
        <w:t>.</w:t>
      </w:r>
    </w:p>
    <w:p w14:paraId="533EAEC0" w14:textId="77777777" w:rsidR="00FC22CD" w:rsidRDefault="00000000">
      <w:pPr>
        <w:pStyle w:val="Bibliography"/>
      </w:pPr>
      <w:bookmarkStart w:id="98" w:name="ref-vannicelliEffectSexBias1984"/>
      <w:bookmarkEnd w:id="97"/>
      <w:r>
        <w:t xml:space="preserve">Vannicelli, Marsha, and Laurie Nash. 1984. “Effect of Sex Bias on Women’s Studies on Alcoholism.” </w:t>
      </w:r>
      <w:r>
        <w:rPr>
          <w:i/>
          <w:iCs/>
        </w:rPr>
        <w:t>Alcoholism: Clinical and Experimental Research</w:t>
      </w:r>
      <w:r>
        <w:t xml:space="preserve"> 8 (3): 334–36. </w:t>
      </w:r>
      <w:hyperlink r:id="rId48">
        <w:r w:rsidR="00FC22CD">
          <w:rPr>
            <w:rStyle w:val="Hyperlink"/>
          </w:rPr>
          <w:t>https://doi.org/10.1111/j.1530-0277.1984.tb05523.x</w:t>
        </w:r>
      </w:hyperlink>
      <w:r>
        <w:t>.</w:t>
      </w:r>
    </w:p>
    <w:p w14:paraId="26C2E002" w14:textId="77777777" w:rsidR="00FC22CD" w:rsidRDefault="00000000">
      <w:pPr>
        <w:pStyle w:val="Bibliography"/>
      </w:pPr>
      <w:bookmarkStart w:id="99" w:name="ref-veinotGoodIntentionsAre2018"/>
      <w:bookmarkEnd w:id="98"/>
      <w:r>
        <w:t xml:space="preserve">Veinot, Tiffany C., Hannah Mitchell, and Jessica S. Ancker. 2018. “Good Intentions Are Not Enough: How Informatics Interventions Can Worsen Inequality.” </w:t>
      </w:r>
      <w:r>
        <w:rPr>
          <w:i/>
          <w:iCs/>
        </w:rPr>
        <w:t>Journal of the American Medical Informatics Association: JAMIA</w:t>
      </w:r>
      <w:r>
        <w:t xml:space="preserve"> 25 (8): 1080–88. </w:t>
      </w:r>
      <w:hyperlink r:id="rId49">
        <w:r w:rsidR="00FC22CD">
          <w:rPr>
            <w:rStyle w:val="Hyperlink"/>
          </w:rPr>
          <w:t>https://doi.org/10.1093/jamia/ocy052</w:t>
        </w:r>
      </w:hyperlink>
      <w:r>
        <w:t>.</w:t>
      </w:r>
    </w:p>
    <w:p w14:paraId="1D18618E" w14:textId="77777777" w:rsidR="00FC22CD" w:rsidRDefault="00000000">
      <w:pPr>
        <w:pStyle w:val="Bibliography"/>
      </w:pPr>
      <w:bookmarkStart w:id="100" w:name="ref-wagnerImprovingChronicIllness2001"/>
      <w:bookmarkEnd w:id="99"/>
      <w:r>
        <w:t xml:space="preserve">Wagner, Edward H., Brian T. Austin, Connie Davis, Mike Hindmarsh, Judith Schaefer, and Amy Bonomi. 2001. “Improving Chronic Illness Care: Translating Evidence Into Action.” </w:t>
      </w:r>
      <w:r>
        <w:rPr>
          <w:i/>
          <w:iCs/>
        </w:rPr>
        <w:t>Health Affairs</w:t>
      </w:r>
      <w:r>
        <w:t xml:space="preserve"> 20 (6): 64–78. </w:t>
      </w:r>
      <w:hyperlink r:id="rId50">
        <w:r w:rsidR="00FC22CD">
          <w:rPr>
            <w:rStyle w:val="Hyperlink"/>
          </w:rPr>
          <w:t>https://doi.org/10.1377/hlthaff.20.6.64</w:t>
        </w:r>
      </w:hyperlink>
      <w:r>
        <w:t>.</w:t>
      </w:r>
    </w:p>
    <w:p w14:paraId="4B633A3C" w14:textId="77777777" w:rsidR="00FC22CD" w:rsidRDefault="00000000">
      <w:pPr>
        <w:pStyle w:val="Bibliography"/>
      </w:pPr>
      <w:bookmarkStart w:id="101" w:name="ref-walitzerGenderDifferencesAlcohol2006"/>
      <w:bookmarkEnd w:id="100"/>
      <w:r>
        <w:t xml:space="preserve">Walitzer, Kimberly S., and Ronda L. Dearing. 2006. “Gender Differences in Alcohol and Substance Use Relapse.” </w:t>
      </w:r>
      <w:r>
        <w:rPr>
          <w:i/>
          <w:iCs/>
        </w:rPr>
        <w:t>Clinical Psychology Review</w:t>
      </w:r>
      <w:r>
        <w:t xml:space="preserve"> 26 (2): 128–48. </w:t>
      </w:r>
      <w:hyperlink r:id="rId51">
        <w:r w:rsidR="00FC22CD">
          <w:rPr>
            <w:rStyle w:val="Hyperlink"/>
          </w:rPr>
          <w:t>https://doi.org/10.1016/j.cpr.2005.11.003</w:t>
        </w:r>
      </w:hyperlink>
      <w:r>
        <w:t>.</w:t>
      </w:r>
    </w:p>
    <w:p w14:paraId="38BDEBBC" w14:textId="77777777" w:rsidR="00FC22CD" w:rsidRDefault="00000000">
      <w:pPr>
        <w:pStyle w:val="Bibliography"/>
      </w:pPr>
      <w:bookmarkStart w:id="102" w:name="ref-waltersUsingMachineLearning2021"/>
      <w:bookmarkEnd w:id="101"/>
      <w:r>
        <w:t xml:space="preserve">Walters, Scott T., Michael S. Businelle, Robert Suchting, Xiaoyin Li, Emily T. Hébert, and Eun-Young Mun. 2021. “Using Machine Learning to Identify Predictors of Imminent Drinking and Create Tailored Messages for at-Risk Drinkers Experiencing Homelessness.” </w:t>
      </w:r>
      <w:r>
        <w:rPr>
          <w:i/>
          <w:iCs/>
        </w:rPr>
        <w:t>Journal of Substance Abuse Treatment</w:t>
      </w:r>
      <w:r>
        <w:t xml:space="preserve"> 127 (August): 108417. </w:t>
      </w:r>
      <w:hyperlink r:id="rId52">
        <w:r w:rsidR="00FC22CD">
          <w:rPr>
            <w:rStyle w:val="Hyperlink"/>
          </w:rPr>
          <w:t>https://doi.org/10.1016/j.jsat.2021.108417</w:t>
        </w:r>
      </w:hyperlink>
      <w:r>
        <w:t>.</w:t>
      </w:r>
    </w:p>
    <w:p w14:paraId="69096043" w14:textId="77777777" w:rsidR="00FC22CD" w:rsidRDefault="00000000">
      <w:pPr>
        <w:pStyle w:val="Bibliography"/>
      </w:pPr>
      <w:bookmarkStart w:id="103" w:name="X2d30c84041d97351f676569bf3de3da0c8a9d6d"/>
      <w:bookmarkEnd w:id="102"/>
      <w:r>
        <w:t>WHO ASSIST Working Group. 2002. “</w:t>
      </w:r>
      <w:hyperlink r:id="rId53">
        <w:r w:rsidR="00FC22CD">
          <w:rPr>
            <w:rStyle w:val="Hyperlink"/>
          </w:rPr>
          <w:t>The Alcohol, Smoking and Substance Involvement Screening Test (ASSIST): Development, Reliability and Feasibility</w:t>
        </w:r>
      </w:hyperlink>
      <w:r>
        <w:t xml:space="preserve">.” </w:t>
      </w:r>
      <w:r>
        <w:rPr>
          <w:i/>
          <w:iCs/>
        </w:rPr>
        <w:t>Addiction (Abingdon, England)</w:t>
      </w:r>
      <w:r>
        <w:t xml:space="preserve"> 97 (9): 1183–94.</w:t>
      </w:r>
    </w:p>
    <w:p w14:paraId="27BEE9CB" w14:textId="77777777" w:rsidR="00FC22CD" w:rsidRDefault="00000000">
      <w:pPr>
        <w:pStyle w:val="Bibliography"/>
      </w:pPr>
      <w:bookmarkStart w:id="104" w:name="X4446e184b7dd55a61fd406499f32542fdcf24b5"/>
      <w:bookmarkEnd w:id="103"/>
      <w:r>
        <w:t xml:space="preserve">Witkiewitz, Katie, and G. Alan Marlatt. 2004. “Relapse Prevention for Alcohol and Drug Problems: That Was Zen, This Is Tao.” </w:t>
      </w:r>
      <w:r>
        <w:rPr>
          <w:i/>
          <w:iCs/>
        </w:rPr>
        <w:t>American Psychologist</w:t>
      </w:r>
      <w:r>
        <w:t xml:space="preserve"> 59 (4): 224–35. </w:t>
      </w:r>
      <w:hyperlink r:id="rId54">
        <w:r w:rsidR="00FC22CD">
          <w:rPr>
            <w:rStyle w:val="Hyperlink"/>
          </w:rPr>
          <w:t>https://doi.org/10.1037/0003-066X.59.4.224</w:t>
        </w:r>
      </w:hyperlink>
      <w:r>
        <w:t>.</w:t>
      </w:r>
    </w:p>
    <w:p w14:paraId="621BE976" w14:textId="77777777" w:rsidR="00FC22CD" w:rsidRDefault="00000000">
      <w:pPr>
        <w:pStyle w:val="Bibliography"/>
      </w:pPr>
      <w:bookmarkStart w:id="105" w:name="X254a0f87701f835b5365990b3eba45be7dca59c"/>
      <w:bookmarkEnd w:id="104"/>
      <w:r>
        <w:lastRenderedPageBreak/>
        <w:t xml:space="preserve">———. 2007. “Modeling the Complexity of Post-Treatment Drinking: It’s a Rocky Road to Relapse.” </w:t>
      </w:r>
      <w:r>
        <w:rPr>
          <w:i/>
          <w:iCs/>
        </w:rPr>
        <w:t>Clinical Psychology Review</w:t>
      </w:r>
      <w:r>
        <w:t xml:space="preserve">, New Approaches to the Study of Change in Cognitive Behavioral Therapies, 27 (6): 724–38. </w:t>
      </w:r>
      <w:hyperlink r:id="rId55">
        <w:r w:rsidR="00FC22CD">
          <w:rPr>
            <w:rStyle w:val="Hyperlink"/>
          </w:rPr>
          <w:t>https://doi.org/10.1016/j.cpr.2007.01.002</w:t>
        </w:r>
      </w:hyperlink>
      <w:r>
        <w:t>.</w:t>
      </w:r>
    </w:p>
    <w:p w14:paraId="63D8301A" w14:textId="77777777" w:rsidR="00FC22CD" w:rsidRDefault="00000000">
      <w:pPr>
        <w:pStyle w:val="Bibliography"/>
      </w:pPr>
      <w:bookmarkStart w:id="106" w:name="X513fadbf866a4ddf9f29b63741ad369252b4800"/>
      <w:bookmarkEnd w:id="105"/>
      <w:r>
        <w:t xml:space="preserve">Wright, Aidan G. C., Michael N. Hallquist, Stephanie D. Stepp, Lori N. Scott, Joseph E. Beeney, Sophie A. Lazarus, and Paul A. Pilkonis. 2016. “Modeling Heterogeneity in Momentary Interpersonal and Affective Dynamic Processes in Borderline Personality Disorder.” </w:t>
      </w:r>
      <w:r>
        <w:rPr>
          <w:i/>
          <w:iCs/>
        </w:rPr>
        <w:t>Assessment</w:t>
      </w:r>
      <w:r>
        <w:t xml:space="preserve"> 23 (4): 484–95. </w:t>
      </w:r>
      <w:hyperlink r:id="rId56">
        <w:r w:rsidR="00FC22CD">
          <w:rPr>
            <w:rStyle w:val="Hyperlink"/>
          </w:rPr>
          <w:t>https://doi.org/10.1177/1073191116653829</w:t>
        </w:r>
      </w:hyperlink>
      <w:r>
        <w:t>.</w:t>
      </w:r>
    </w:p>
    <w:p w14:paraId="77BA4649" w14:textId="77777777" w:rsidR="00FC22CD" w:rsidRDefault="00000000">
      <w:pPr>
        <w:pStyle w:val="Bibliography"/>
      </w:pPr>
      <w:bookmarkStart w:id="107" w:name="Xb35ee182d565575e339a0170868456c1684f821"/>
      <w:bookmarkEnd w:id="106"/>
      <w:r>
        <w:t xml:space="preserve">Wyant, Kendra, Hannah Moshontz, Stephanie B. Ward, Gaylen E. Fronk, and John J. Curtin. 2023. “Acceptability of Personal Sensing Among People With Alcohol Use Disorder: Observational Study.” </w:t>
      </w:r>
      <w:r>
        <w:rPr>
          <w:i/>
          <w:iCs/>
        </w:rPr>
        <w:t>JMIR mHealth and uHealth</w:t>
      </w:r>
      <w:r>
        <w:t xml:space="preserve"> 11 (1): e41833. </w:t>
      </w:r>
      <w:hyperlink r:id="rId57">
        <w:r w:rsidR="00FC22CD">
          <w:rPr>
            <w:rStyle w:val="Hyperlink"/>
          </w:rPr>
          <w:t>https://doi.org/10.2196/41833</w:t>
        </w:r>
      </w:hyperlink>
      <w:r>
        <w:t>.</w:t>
      </w:r>
    </w:p>
    <w:p w14:paraId="40274D7D" w14:textId="77777777" w:rsidR="00FC22CD" w:rsidRDefault="00000000">
      <w:pPr>
        <w:pStyle w:val="Bibliography"/>
      </w:pPr>
      <w:bookmarkStart w:id="108" w:name="X0f0fab553d46f8852e582400eb2e6c745146f48"/>
      <w:bookmarkEnd w:id="107"/>
      <w:r>
        <w:t>Wyant, Kendra, Sarah J. Sant’Ana, Claire E. Punturieri, Jiachen Yu, Gaylen E. Fronk, C. Michael Maggard, Christopher Janssen, et al. under review. “Maximizing Engagement, Trust, and Clinical Benefit of AI-generated Recovery Monitoring and Support Messages for Alcohol Use Disorder: Protocol for an Optimization Study,” under review.</w:t>
      </w:r>
    </w:p>
    <w:p w14:paraId="3ED48EB3" w14:textId="77777777" w:rsidR="00FC22CD" w:rsidRDefault="00000000">
      <w:pPr>
        <w:pStyle w:val="Bibliography"/>
      </w:pPr>
      <w:bookmarkStart w:id="109" w:name="ref-wyantMachineLearningModels2023"/>
      <w:bookmarkEnd w:id="108"/>
      <w:r>
        <w:t xml:space="preserve">Wyant, Kendra, Sarah June Kittleson Sant’Ana, Gaylen Fronk, and John J. Curtin. 2024. “Machine Learning Models for Temporally Precise Lapse Prediction in Alcohol Use Disorder.” </w:t>
      </w:r>
      <w:r>
        <w:rPr>
          <w:i/>
          <w:iCs/>
        </w:rPr>
        <w:t>Psychopathology and Clinical Science</w:t>
      </w:r>
      <w:r>
        <w:t xml:space="preserve">. </w:t>
      </w:r>
      <w:hyperlink r:id="rId58">
        <w:r w:rsidR="00FC22CD">
          <w:rPr>
            <w:rStyle w:val="Hyperlink"/>
          </w:rPr>
          <w:t>https://doi.org/10.31234/osf.io/cgsf7</w:t>
        </w:r>
      </w:hyperlink>
      <w:r>
        <w:t>.</w:t>
      </w:r>
    </w:p>
    <w:p w14:paraId="7B733E25" w14:textId="77777777" w:rsidR="00FC22CD" w:rsidRDefault="00000000">
      <w:pPr>
        <w:pStyle w:val="Bibliography"/>
      </w:pPr>
      <w:bookmarkStart w:id="110" w:name="Xdcc3e6c1429a41e0448c7c169835e10027482a3"/>
      <w:bookmarkEnd w:id="109"/>
      <w:r>
        <w:t xml:space="preserve">Xie, Kexin, Ke Deng, and Xiaofang Zhou. 2009. “From Trajectories to Activities: A Spatio-Temporal Join Approach.” In </w:t>
      </w:r>
      <w:r>
        <w:rPr>
          <w:i/>
          <w:iCs/>
        </w:rPr>
        <w:t>Proceedings of the 2009 International Workshop on Location Based Social Networks</w:t>
      </w:r>
      <w:r>
        <w:t xml:space="preserve">, 25–32. LBSN ’09. New York, NY, USA: Association for Computing Machinery. </w:t>
      </w:r>
      <w:hyperlink r:id="rId59">
        <w:r w:rsidR="00FC22CD">
          <w:rPr>
            <w:rStyle w:val="Hyperlink"/>
          </w:rPr>
          <w:t>https://doi.org/10.1145/1629890.1629897</w:t>
        </w:r>
      </w:hyperlink>
      <w:r>
        <w:t>.</w:t>
      </w:r>
    </w:p>
    <w:p w14:paraId="0F23F879" w14:textId="77777777" w:rsidR="00FC22CD" w:rsidRDefault="00000000">
      <w:pPr>
        <w:pStyle w:val="Bibliography"/>
      </w:pPr>
      <w:bookmarkStart w:id="111" w:name="ref-zikmund-fisherRightToolWhat2013"/>
      <w:bookmarkEnd w:id="110"/>
      <w:r>
        <w:t xml:space="preserve">Zikmund-Fisher, Brian J. 2013. “The Right Tool Is What They Need, Not What We Have: A Taxonomy of Appropriate Levels of Precision in Patient Risk Communication.” </w:t>
      </w:r>
      <w:r>
        <w:rPr>
          <w:i/>
          <w:iCs/>
        </w:rPr>
        <w:t>Medical Care Research and Review: MCRR</w:t>
      </w:r>
      <w:r>
        <w:t xml:space="preserve"> 70 (1 Suppl): 37S–49S. </w:t>
      </w:r>
      <w:hyperlink r:id="rId60">
        <w:r w:rsidR="00FC22CD">
          <w:rPr>
            <w:rStyle w:val="Hyperlink"/>
          </w:rPr>
          <w:t>https://doi.org/10.1177/1077558712458541</w:t>
        </w:r>
      </w:hyperlink>
      <w:r>
        <w:t>.</w:t>
      </w:r>
    </w:p>
    <w:p w14:paraId="71FFE424" w14:textId="77777777" w:rsidR="00FC22CD" w:rsidRDefault="00000000">
      <w:pPr>
        <w:pStyle w:val="Bibliography"/>
      </w:pPr>
      <w:bookmarkStart w:id="112" w:name="X13b53253f4b8775a58215d7e1d3c0adbd73e844"/>
      <w:bookmarkEnd w:id="111"/>
      <w:r>
        <w:t xml:space="preserve">Zipkin, Daniella A., Craig A. Umscheid, Nancy L. Keating, Elizabeth Allen, KoKo Aung, Rebecca Beyth, Scott Kaatz, et al. 2014. “Evidence-Based Risk Communication: A Systematic Review.” </w:t>
      </w:r>
      <w:r>
        <w:rPr>
          <w:i/>
          <w:iCs/>
        </w:rPr>
        <w:t>Annals of Internal Medicine</w:t>
      </w:r>
      <w:r>
        <w:t xml:space="preserve"> 161 (4): 270–80. </w:t>
      </w:r>
      <w:hyperlink r:id="rId61">
        <w:r w:rsidR="00FC22CD">
          <w:rPr>
            <w:rStyle w:val="Hyperlink"/>
          </w:rPr>
          <w:t>https://doi.org/10.7326/M14-0295</w:t>
        </w:r>
      </w:hyperlink>
      <w:r>
        <w:t>.</w:t>
      </w:r>
      <w:bookmarkEnd w:id="41"/>
      <w:bookmarkEnd w:id="43"/>
      <w:bookmarkEnd w:id="112"/>
    </w:p>
    <w:sectPr w:rsidR="00FC22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BD120" w14:textId="77777777" w:rsidR="00F901FE" w:rsidRDefault="00F901FE">
      <w:pPr>
        <w:spacing w:after="0"/>
      </w:pPr>
      <w:r>
        <w:separator/>
      </w:r>
    </w:p>
  </w:endnote>
  <w:endnote w:type="continuationSeparator" w:id="0">
    <w:p w14:paraId="310ED33C" w14:textId="77777777" w:rsidR="00F901FE" w:rsidRDefault="00F90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1B596" w14:textId="77777777" w:rsidR="00F901FE" w:rsidRDefault="00F901FE">
      <w:pPr>
        <w:spacing w:after="0"/>
      </w:pPr>
      <w:r>
        <w:separator/>
      </w:r>
    </w:p>
  </w:footnote>
  <w:footnote w:type="continuationSeparator" w:id="0">
    <w:p w14:paraId="2B220111" w14:textId="77777777" w:rsidR="00F901FE" w:rsidRDefault="00F901FE">
      <w:pPr>
        <w:spacing w:after="0"/>
      </w:pPr>
      <w:r>
        <w:continuationSeparator/>
      </w:r>
    </w:p>
  </w:footnote>
  <w:footnote w:id="1">
    <w:p w14:paraId="7CD9A9AE" w14:textId="77777777" w:rsidR="00FC22CD" w:rsidRDefault="00000000">
      <w:pPr>
        <w:pStyle w:val="FootnoteText"/>
      </w:pPr>
      <w:r>
        <w:rPr>
          <w:rStyle w:val="FootnoteReference"/>
        </w:rPr>
        <w:footnoteRef/>
      </w:r>
      <w:r>
        <w:t xml:space="preserve"> Defined as scores &gt;2.2 or 2.8, respectively, on the psychosis or paranoia scales of the Symptom Checklist–90 (Derogatis, L.R. 2000)</w:t>
      </w:r>
    </w:p>
  </w:footnote>
  <w:footnote w:id="2">
    <w:p w14:paraId="454F733E" w14:textId="77777777" w:rsidR="00FC22CD" w:rsidRDefault="00000000">
      <w:pPr>
        <w:pStyle w:val="FootnoteText"/>
      </w:pPr>
      <w:r>
        <w:rPr>
          <w:rStyle w:val="FootnoteReference"/>
        </w:rPr>
        <w:footnoteRef/>
      </w:r>
      <w:r>
        <w:t xml:space="preserve"> 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3">
    <w:p w14:paraId="1404F542" w14:textId="77777777" w:rsidR="00FC22CD" w:rsidRDefault="00000000">
      <w:pPr>
        <w:pStyle w:val="FootnoteText"/>
      </w:pPr>
      <w:r>
        <w:rPr>
          <w:rStyle w:val="FootnoteReference"/>
        </w:rPr>
        <w:footnoteRef/>
      </w:r>
      <w:r>
        <w:t xml:space="preserv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
    <w:p w14:paraId="1D418F63" w14:textId="77777777" w:rsidR="00FC22CD" w:rsidRDefault="00000000">
      <w:pPr>
        <w:pStyle w:val="FootnoteText"/>
      </w:pPr>
      <w:r>
        <w:rPr>
          <w:rStyle w:val="FootnoteReference"/>
        </w:rPr>
        <w:footnoteRef/>
      </w:r>
      <w:r>
        <w:t xml:space="preserve"> 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D06C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61D223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70490539">
    <w:abstractNumId w:val="0"/>
  </w:num>
  <w:num w:numId="2" w16cid:durableId="21125785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35277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CD"/>
    <w:rsid w:val="002106D6"/>
    <w:rsid w:val="00372C3F"/>
    <w:rsid w:val="00430A6D"/>
    <w:rsid w:val="00565026"/>
    <w:rsid w:val="006A7D27"/>
    <w:rsid w:val="007669E3"/>
    <w:rsid w:val="007C3CDE"/>
    <w:rsid w:val="00953837"/>
    <w:rsid w:val="00A14839"/>
    <w:rsid w:val="00C36B4C"/>
    <w:rsid w:val="00DC42EF"/>
    <w:rsid w:val="00F901FE"/>
    <w:rsid w:val="00FC22CD"/>
    <w:rsid w:val="00FD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ED55"/>
  <w15:docId w15:val="{ACFA9D9E-99A1-4807-9B0C-272927BD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0862-017-9632-8" TargetMode="External"/><Relationship Id="rId26" Type="http://schemas.openxmlformats.org/officeDocument/2006/relationships/hyperlink" Target="https://doi.org/10.1145/1867699.1867704" TargetMode="External"/><Relationship Id="rId39" Type="http://schemas.openxmlformats.org/officeDocument/2006/relationships/hyperlink" Target="https://doi.org/10.1016/j.jsat.2021.108710" TargetMode="External"/><Relationship Id="rId21" Type="http://schemas.openxmlformats.org/officeDocument/2006/relationships/hyperlink" Target="https://doi.org/10.48550/arXiv.1810.04805" TargetMode="External"/><Relationship Id="rId34" Type="http://schemas.openxmlformats.org/officeDocument/2006/relationships/hyperlink" Target="https://doi.org/10.1016/j.cpr.2017.10.012" TargetMode="External"/><Relationship Id="rId42" Type="http://schemas.openxmlformats.org/officeDocument/2006/relationships/hyperlink" Target="https://doi.org/10.1016/0740-5472(94)00080-b" TargetMode="External"/><Relationship Id="rId47" Type="http://schemas.openxmlformats.org/officeDocument/2006/relationships/hyperlink" Target="https://doi.org/10.1177/0261927X09351676" TargetMode="External"/><Relationship Id="rId50" Type="http://schemas.openxmlformats.org/officeDocument/2006/relationships/hyperlink" Target="https://doi.org/10.1377/hlthaff.20.6.64" TargetMode="External"/><Relationship Id="rId55" Type="http://schemas.openxmlformats.org/officeDocument/2006/relationships/hyperlink" Target="https://doi.org/10.1016/j.cpr.2007.01.002" TargetMode="External"/><Relationship Id="rId63" Type="http://schemas.openxmlformats.org/officeDocument/2006/relationships/theme" Target="theme/theme1.xml"/><Relationship Id="rId7" Type="http://schemas.openxmlformats.org/officeDocument/2006/relationships/hyperlink" Target="https://osf.io/xta67/" TargetMode="External"/><Relationship Id="rId2" Type="http://schemas.openxmlformats.org/officeDocument/2006/relationships/styles" Target="styles.xml"/><Relationship Id="rId16" Type="http://schemas.openxmlformats.org/officeDocument/2006/relationships/hyperlink" Target="https://doi.org/10.1146/annurev.clinpsy.3.022806.091455" TargetMode="External"/><Relationship Id="rId29" Type="http://schemas.openxmlformats.org/officeDocument/2006/relationships/hyperlink" Target="https://doi.org/10.1007/s11920-012-0296-5" TargetMode="External"/><Relationship Id="rId11" Type="http://schemas.openxmlformats.org/officeDocument/2006/relationships/image" Target="media/image2.png"/><Relationship Id="rId24" Type="http://schemas.openxmlformats.org/officeDocument/2006/relationships/hyperlink" Target="https://doi.org/10.1146/annurev-clinpsy-102419-125016" TargetMode="External"/><Relationship Id="rId32" Type="http://schemas.openxmlformats.org/officeDocument/2006/relationships/hyperlink" Target="https://doi.org/10.1080/00952990.2019.1694536" TargetMode="External"/><Relationship Id="rId37" Type="http://schemas.openxmlformats.org/officeDocument/2006/relationships/hyperlink" Target="https://doi.org/10.1146/annurev-clinpsy-032816-044949" TargetMode="External"/><Relationship Id="rId40" Type="http://schemas.openxmlformats.org/officeDocument/2006/relationships/hyperlink" Target="https://doi.org/10.1016/j.drugalcdep.2019.05.017" TargetMode="External"/><Relationship Id="rId45" Type="http://schemas.openxmlformats.org/officeDocument/2006/relationships/hyperlink" Target="https://doi.org/10.1037/adb0000666" TargetMode="External"/><Relationship Id="rId53" Type="http://schemas.openxmlformats.org/officeDocument/2006/relationships/hyperlink" Target="https://www.ncbi.nlm.nih.gov/pubmed/12199834" TargetMode="External"/><Relationship Id="rId58" Type="http://schemas.openxmlformats.org/officeDocument/2006/relationships/hyperlink" Target="https://doi.org/10.31234/osf.io/cgsf7" TargetMode="External"/><Relationship Id="rId5" Type="http://schemas.openxmlformats.org/officeDocument/2006/relationships/footnotes" Target="footnotes.xml"/><Relationship Id="rId61" Type="http://schemas.openxmlformats.org/officeDocument/2006/relationships/hyperlink" Target="https://doi.org/10.7326/M14-0295" TargetMode="External"/><Relationship Id="rId19" Type="http://schemas.openxmlformats.org/officeDocument/2006/relationships/hyperlink" Target="https://www.ncbi.nlm.nih.gov/pmc/articles/PMC2797101" TargetMode="External"/><Relationship Id="rId14" Type="http://schemas.openxmlformats.org/officeDocument/2006/relationships/hyperlink" Target="https://doi.org/10.1038/s41562-019-0772-6" TargetMode="External"/><Relationship Id="rId22" Type="http://schemas.openxmlformats.org/officeDocument/2006/relationships/hyperlink" Target="https://doi.org/10.5555/ajhb.2007.31.supp.S47" TargetMode="External"/><Relationship Id="rId27" Type="http://schemas.openxmlformats.org/officeDocument/2006/relationships/hyperlink" Target="https://doi.org/10/gfsjzg" TargetMode="External"/><Relationship Id="rId30" Type="http://schemas.openxmlformats.org/officeDocument/2006/relationships/hyperlink" Target="https://doi.org/10.1007/978-1-4614-6849-3" TargetMode="External"/><Relationship Id="rId35" Type="http://schemas.openxmlformats.org/officeDocument/2006/relationships/hyperlink" Target="https://doi.org/10.1001/jama.284.13.1689" TargetMode="External"/><Relationship Id="rId43" Type="http://schemas.openxmlformats.org/officeDocument/2006/relationships/hyperlink" Target="https://doi.org/10.1177/1073191114540320" TargetMode="External"/><Relationship Id="rId48" Type="http://schemas.openxmlformats.org/officeDocument/2006/relationships/hyperlink" Target="https://doi.org/10.1111/j.1530-0277.1984.tb05523.x" TargetMode="External"/><Relationship Id="rId56" Type="http://schemas.openxmlformats.org/officeDocument/2006/relationships/hyperlink" Target="https://doi.org/10.1177/1073191116653829" TargetMode="External"/><Relationship Id="rId8" Type="http://schemas.openxmlformats.org/officeDocument/2006/relationships/hyperlink" Target="https://jjcurtin.github.io/study_lag/" TargetMode="External"/><Relationship Id="rId51" Type="http://schemas.openxmlformats.org/officeDocument/2006/relationships/hyperlink" Target="https://doi.org/10.1016/j.cpr.2005.11.003"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21231/GNT1-HW21" TargetMode="External"/><Relationship Id="rId25" Type="http://schemas.openxmlformats.org/officeDocument/2006/relationships/hyperlink" Target="https://doi.org/10.1016/j.drugalcdep.2006.05.012" TargetMode="External"/><Relationship Id="rId33" Type="http://schemas.openxmlformats.org/officeDocument/2006/relationships/hyperlink" Target="https://doi.org/10.1016/j.psc.2010.04.012" TargetMode="External"/><Relationship Id="rId38" Type="http://schemas.openxmlformats.org/officeDocument/2006/relationships/hyperlink" Target="https://doi.org/10.2196/29563" TargetMode="External"/><Relationship Id="rId46" Type="http://schemas.openxmlformats.org/officeDocument/2006/relationships/hyperlink" Target="https://doi.org/10.1177/1178221820976988" TargetMode="External"/><Relationship Id="rId59" Type="http://schemas.openxmlformats.org/officeDocument/2006/relationships/hyperlink" Target="https://doi.org/10.1145/1629890.1629897" TargetMode="External"/><Relationship Id="rId20" Type="http://schemas.openxmlformats.org/officeDocument/2006/relationships/hyperlink" Target="https://doi.org/10.1016/j.brat.2019.103506" TargetMode="External"/><Relationship Id="rId41" Type="http://schemas.openxmlformats.org/officeDocument/2006/relationships/hyperlink" Target="https://doi.org/10.2196/73265" TargetMode="External"/><Relationship Id="rId54" Type="http://schemas.openxmlformats.org/officeDocument/2006/relationships/hyperlink" Target="https://doi.org/10.1037/0003-066X.59.4.22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0488-016-0718-5" TargetMode="External"/><Relationship Id="rId23" Type="http://schemas.openxmlformats.org/officeDocument/2006/relationships/hyperlink" Target="https://doi.org/10.1037/ccp0000026" TargetMode="External"/><Relationship Id="rId28" Type="http://schemas.openxmlformats.org/officeDocument/2006/relationships/hyperlink" Target="https://doi.org/10.1001/jamanetworkopen.2020.5852" TargetMode="External"/><Relationship Id="rId36" Type="http://schemas.openxmlformats.org/officeDocument/2006/relationships/hyperlink" Target="https://doi.org/10.1016/j.drugalcdep.2021.108706" TargetMode="External"/><Relationship Id="rId49" Type="http://schemas.openxmlformats.org/officeDocument/2006/relationships/hyperlink" Target="https://doi.org/10.1093/jamia/ocy052" TargetMode="External"/><Relationship Id="rId57" Type="http://schemas.openxmlformats.org/officeDocument/2006/relationships/hyperlink" Target="https://doi.org/10.2196/41833" TargetMode="External"/><Relationship Id="rId10" Type="http://schemas.openxmlformats.org/officeDocument/2006/relationships/image" Target="media/image1.png"/><Relationship Id="rId31" Type="http://schemas.openxmlformats.org/officeDocument/2006/relationships/hyperlink" Target="https://doi.org/10.1016/j.amepre.2022.08.022" TargetMode="External"/><Relationship Id="rId44" Type="http://schemas.openxmlformats.org/officeDocument/2006/relationships/hyperlink" Target="https://doi.org/10.1111/add.13479" TargetMode="External"/><Relationship Id="rId52" Type="http://schemas.openxmlformats.org/officeDocument/2006/relationships/hyperlink" Target="https://doi.org/10.1016/j.jsat.2021.108417" TargetMode="External"/><Relationship Id="rId60" Type="http://schemas.openxmlformats.org/officeDocument/2006/relationships/hyperlink" Target="https://doi.org/10.1177/1077558712458541" TargetMode="External"/><Relationship Id="rId4" Type="http://schemas.openxmlformats.org/officeDocument/2006/relationships/webSettings" Target="webSettings.xml"/><Relationship Id="rId9" Type="http://schemas.openxmlformats.org/officeDocument/2006/relationships/hyperlink" Target="https://osf.io/xta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32</Pages>
  <Words>12404</Words>
  <Characters>70705</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Forecasting Risk of Alcohol Lapse up to Two Weeks in Advance using Time-lagged Machine Learning Models</vt:lpstr>
    </vt:vector>
  </TitlesOfParts>
  <Company/>
  <LinksUpToDate>false</LinksUpToDate>
  <CharactersWithSpaces>82944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Wyant;Gaylen E. Fronk;Jiachen Yu;Claire E. Punturieri;John J. Curtin</dc:creator>
  <cp:keywords>Substance use disorders, Precision mental health</cp:keywords>
  <cp:lastModifiedBy>Kendra Wyant</cp:lastModifiedBy>
  <cp:revision>2</cp:revision>
  <dcterms:created xsi:type="dcterms:W3CDTF">2025-08-21T17:52:00Z</dcterms:created>
  <dcterms:modified xsi:type="dcterms:W3CDTF">2025-08-21T17:52:00Z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and slightly declined with increasing lag, though decreases were not clinically meaningful. Models performed worse for non-advantaged groups (not White, below poverty, female). Past alcohol use, abstinence self-efficacy, and craving were the most important features, with the magnitude of importance varying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2025-08-21</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