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2025-02-05</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.97).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and Curtin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r>
        <w:t xml:space="preserve"> </w:t>
      </w:r>
      <w:r>
        <w:t xml:space="preserve">1. were age 18 or older,</w:t>
      </w:r>
      <w:r>
        <w:t xml:space="preserve"> </w:t>
      </w:r>
      <w:r>
        <w:t xml:space="preserve">2. could write and read in English,</w:t>
      </w:r>
      <w:r>
        <w:t xml:space="preserve"> </w:t>
      </w:r>
      <w:r>
        <w:t xml:space="preserve">3. had at least moderately severe alcohol use disorder (&gt;= 4 self-reported DSM-5 symptoms),</w:t>
      </w:r>
      <w:r>
        <w:t xml:space="preserve"> </w:t>
      </w:r>
      <w:r>
        <w:t xml:space="preserve">4. were abstinent from alcohol for 1-8 weeks, and</w:t>
      </w:r>
      <w:r>
        <w:t xml:space="preserve"> </w:t>
      </w:r>
      <w:r>
        <w:t xml:space="preserve">5. were willing to use a single smartphone (personal or study provided) while on study.</w:t>
      </w:r>
    </w:p>
    <w:p>
      <w:pPr>
        <w:pStyle w:val="BodyText"/>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AUD symptom count to characterize our sample.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s">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s">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s"/>
          <w:p>
            <w:pPr>
              <w:pStyle w:val="Compact"/>
              <w:jc w:val="center"/>
            </w:pPr>
            <w:r>
              <w:drawing>
                <wp:inline>
                  <wp:extent cx="5334000" cy="4307372"/>
                  <wp:effectExtent b="0" l="0" r="0" t="0"/>
                  <wp:docPr descr="" title="" id="32" name="Picture"/>
                  <a:graphic>
                    <a:graphicData uri="http://schemas.openxmlformats.org/drawingml/2006/picture">
                      <pic:pic>
                        <pic:nvPicPr>
                          <pic:cNvPr descr="index_files/figure-docx/notebooks-mak_figures-fig-methods-output-1.png" id="33" name="Picture"/>
                          <pic:cNvPicPr>
                            <a:picLocks noChangeArrowheads="1" noChangeAspect="1"/>
                          </pic:cNvPicPr>
                        </pic:nvPicPr>
                        <pic:blipFill>
                          <a:blip r:embed="rId31"/>
                          <a:stretch>
                            <a:fillRect/>
                          </a:stretch>
                        </pic:blipFill>
                        <pic:spPr bwMode="auto">
                          <a:xfrm>
                            <a:off x="0" y="0"/>
                            <a:ext cx="5334000" cy="43073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 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 point and start of the prediction window. A prediction window either started immediately after the prediction time 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1"/>
        </w:numPr>
      </w:pPr>
      <w:r>
        <w:rPr>
          <w:i/>
          <w:iCs/>
        </w:rPr>
        <w:t xml:space="preserve">Prediction window</w:t>
      </w:r>
      <w:r>
        <w:t xml:space="preserve">: We dummy-coded features for day of the week for the start of the prediction window.</w:t>
      </w:r>
    </w:p>
    <w:p>
      <w:pPr>
        <w:numPr>
          <w:ilvl w:val="0"/>
          <w:numId w:val="1001"/>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1"/>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37"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Lapse Characteristics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4"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0.90 (no lag), 0.88 (1-day lag), 0.87 (3-day hour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bookmarkEnd w:id="54"/>
    <w:bookmarkStart w:id="57" w:name="model-comparisons"/>
    <w:p>
      <w:pPr>
        <w:pStyle w:val="Heading2"/>
      </w:pPr>
      <w:r>
        <w:t xml:space="preserve">Model Comparisons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.98) that the lagged models performed worse than the baseline (no lag) model, with average drops in auROC ranging from 0.02-0.06, and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55" w:name="tbl-contrast"/>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0.042</w:t>
                  </w:r>
                </w:p>
              </w:tc>
              <w:tc>
                <w:tcPr/>
                <w:p>
                  <w:pPr>
                    <w:pStyle w:val="Compact"/>
                    <w:jc w:val="left"/>
                    <w:jc w:val="center"/>
                  </w:pPr>
                  <w:r>
                    <w:t xml:space="preserve">[0.007, 0.078]</w:t>
                  </w:r>
                </w:p>
              </w:tc>
              <w:tc>
                <w:tcPr/>
                <w:p>
                  <w:pPr>
                    <w:pStyle w:val="Compact"/>
                    <w:jc w:val="left"/>
                    <w:jc w:val="center"/>
                  </w:pPr>
                  <w:r>
                    <w:t xml:space="preserve">0.978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0.114</w:t>
                  </w:r>
                </w:p>
              </w:tc>
              <w:tc>
                <w:tcPr/>
                <w:p>
                  <w:pPr>
                    <w:pStyle w:val="Compact"/>
                    <w:jc w:val="left"/>
                    <w:jc w:val="center"/>
                  </w:pPr>
                  <w:r>
                    <w:t xml:space="preserve">[0.067, 0.162]</w:t>
                  </w:r>
                </w:p>
              </w:tc>
              <w:tc>
                <w:tcPr/>
                <w:p>
                  <w:pPr>
                    <w:pStyle w:val="Compact"/>
                    <w:jc w:val="left"/>
                    <w:jc w:val="center"/>
                  </w:pPr>
                  <w:r>
                    <w:t xml:space="preserve">1</w:t>
                  </w:r>
                </w:p>
              </w:tc>
            </w:tr>
          </w:tbl>
          <w:bookmarkEnd w:id="55"/>
          <w:p/>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Make All Tables for Main Manuscript</w:t>
        </w:r>
      </w:hyperlink>
    </w:p>
    <w:bookmarkEnd w:id="57"/>
    <w:bookmarkStart w:id="58" w:name="fairness-analyses-1"/>
    <w:p>
      <w:pPr>
        <w:pStyle w:val="Heading2"/>
      </w:pPr>
      <w:r>
        <w:t xml:space="preserve">Fairness Analyses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our no lag and 2-week lag models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49 vs. above poverty;</w:t>
      </w:r>
      <w:r>
        <w:t xml:space="preserve"> </w:t>
      </w:r>
      <w:r>
        <w:rPr>
          <w:i/>
          <w:iCs/>
        </w:rPr>
        <w:t xml:space="preserve">N</w:t>
      </w:r>
      <w:r>
        <w:t xml:space="preserve"> </w:t>
      </w:r>
      <w:r>
        <w:t xml:space="preserve">= 102). Individual Bayesian fairness contrasts for all five models are available in the supplement. There was strong evidence (probabilities &gt; .96) that our models performed better for the advantaged groups (White, male, above poverty) compared to the disadvantaged groups (not-White, female, below poverty). On average there was a median decrease in auROC of 0.15 (range 0.11-0.27) for participants who were not White compared to non-Hispanic White participants. On average there was a median decrease in auROC of 0.05 (range 0.04-0.10) for female participants compared to male participants. On average there was a median decrease in auROC of 0.04 (range 0.03-0.06) for participants below the federal poverty line compared to participants above the federal poverty line.</w:t>
      </w:r>
    </w:p>
    <w:bookmarkEnd w:id="58"/>
    <w:bookmarkStart w:id="64" w:name="feature-importance-1"/>
    <w:p>
      <w:pPr>
        <w:pStyle w:val="Heading2"/>
      </w:pPr>
      <w:r>
        <w:t xml:space="preserve">Feature Importance</w:t>
      </w:r>
    </w:p>
    <w:p>
      <w:pPr>
        <w:pStyle w:val="FirstParagraph"/>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2</w:t>
        </w:r>
      </w:hyperlink>
      <w:r>
        <w:t xml:space="preserve"> </w:t>
      </w:r>
      <w:r>
        <w:t xml:space="preserve">shows the relative ranking of feature categories for the no lag and 2-week lag models. Global feature importance plots for all 5 modes is included in the supplement. In the supplement we also provide global feature importance plots for the no lag and 2-week lag model separately by fairness contrast. Panel B of</w:t>
      </w:r>
      <w:r>
        <w:t xml:space="preserve"> </w:t>
      </w:r>
      <w:hyperlink w:anchor="fig-3">
        <w:r>
          <w:rPr>
            <w:rStyle w:val="Hyperlink"/>
          </w:rPr>
          <w:t xml:space="preserve">Figure 2</w:t>
        </w:r>
      </w:hyperlink>
      <w:r>
        <w:t xml:space="preserve"> </w:t>
      </w:r>
      <w:r>
        <w:t xml:space="preserve">shows the variation (min and max) in local feature importance for each EMA item for the no lag and 2-week lag models.</w:t>
      </w:r>
    </w:p>
    <w:tbl>
      <w:tblPr>
        <w:tblStyle w:val="Table"/>
        <w:tblW w:type="pct" w:w="5000"/>
        <w:tblLayout w:type="fixed"/>
        <w:tblLook w:firstRow="0" w:lastRow="0" w:firstColumn="0" w:lastColumn="0" w:noHBand="0" w:noVBand="0" w:val="0000"/>
      </w:tblPr>
      <w:tblGrid>
        <w:gridCol w:w="7920"/>
      </w:tblGrid>
      <w:tr>
        <w:tc>
          <w:tcPr/>
          <w:bookmarkStart w:id="62" w:name="fig-3"/>
          <w:p>
            <w:pPr>
              <w:pStyle w:val="Compact"/>
              <w:jc w:val="center"/>
            </w:pPr>
            <w:r>
              <w:drawing>
                <wp:inline>
                  <wp:extent cx="5334000" cy="3333749"/>
                  <wp:effectExtent b="0" l="0" r="0" t="0"/>
                  <wp:docPr descr="" title="" id="60" name="Picture"/>
                  <a:graphic>
                    <a:graphicData uri="http://schemas.openxmlformats.org/drawingml/2006/picture">
                      <pic:pic>
                        <pic:nvPicPr>
                          <pic:cNvPr descr="index_files/figure-docx/notebooks-mak_figures-fig-3-output-1.png" id="61" name="Picture"/>
                          <pic:cNvPicPr>
                            <a:picLocks noChangeArrowheads="1" noChangeAspect="1"/>
                          </pic:cNvPicPr>
                        </pic:nvPicPr>
                        <pic:blipFill>
                          <a:blip r:embed="rId59"/>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2"/>
        </w:tc>
      </w:tr>
    </w:tbl>
    <w:p>
      <w:pPr>
        <w:pStyle w:val="BodyText"/>
      </w:pPr>
      <w:r>
        <w:rPr>
          <w:vertAlign w:val="subscript"/>
        </w:rPr>
        <w:t xml:space="preserve">Source:</w:t>
      </w:r>
      <w:r>
        <w:rPr>
          <w:vertAlign w:val="subscript"/>
        </w:rPr>
        <w:t xml:space="preserve"> </w:t>
      </w:r>
      <w:hyperlink r:id="rId63">
        <w:r>
          <w:rPr>
            <w:rStyle w:val="Hyperlink"/>
            <w:vertAlign w:val="subscript"/>
          </w:rPr>
          <w:t xml:space="preserve">Make All Figures for Main Manuscript</w:t>
        </w:r>
      </w:hyperlink>
    </w:p>
    <w:bookmarkEnd w:id="64"/>
    <w:bookmarkStart w:id="65" w:name="discussion"/>
    <w:p>
      <w:pPr>
        <w:pStyle w:val="Heading2"/>
      </w:pPr>
      <w:r>
        <w:t xml:space="preserve">Discussion</w:t>
      </w:r>
    </w:p>
    <w:bookmarkEnd w:id="65"/>
    <w:bookmarkStart w:id="66" w:name="model-performance"/>
    <w:p>
      <w:pPr>
        <w:pStyle w:val="Heading2"/>
      </w:pPr>
      <w:r>
        <w:t xml:space="preserve">Model Performance</w:t>
      </w:r>
    </w:p>
    <w:p>
      <w:pPr>
        <w:pStyle w:val="FirstParagraph"/>
      </w:pPr>
      <w:r>
        <w:t xml:space="preserve">Our models performed exceptionally well with median posterior probabilities for auROCs of .84 -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66"/>
    <w:bookmarkStart w:id="67"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7"/>
    <w:bookmarkStart w:id="68"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and Curtin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68"/>
    <w:bookmarkStart w:id="69"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9"/>
    <w:bookmarkStart w:id="136" w:name="references"/>
    <w:p>
      <w:pPr>
        <w:pStyle w:val="Heading2"/>
      </w:pPr>
      <w:r>
        <w:t xml:space="preserve">References</w:t>
      </w:r>
    </w:p>
    <w:bookmarkStart w:id="135" w:name="refs"/>
    <w:bookmarkStart w:id="71"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0">
        <w:r>
          <w:rPr>
            <w:rStyle w:val="Hyperlink"/>
          </w:rPr>
          <w:t xml:space="preserve">https://doi.org/10.1016/j.addbeh.2017.11.039</w:t>
        </w:r>
      </w:hyperlink>
      <w:r>
        <w:t xml:space="preserve">.</w:t>
      </w:r>
    </w:p>
    <w:bookmarkEnd w:id="71"/>
    <w:bookmarkStart w:id="73"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2">
        <w:r>
          <w:rPr>
            <w:rStyle w:val="Hyperlink"/>
          </w:rPr>
          <w:t xml:space="preserve">https://doi.org/10.1007/s10488-016-0718-5</w:t>
        </w:r>
      </w:hyperlink>
      <w:r>
        <w:t xml:space="preserve">.</w:t>
      </w:r>
    </w:p>
    <w:bookmarkEnd w:id="73"/>
    <w:bookmarkStart w:id="74"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74"/>
    <w:bookmarkStart w:id="76"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75">
        <w:r>
          <w:rPr>
            <w:rStyle w:val="Hyperlink"/>
          </w:rPr>
          <w:t xml:space="preserve">https://doi.org/10.1146/annurev.clinpsy.3.022806.091455</w:t>
        </w:r>
      </w:hyperlink>
      <w:r>
        <w:t xml:space="preserve">.</w:t>
      </w:r>
    </w:p>
    <w:bookmarkEnd w:id="76"/>
    <w:bookmarkStart w:id="78"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7">
        <w:r>
          <w:rPr>
            <w:rStyle w:val="Hyperlink"/>
          </w:rPr>
          <w:t xml:space="preserve">https://doi.org/10.21231/GNT1-HW21</w:t>
        </w:r>
      </w:hyperlink>
      <w:r>
        <w:t xml:space="preserve">.</w:t>
      </w:r>
    </w:p>
    <w:bookmarkEnd w:id="78"/>
    <w:bookmarkStart w:id="79"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79"/>
    <w:bookmarkStart w:id="81"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80">
        <w:r>
          <w:rPr>
            <w:rStyle w:val="Hyperlink"/>
          </w:rPr>
          <w:t xml:space="preserve">https://doi.org/10.1016/j.jsat.2013.08.004</w:t>
        </w:r>
      </w:hyperlink>
      <w:r>
        <w:t xml:space="preserve">.</w:t>
      </w:r>
    </w:p>
    <w:bookmarkEnd w:id="81"/>
    <w:bookmarkStart w:id="83" w:name="ref-dennisManagingAddictionChronic2007"/>
    <w:p>
      <w:pPr>
        <w:pStyle w:val="Bibliography"/>
      </w:pPr>
      <w:r>
        <w:t xml:space="preserve">Dennis, Michael, and Christy K Scott. 2007.</w:t>
      </w:r>
      <w:r>
        <w:t xml:space="preserve"> </w:t>
      </w:r>
      <w:r>
        <w:t xml:space="preserve">“</w:t>
      </w:r>
      <w:hyperlink r:id="rId82">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3"/>
    <w:bookmarkStart w:id="84"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84"/>
    <w:bookmarkStart w:id="86"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85">
        <w:r>
          <w:rPr>
            <w:rStyle w:val="Hyperlink"/>
          </w:rPr>
          <w:t xml:space="preserve">https://doi.org/10.1016/j.brat.2019.103506</w:t>
        </w:r>
      </w:hyperlink>
      <w:r>
        <w:t xml:space="preserve">.</w:t>
      </w:r>
    </w:p>
    <w:bookmarkEnd w:id="86"/>
    <w:bookmarkStart w:id="87"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7"/>
    <w:bookmarkStart w:id="88"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8"/>
    <w:bookmarkStart w:id="90"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9">
        <w:r>
          <w:rPr>
            <w:rStyle w:val="Hyperlink"/>
          </w:rPr>
          <w:t xml:space="preserve">https://doi.org/10.1016/j.drugalcdep.2006.05.012</w:t>
        </w:r>
      </w:hyperlink>
      <w:r>
        <w:t xml:space="preserve">.</w:t>
      </w:r>
    </w:p>
    <w:bookmarkEnd w:id="90"/>
    <w:bookmarkStart w:id="91"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1"/>
    <w:bookmarkStart w:id="92"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2"/>
    <w:bookmarkStart w:id="93"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3"/>
    <w:bookmarkStart w:id="95"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4">
        <w:r>
          <w:rPr>
            <w:rStyle w:val="Hyperlink"/>
          </w:rPr>
          <w:t xml:space="preserve">https://doi.org/10/gfsjzg</w:t>
        </w:r>
      </w:hyperlink>
      <w:r>
        <w:t xml:space="preserve">.</w:t>
      </w:r>
    </w:p>
    <w:bookmarkEnd w:id="95"/>
    <w:bookmarkStart w:id="97"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96">
        <w:r>
          <w:rPr>
            <w:rStyle w:val="Hyperlink"/>
          </w:rPr>
          <w:t xml:space="preserve">https://doi.org/10.1001/jamanetworkopen.2020.5852</w:t>
        </w:r>
      </w:hyperlink>
      <w:r>
        <w:t xml:space="preserve">.</w:t>
      </w:r>
    </w:p>
    <w:bookmarkEnd w:id="97"/>
    <w:bookmarkStart w:id="99"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98">
        <w:r>
          <w:rPr>
            <w:rStyle w:val="Hyperlink"/>
          </w:rPr>
          <w:t xml:space="preserve">https://doi.org/10.1007/s11920-012-0296-5</w:t>
        </w:r>
      </w:hyperlink>
      <w:r>
        <w:t xml:space="preserve">.</w:t>
      </w:r>
    </w:p>
    <w:bookmarkEnd w:id="99"/>
    <w:bookmarkStart w:id="100"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0"/>
    <w:bookmarkStart w:id="102"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1">
        <w:r>
          <w:rPr>
            <w:rStyle w:val="Hyperlink"/>
          </w:rPr>
          <w:t xml:space="preserve">https://doi.org/10.1007/978-1-4614-6849-3</w:t>
        </w:r>
      </w:hyperlink>
      <w:r>
        <w:t xml:space="preserve">.</w:t>
      </w:r>
    </w:p>
    <w:bookmarkEnd w:id="102"/>
    <w:bookmarkStart w:id="103"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3"/>
    <w:bookmarkStart w:id="104"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4"/>
    <w:bookmarkStart w:id="105"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05"/>
    <w:bookmarkStart w:id="107"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06">
        <w:r>
          <w:rPr>
            <w:rStyle w:val="Hyperlink"/>
          </w:rPr>
          <w:t xml:space="preserve">https://doi.org/10.1001/jama.284.13.1689</w:t>
        </w:r>
      </w:hyperlink>
      <w:r>
        <w:t xml:space="preserve">.</w:t>
      </w:r>
    </w:p>
    <w:bookmarkEnd w:id="107"/>
    <w:bookmarkStart w:id="10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08">
        <w:r>
          <w:rPr>
            <w:rStyle w:val="Hyperlink"/>
          </w:rPr>
          <w:t xml:space="preserve">https://doi.org/10.1146/annurev-clinpsy-032816-044949</w:t>
        </w:r>
      </w:hyperlink>
      <w:r>
        <w:t xml:space="preserve">.</w:t>
      </w:r>
    </w:p>
    <w:bookmarkEnd w:id="109"/>
    <w:bookmarkStart w:id="11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0">
        <w:r>
          <w:rPr>
            <w:rStyle w:val="Hyperlink"/>
          </w:rPr>
          <w:t xml:space="preserve">https://doi.org/10.2196/29563</w:t>
        </w:r>
      </w:hyperlink>
      <w:r>
        <w:t xml:space="preserve">.</w:t>
      </w:r>
    </w:p>
    <w:bookmarkEnd w:id="111"/>
    <w:bookmarkStart w:id="11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2">
        <w:r>
          <w:rPr>
            <w:rStyle w:val="Hyperlink"/>
          </w:rPr>
          <w:t xml:space="preserve">https://doi.org/10.1016/j.jsat.2021.108710</w:t>
        </w:r>
      </w:hyperlink>
      <w:r>
        <w:t xml:space="preserve">.</w:t>
      </w:r>
    </w:p>
    <w:bookmarkEnd w:id="113"/>
    <w:bookmarkStart w:id="11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14">
        <w:r>
          <w:rPr>
            <w:rStyle w:val="Hyperlink"/>
          </w:rPr>
          <w:t xml:space="preserve">https://doi.org/10.1016/j.drugalcdep.2019.05.017</w:t>
        </w:r>
      </w:hyperlink>
      <w:r>
        <w:t xml:space="preserve">.</w:t>
      </w:r>
    </w:p>
    <w:bookmarkEnd w:id="115"/>
    <w:bookmarkStart w:id="11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16"/>
    <w:bookmarkStart w:id="11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17">
        <w:r>
          <w:rPr>
            <w:rStyle w:val="Hyperlink"/>
          </w:rPr>
          <w:t xml:space="preserve">https://doi.org/10.1111/add.13479</w:t>
        </w:r>
      </w:hyperlink>
      <w:r>
        <w:t xml:space="preserve">.</w:t>
      </w:r>
    </w:p>
    <w:bookmarkEnd w:id="118"/>
    <w:bookmarkStart w:id="12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19">
        <w:r>
          <w:rPr>
            <w:rStyle w:val="Hyperlink"/>
          </w:rPr>
          <w:t xml:space="preserve">https://doi.org/10.1037/adb0000666</w:t>
        </w:r>
      </w:hyperlink>
      <w:r>
        <w:t xml:space="preserve">.</w:t>
      </w:r>
    </w:p>
    <w:bookmarkEnd w:id="120"/>
    <w:bookmarkStart w:id="12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1">
        <w:r>
          <w:rPr>
            <w:rStyle w:val="Hyperlink"/>
          </w:rPr>
          <w:t xml:space="preserve">https://doi.org/10.1177/1178221820976988</w:t>
        </w:r>
      </w:hyperlink>
      <w:r>
        <w:t xml:space="preserve">.</w:t>
      </w:r>
    </w:p>
    <w:bookmarkEnd w:id="122"/>
    <w:bookmarkStart w:id="123"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23"/>
    <w:bookmarkStart w:id="125"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24">
        <w:r>
          <w:rPr>
            <w:rStyle w:val="Hyperlink"/>
          </w:rPr>
          <w:t xml:space="preserve">https://doi.org/10.1016/j.jsat.2021.108417</w:t>
        </w:r>
      </w:hyperlink>
      <w:r>
        <w:t xml:space="preserve">.</w:t>
      </w:r>
    </w:p>
    <w:bookmarkEnd w:id="125"/>
    <w:bookmarkStart w:id="127"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26">
        <w:r>
          <w:rPr>
            <w:rStyle w:val="Hyperlink"/>
          </w:rPr>
          <w:t xml:space="preserve">https://doi.org/10.1037/0003-066X.59.4.224</w:t>
        </w:r>
      </w:hyperlink>
      <w:r>
        <w:t xml:space="preserve">.</w:t>
      </w:r>
    </w:p>
    <w:bookmarkEnd w:id="127"/>
    <w:bookmarkStart w:id="129"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28">
        <w:r>
          <w:rPr>
            <w:rStyle w:val="Hyperlink"/>
          </w:rPr>
          <w:t xml:space="preserve">https://doi.org/10.1016/j.cpr.2007.01.002</w:t>
        </w:r>
      </w:hyperlink>
      <w:r>
        <w:t xml:space="preserve">.</w:t>
      </w:r>
    </w:p>
    <w:bookmarkEnd w:id="129"/>
    <w:bookmarkStart w:id="130" w:name="X3f67f11df296341e595ed74232696d3a94ce536"/>
    <w:p>
      <w:pPr>
        <w:pStyle w:val="Bibliography"/>
      </w:pPr>
      <w:r>
        <w:t xml:space="preserve">Wyant, Kendra,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30"/>
    <w:bookmarkStart w:id="132"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1">
        <w:r>
          <w:rPr>
            <w:rStyle w:val="Hyperlink"/>
          </w:rPr>
          <w:t xml:space="preserve">https://doi.org/10.2196/41833</w:t>
        </w:r>
      </w:hyperlink>
      <w:r>
        <w:t xml:space="preserve">.</w:t>
      </w:r>
    </w:p>
    <w:bookmarkEnd w:id="132"/>
    <w:bookmarkStart w:id="134"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33">
        <w:r>
          <w:rPr>
            <w:rStyle w:val="Hyperlink"/>
          </w:rPr>
          <w:t xml:space="preserve">https://doi.org/10.31234/osf.io/cgsf7</w:t>
        </w:r>
      </w:hyperlink>
      <w:r>
        <w:t xml:space="preserve">.</w:t>
      </w:r>
    </w:p>
    <w:bookmarkEnd w:id="134"/>
    <w:bookmarkEnd w:id="135"/>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31" Target="media/rId31.png" /><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28"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6"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1" Target="https://doi.org/10.2196/41833" TargetMode="External" /><Relationship Type="http://schemas.openxmlformats.org/officeDocument/2006/relationships/hyperlink" Id="rId133"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s" TargetMode="External" /><Relationship Type="http://schemas.openxmlformats.org/officeDocument/2006/relationships/hyperlink" Id="rId56" Target="https://jjcurtin.github.io/study_lag/notebooks\mak_tables-preview.html#cell-tbl-contrast"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28"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6"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1" Target="https://doi.org/10.2196/41833" TargetMode="External" /><Relationship Type="http://schemas.openxmlformats.org/officeDocument/2006/relationships/hyperlink" Id="rId133"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s" TargetMode="External" /><Relationship Type="http://schemas.openxmlformats.org/officeDocument/2006/relationships/hyperlink" Id="rId56" Target="https://jjcurtin.github.io/study_lag/notebooks\mak_tables-preview.html#cell-tbl-contrast"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2025-02-06T01:20:33Z</dcterms:created>
  <dcterms:modified xsi:type="dcterms:W3CDTF">2025-02-06T01:20:33Z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.97).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2025-02-05</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