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42"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0.901 (baseline), 0.881 (24 hour lag), 0.869 (72 hour lag), 0.858 (168 hour lag), and 0.837 (336 hour lag). These values represent our best estimates for the magnitude of the auROC parameter for each model. The 95% Bayesian CI for the auROCs for these models were relatively narrow and did not contain 0.5: baseline [0.884-0.916], 24 hour lag [0.861-0.899], 72 hour lag [0.847-0.889], 168 hour lag [0.835-0.880], 336 hour lag [0.811-0.862].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499"/>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median posterior probability for area under ROC curve (auROC) and 95% Bayesian CI for each lagged model (0, 1-day, 3-day, 1-week, and 2-week lag). Dashed line represents a random classifier with an auROC of .5. Panels B-D display the median auROC and Bayesian credible interval for the 0 and 2-week lag models by fairness contrast. The darker lines represent the advantaged groups (non-Hispanic White, male, above poverty) and the lighter lines represent the disadvantaged groups (not White, female, below poverty). Dashed lines represent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0.020-0.064. There was also moderately strong evidence (probabilities &gt; .86) that the more lagged models performed worse than the previous adjacent lag, with average drops in auROC ranging from 0.010-0.021.</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0 vs. 72</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72 vs. 168</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168 vs. 336</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the no lag and two-week lag models separately by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0.150 (range 0.111-0.270) for participants who were not White compared to non-Hispanic White participants. On average there was a median decrease in auROC of 0.049 (range 0.042-0.097) for female participants compared to male participants. On average there was a median decrease in auROC of 0.064 (range 0.042-0.107) for participants below the federal poverty line compared to participants above the federal poverty line. Individual Bayesian fairness contrasts for all five models are available in the supplement.</w:t>
      </w:r>
    </w:p>
    <w:bookmarkEnd w:id="62"/>
    <w:bookmarkStart w:id="68"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(global feature importance plots for all 5 models are available in the supplement). While future efficacy was the 2nd most important feature for both the no lag and 2-week lag models, the feature importance score is notably higher for the no lag model. On the other hand, future risky situations, past pleasant events, valence, and arousal appear to be more important features for the two-week lag model.</w:t>
      </w:r>
    </w:p>
    <w:p>
      <w:pPr>
        <w:pStyle w:val="BodyText"/>
      </w:pPr>
      <w:r>
        <w:t xml:space="preserve">Panels B-C of</w:t>
      </w:r>
      <w:r>
        <w:t xml:space="preserve"> </w:t>
      </w:r>
      <w:hyperlink w:anchor="fig-3">
        <w:r>
          <w:rPr>
            <w:rStyle w:val="Hyperlink"/>
          </w:rPr>
          <w:t xml:space="preserve">Figure 3</w:t>
        </w:r>
      </w:hyperlink>
      <w:r>
        <w:t xml:space="preserve"> </w:t>
      </w:r>
      <w:r>
        <w:t xml:space="preserve">show the local feature importance plots for the no lag and 2-week lag models, respectively. Local feature importance plots for all 5 models are available in the supplement. Future abstinence efficacy, future risky situations, and income appear to have a linear relationship to lapse prediction. Higher efficacy, fewer future risky situations, and higher income were associated with a lower likelihood that the model would predict a lapse.</w:t>
      </w:r>
    </w:p>
    <w:tbl>
      <w:tblPr>
        <w:tblStyle w:val="Table"/>
        <w:tblW w:type="pct" w:w="5000"/>
        <w:tblLayout w:type="fixed"/>
        <w:tblLook w:firstRow="0" w:lastRow="0" w:firstColumn="0" w:lastColumn="0" w:noHBand="0" w:noVBand="0" w:val="0000"/>
      </w:tblPr>
      <w:tblGrid>
        <w:gridCol w:w="7920"/>
      </w:tblGrid>
      <w:tr>
        <w:tc>
          <w:tcPr/>
          <w:bookmarkStart w:id="66" w:name="fig-3"/>
          <w:p>
            <w:pPr>
              <w:pStyle w:val="Compact"/>
              <w:jc w:val="center"/>
            </w:pPr>
            <w:r>
              <w:drawing>
                <wp:inline>
                  <wp:extent cx="5334000" cy="3333749"/>
                  <wp:effectExtent b="0" l="0" r="0" t="0"/>
                  <wp:docPr descr="" title="" id="64" name="Picture"/>
                  <a:graphic>
                    <a:graphicData uri="http://schemas.openxmlformats.org/drawingml/2006/picture">
                      <pic:pic>
                        <pic:nvPicPr>
                          <pic:cNvPr descr="index_files/figure-docx/notebooks-mak_figures-fig-3-output-1.png" id="65" name="Picture"/>
                          <pic:cNvPicPr>
                            <a:picLocks noChangeArrowheads="1" noChangeAspect="1"/>
                          </pic:cNvPicPr>
                        </pic:nvPicPr>
                        <pic:blipFill>
                          <a:blip r:embed="rId6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B-C display the local feature importance for the no lag and 2-week lag models, respectively.</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All Figures for Main Manuscript</w:t>
        </w:r>
      </w:hyperlink>
    </w:p>
    <w:bookmarkEnd w:id="68"/>
    <w:bookmarkStart w:id="69" w:name="discussion"/>
    <w:p>
      <w:pPr>
        <w:pStyle w:val="Heading2"/>
      </w:pPr>
      <w:r>
        <w:t xml:space="preserve">Discussion</w:t>
      </w:r>
    </w:p>
    <w:bookmarkEnd w:id="69"/>
    <w:bookmarkStart w:id="70" w:name="model-performance"/>
    <w:p>
      <w:pPr>
        <w:pStyle w:val="Heading2"/>
      </w:pPr>
      <w:r>
        <w:t xml:space="preserve">Model Performance</w:t>
      </w:r>
    </w:p>
    <w:p>
      <w:pPr>
        <w:pStyle w:val="FirstParagraph"/>
      </w:pPr>
      <w:r>
        <w:t xml:space="preserve">Our models performed exceptionally well with median posterior probabilities for auROCs of .84 - .90</w:t>
      </w:r>
      <w:r>
        <w:t xml:space="preserve">.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w:t>
      </w:r>
      <w:r>
        <w:t xml:space="preserve">) is still excellent, and the benefit of advanced notice likely outweighs the cost to performance.</w:t>
      </w:r>
    </w:p>
    <w:p>
      <w:pPr>
        <w:pStyle w:val="BodyText"/>
      </w:pPr>
      <w:r>
        <w:t xml:space="preserve">The relative ordering of important features remained somewhat consistent across models. Past use and future efficacy were the top two features for all models. However the magnitude of their importance varried somewhat by lag time. Additionally, for the two-week model future risky situations emerged as an important feature (surpassing past risky situations) whereas for the no lag model future and past risky situations held similar weight. We saw a similar, although much smaller, trend with future vs past stressful events. This may suggest there could be added utility to the lagged models by asking future-facing questions in addition to questions about current and recent past experiences.</w:t>
      </w:r>
    </w:p>
    <w:bookmarkEnd w:id="70"/>
    <w:bookmarkStart w:id="71"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1"/>
    <w:bookmarkStart w:id="72"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2"/>
    <w:bookmarkStart w:id="7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3"/>
    <w:bookmarkStart w:id="141" w:name="references"/>
    <w:p>
      <w:pPr>
        <w:pStyle w:val="Heading2"/>
      </w:pPr>
      <w:r>
        <w:t xml:space="preserve">References</w:t>
      </w:r>
    </w:p>
    <w:bookmarkStart w:id="140" w:name="refs"/>
    <w:bookmarkStart w:id="7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4">
        <w:r>
          <w:rPr>
            <w:rStyle w:val="Hyperlink"/>
          </w:rPr>
          <w:t xml:space="preserve">https://doi.org/10.1016/j.addbeh.2017.11.039</w:t>
        </w:r>
      </w:hyperlink>
      <w:r>
        <w:t xml:space="preserve">.</w:t>
      </w:r>
    </w:p>
    <w:bookmarkEnd w:id="75"/>
    <w:bookmarkStart w:id="7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6">
        <w:r>
          <w:rPr>
            <w:rStyle w:val="Hyperlink"/>
          </w:rPr>
          <w:t xml:space="preserve">https://doi.org/10.1007/s10488-016-0718-5</w:t>
        </w:r>
      </w:hyperlink>
      <w:r>
        <w:t xml:space="preserve">.</w:t>
      </w:r>
    </w:p>
    <w:bookmarkEnd w:id="77"/>
    <w:bookmarkStart w:id="7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8"/>
    <w:bookmarkStart w:id="8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9">
        <w:r>
          <w:rPr>
            <w:rStyle w:val="Hyperlink"/>
          </w:rPr>
          <w:t xml:space="preserve">https://doi.org/10.1146/annurev.clinpsy.3.022806.091455</w:t>
        </w:r>
      </w:hyperlink>
      <w:r>
        <w:t xml:space="preserve">.</w:t>
      </w:r>
    </w:p>
    <w:bookmarkEnd w:id="80"/>
    <w:bookmarkStart w:id="8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1">
        <w:r>
          <w:rPr>
            <w:rStyle w:val="Hyperlink"/>
          </w:rPr>
          <w:t xml:space="preserve">https://doi.org/10.21231/GNT1-HW21</w:t>
        </w:r>
      </w:hyperlink>
      <w:r>
        <w:t xml:space="preserve">.</w:t>
      </w:r>
    </w:p>
    <w:bookmarkEnd w:id="82"/>
    <w:bookmarkStart w:id="8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3"/>
    <w:bookmarkStart w:id="85"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4">
        <w:r>
          <w:rPr>
            <w:rStyle w:val="Hyperlink"/>
          </w:rPr>
          <w:t xml:space="preserve">https://doi.org/10.1016/j.jsat.2013.08.004</w:t>
        </w:r>
      </w:hyperlink>
      <w:r>
        <w:t xml:space="preserve">.</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8">
        <w:r>
          <w:rPr>
            <w:rStyle w:val="Hyperlink"/>
          </w:rPr>
          <w:t xml:space="preserve">https://doi.org/10.1016/j.brat.2019.103506</w:t>
        </w:r>
      </w:hyperlink>
      <w:r>
        <w:t xml:space="preserve">.</w:t>
      </w:r>
    </w:p>
    <w:bookmarkEnd w:id="89"/>
    <w:bookmarkStart w:id="9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0"/>
    <w:bookmarkStart w:id="9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1"/>
    <w:bookmarkStart w:id="9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2">
        <w:r>
          <w:rPr>
            <w:rStyle w:val="Hyperlink"/>
          </w:rPr>
          <w:t xml:space="preserve">https://doi.org/10.1016/j.drugalcdep.2006.05.012</w:t>
        </w:r>
      </w:hyperlink>
      <w:r>
        <w:t xml:space="preserve">.</w:t>
      </w:r>
    </w:p>
    <w:bookmarkEnd w:id="93"/>
    <w:bookmarkStart w:id="9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4"/>
    <w:bookmarkStart w:id="9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5"/>
    <w:bookmarkStart w:id="9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6"/>
    <w:bookmarkStart w:id="9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7">
        <w:r>
          <w:rPr>
            <w:rStyle w:val="Hyperlink"/>
          </w:rPr>
          <w:t xml:space="preserve">https://doi.org/10/gfsjzg</w:t>
        </w:r>
      </w:hyperlink>
      <w:r>
        <w:t xml:space="preserve">.</w:t>
      </w:r>
    </w:p>
    <w:bookmarkEnd w:id="98"/>
    <w:bookmarkStart w:id="10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9">
        <w:r>
          <w:rPr>
            <w:rStyle w:val="Hyperlink"/>
          </w:rPr>
          <w:t xml:space="preserve">https://doi.org/10.1001/jamanetworkopen.2020.5852</w:t>
        </w:r>
      </w:hyperlink>
      <w:r>
        <w:t xml:space="preserve">.</w:t>
      </w:r>
    </w:p>
    <w:bookmarkEnd w:id="100"/>
    <w:bookmarkStart w:id="10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1">
        <w:r>
          <w:rPr>
            <w:rStyle w:val="Hyperlink"/>
          </w:rPr>
          <w:t xml:space="preserve">https://doi.org/10.1007/s11920-012-0296-5</w:t>
        </w:r>
      </w:hyperlink>
      <w:r>
        <w:t xml:space="preserve">.</w:t>
      </w:r>
    </w:p>
    <w:bookmarkEnd w:id="102"/>
    <w:bookmarkStart w:id="10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3"/>
    <w:bookmarkStart w:id="10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4">
        <w:r>
          <w:rPr>
            <w:rStyle w:val="Hyperlink"/>
          </w:rPr>
          <w:t xml:space="preserve">https://doi.org/10.1007/978-1-4614-6849-3</w:t>
        </w:r>
      </w:hyperlink>
      <w:r>
        <w:t xml:space="preserve">.</w:t>
      </w:r>
    </w:p>
    <w:bookmarkEnd w:id="105"/>
    <w:bookmarkStart w:id="10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6"/>
    <w:bookmarkStart w:id="108"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107">
        <w:r>
          <w:rPr>
            <w:rStyle w:val="Hyperlink"/>
          </w:rPr>
          <w:t xml:space="preserve">https://doi.org/10.1214/17-EJS1338SI</w:t>
        </w:r>
      </w:hyperlink>
      <w:r>
        <w:t xml:space="preserve">.</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1">
        <w:r>
          <w:rPr>
            <w:rStyle w:val="Hyperlink"/>
          </w:rPr>
          <w:t xml:space="preserve">https://doi.org/10.1001/jama.284.13.1689</w:t>
        </w:r>
      </w:hyperlink>
      <w:r>
        <w:t xml:space="preserve">.</w:t>
      </w:r>
    </w:p>
    <w:bookmarkEnd w:id="112"/>
    <w:bookmarkStart w:id="114"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5">
        <w:r>
          <w:rPr>
            <w:rStyle w:val="Hyperlink"/>
          </w:rPr>
          <w:t xml:space="preserve">https://doi.org/10.2196/29563</w:t>
        </w:r>
      </w:hyperlink>
      <w:r>
        <w:t xml:space="preserve">.</w:t>
      </w:r>
    </w:p>
    <w:bookmarkEnd w:id="116"/>
    <w:bookmarkStart w:id="118"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7">
        <w:r>
          <w:rPr>
            <w:rStyle w:val="Hyperlink"/>
          </w:rPr>
          <w:t xml:space="preserve">https://doi.org/10.1016/j.jsat.2021.108710</w:t>
        </w:r>
      </w:hyperlink>
      <w:r>
        <w:t xml:space="preserve">.</w:t>
      </w:r>
    </w:p>
    <w:bookmarkEnd w:id="118"/>
    <w:bookmarkStart w:id="120"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9">
        <w:r>
          <w:rPr>
            <w:rStyle w:val="Hyperlink"/>
          </w:rPr>
          <w:t xml:space="preserve">https://doi.org/10.1016/j.drugalcdep.2019.05.017</w:t>
        </w:r>
      </w:hyperlink>
      <w:r>
        <w:t xml:space="preserve">.</w:t>
      </w:r>
    </w:p>
    <w:bookmarkEnd w:id="120"/>
    <w:bookmarkStart w:id="121"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1"/>
    <w:bookmarkStart w:id="123"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2">
        <w:r>
          <w:rPr>
            <w:rStyle w:val="Hyperlink"/>
          </w:rPr>
          <w:t xml:space="preserve">https://doi.org/10.1111/add.13479</w:t>
        </w:r>
      </w:hyperlink>
      <w:r>
        <w:t xml:space="preserve">.</w:t>
      </w:r>
    </w:p>
    <w:bookmarkEnd w:id="123"/>
    <w:bookmarkStart w:id="12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4">
        <w:r>
          <w:rPr>
            <w:rStyle w:val="Hyperlink"/>
          </w:rPr>
          <w:t xml:space="preserve">https://doi.org/10.1037/adb0000666</w:t>
        </w:r>
      </w:hyperlink>
      <w:r>
        <w:t xml:space="preserve">.</w:t>
      </w:r>
    </w:p>
    <w:bookmarkEnd w:id="125"/>
    <w:bookmarkStart w:id="127"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6">
        <w:r>
          <w:rPr>
            <w:rStyle w:val="Hyperlink"/>
          </w:rPr>
          <w:t xml:space="preserve">https://doi.org/10.1177/1178221820976988</w:t>
        </w:r>
      </w:hyperlink>
      <w:r>
        <w:t xml:space="preserve">.</w:t>
      </w:r>
    </w:p>
    <w:bookmarkEnd w:id="127"/>
    <w:bookmarkStart w:id="128"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8"/>
    <w:bookmarkStart w:id="13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9">
        <w:r>
          <w:rPr>
            <w:rStyle w:val="Hyperlink"/>
          </w:rPr>
          <w:t xml:space="preserve">https://doi.org/10.1016/j.jsat.2021.108417</w:t>
        </w:r>
      </w:hyperlink>
      <w:r>
        <w:t xml:space="preserve">.</w:t>
      </w:r>
    </w:p>
    <w:bookmarkEnd w:id="130"/>
    <w:bookmarkStart w:id="132"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1">
        <w:r>
          <w:rPr>
            <w:rStyle w:val="Hyperlink"/>
          </w:rPr>
          <w:t xml:space="preserve">https://doi.org/10.1037/0003-066X.59.4.224</w:t>
        </w:r>
      </w:hyperlink>
      <w:r>
        <w:t xml:space="preserve">.</w:t>
      </w:r>
    </w:p>
    <w:bookmarkEnd w:id="132"/>
    <w:bookmarkStart w:id="134"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3">
        <w:r>
          <w:rPr>
            <w:rStyle w:val="Hyperlink"/>
          </w:rPr>
          <w:t xml:space="preserve">https://doi.org/10.1016/j.cpr.2007.01.002</w:t>
        </w:r>
      </w:hyperlink>
      <w:r>
        <w:t xml:space="preserve">.</w:t>
      </w:r>
    </w:p>
    <w:bookmarkEnd w:id="134"/>
    <w:bookmarkStart w:id="135"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5"/>
    <w:bookmarkStart w:id="13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6">
        <w:r>
          <w:rPr>
            <w:rStyle w:val="Hyperlink"/>
          </w:rPr>
          <w:t xml:space="preserve">https://doi.org/10.2196/41833</w:t>
        </w:r>
      </w:hyperlink>
      <w:r>
        <w:t xml:space="preserve">.</w:t>
      </w:r>
    </w:p>
    <w:bookmarkEnd w:id="137"/>
    <w:bookmarkStart w:id="13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8">
        <w:r>
          <w:rPr>
            <w:rStyle w:val="Hyperlink"/>
          </w:rPr>
          <w:t xml:space="preserve">https://doi.org/10.31234/osf.io/cgsf7</w:t>
        </w:r>
      </w:hyperlink>
      <w:r>
        <w:t xml:space="preserve">.</w:t>
      </w:r>
    </w:p>
    <w:bookmarkEnd w:id="139"/>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hyperlink" Id="rId111" Target="https://doi.org/10.1001/jama.284.13.1689" TargetMode="External" /><Relationship Type="http://schemas.openxmlformats.org/officeDocument/2006/relationships/hyperlink" Id="rId99" Target="https://doi.org/10.1001/jamanetworkopen.2020.5852" TargetMode="External" /><Relationship Type="http://schemas.openxmlformats.org/officeDocument/2006/relationships/hyperlink" Id="rId104" Target="https://doi.org/10.1007/978-1-4614-6849-3" TargetMode="External" /><Relationship Type="http://schemas.openxmlformats.org/officeDocument/2006/relationships/hyperlink" Id="rId76" Target="https://doi.org/10.1007/s10488-016-0718-5" TargetMode="External" /><Relationship Type="http://schemas.openxmlformats.org/officeDocument/2006/relationships/hyperlink" Id="rId101" Target="https://doi.org/10.1007/s11920-012-0296-5" TargetMode="External" /><Relationship Type="http://schemas.openxmlformats.org/officeDocument/2006/relationships/hyperlink" Id="rId74" Target="https://doi.org/10.1016/j.addbeh.2017.11.039" TargetMode="External" /><Relationship Type="http://schemas.openxmlformats.org/officeDocument/2006/relationships/hyperlink" Id="rId88" Target="https://doi.org/10.1016/j.brat.2019.103506" TargetMode="External" /><Relationship Type="http://schemas.openxmlformats.org/officeDocument/2006/relationships/hyperlink" Id="rId133" Target="https://doi.org/10.1016/j.cpr.2007.01.002" TargetMode="External" /><Relationship Type="http://schemas.openxmlformats.org/officeDocument/2006/relationships/hyperlink" Id="rId92" Target="https://doi.org/10.1016/j.drugalcdep.2006.05.012" TargetMode="External" /><Relationship Type="http://schemas.openxmlformats.org/officeDocument/2006/relationships/hyperlink" Id="rId119" Target="https://doi.org/10.1016/j.drugalcdep.2019.05.017" TargetMode="External" /><Relationship Type="http://schemas.openxmlformats.org/officeDocument/2006/relationships/hyperlink" Id="rId84" Target="https://doi.org/10.1016/j.jsat.2013.08.004" TargetMode="External" /><Relationship Type="http://schemas.openxmlformats.org/officeDocument/2006/relationships/hyperlink" Id="rId129" Target="https://doi.org/10.1016/j.jsat.2021.108417" TargetMode="External" /><Relationship Type="http://schemas.openxmlformats.org/officeDocument/2006/relationships/hyperlink" Id="rId117" Target="https://doi.org/10.1016/j.jsat.2021.108710" TargetMode="External" /><Relationship Type="http://schemas.openxmlformats.org/officeDocument/2006/relationships/hyperlink" Id="rId131" Target="https://doi.org/10.1037/0003-066X.59.4.224" TargetMode="External" /><Relationship Type="http://schemas.openxmlformats.org/officeDocument/2006/relationships/hyperlink" Id="rId124" Target="https://doi.org/10.1037/adb0000666" TargetMode="External" /><Relationship Type="http://schemas.openxmlformats.org/officeDocument/2006/relationships/hyperlink" Id="rId122" Target="https://doi.org/10.1111/add.13479" TargetMode="External" /><Relationship Type="http://schemas.openxmlformats.org/officeDocument/2006/relationships/hyperlink" Id="rId113" Target="https://doi.org/10.1146/annurev-clinpsy-032816-044949" TargetMode="External" /><Relationship Type="http://schemas.openxmlformats.org/officeDocument/2006/relationships/hyperlink" Id="rId79" Target="https://doi.org/10.1146/annurev.clinpsy.3.022806.091455" TargetMode="External" /><Relationship Type="http://schemas.openxmlformats.org/officeDocument/2006/relationships/hyperlink" Id="rId126" Target="https://doi.org/10.1177/1178221820976988" TargetMode="External" /><Relationship Type="http://schemas.openxmlformats.org/officeDocument/2006/relationships/hyperlink" Id="rId107" Target="https://doi.org/10.1214/17-EJS1338SI" TargetMode="External" /><Relationship Type="http://schemas.openxmlformats.org/officeDocument/2006/relationships/hyperlink" Id="rId81" Target="https://doi.org/10.21231/GNT1-HW21" TargetMode="External" /><Relationship Type="http://schemas.openxmlformats.org/officeDocument/2006/relationships/hyperlink" Id="rId115" Target="https://doi.org/10.2196/29563" TargetMode="External" /><Relationship Type="http://schemas.openxmlformats.org/officeDocument/2006/relationships/hyperlink" Id="rId136" Target="https://doi.org/10.2196/41833" TargetMode="External" /><Relationship Type="http://schemas.openxmlformats.org/officeDocument/2006/relationships/hyperlink" Id="rId138" Target="https://doi.org/10.31234/osf.io/cgsf7" TargetMode="External" /><Relationship Type="http://schemas.openxmlformats.org/officeDocument/2006/relationships/hyperlink" Id="rId9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11" Target="https://doi.org/10.1001/jama.284.13.1689" TargetMode="External" /><Relationship Type="http://schemas.openxmlformats.org/officeDocument/2006/relationships/hyperlink" Id="rId99" Target="https://doi.org/10.1001/jamanetworkopen.2020.5852" TargetMode="External" /><Relationship Type="http://schemas.openxmlformats.org/officeDocument/2006/relationships/hyperlink" Id="rId104" Target="https://doi.org/10.1007/978-1-4614-6849-3" TargetMode="External" /><Relationship Type="http://schemas.openxmlformats.org/officeDocument/2006/relationships/hyperlink" Id="rId76" Target="https://doi.org/10.1007/s10488-016-0718-5" TargetMode="External" /><Relationship Type="http://schemas.openxmlformats.org/officeDocument/2006/relationships/hyperlink" Id="rId101" Target="https://doi.org/10.1007/s11920-012-0296-5" TargetMode="External" /><Relationship Type="http://schemas.openxmlformats.org/officeDocument/2006/relationships/hyperlink" Id="rId74" Target="https://doi.org/10.1016/j.addbeh.2017.11.039" TargetMode="External" /><Relationship Type="http://schemas.openxmlformats.org/officeDocument/2006/relationships/hyperlink" Id="rId88" Target="https://doi.org/10.1016/j.brat.2019.103506" TargetMode="External" /><Relationship Type="http://schemas.openxmlformats.org/officeDocument/2006/relationships/hyperlink" Id="rId133" Target="https://doi.org/10.1016/j.cpr.2007.01.002" TargetMode="External" /><Relationship Type="http://schemas.openxmlformats.org/officeDocument/2006/relationships/hyperlink" Id="rId92" Target="https://doi.org/10.1016/j.drugalcdep.2006.05.012" TargetMode="External" /><Relationship Type="http://schemas.openxmlformats.org/officeDocument/2006/relationships/hyperlink" Id="rId119" Target="https://doi.org/10.1016/j.drugalcdep.2019.05.017" TargetMode="External" /><Relationship Type="http://schemas.openxmlformats.org/officeDocument/2006/relationships/hyperlink" Id="rId84" Target="https://doi.org/10.1016/j.jsat.2013.08.004" TargetMode="External" /><Relationship Type="http://schemas.openxmlformats.org/officeDocument/2006/relationships/hyperlink" Id="rId129" Target="https://doi.org/10.1016/j.jsat.2021.108417" TargetMode="External" /><Relationship Type="http://schemas.openxmlformats.org/officeDocument/2006/relationships/hyperlink" Id="rId117" Target="https://doi.org/10.1016/j.jsat.2021.108710" TargetMode="External" /><Relationship Type="http://schemas.openxmlformats.org/officeDocument/2006/relationships/hyperlink" Id="rId131" Target="https://doi.org/10.1037/0003-066X.59.4.224" TargetMode="External" /><Relationship Type="http://schemas.openxmlformats.org/officeDocument/2006/relationships/hyperlink" Id="rId124" Target="https://doi.org/10.1037/adb0000666" TargetMode="External" /><Relationship Type="http://schemas.openxmlformats.org/officeDocument/2006/relationships/hyperlink" Id="rId122" Target="https://doi.org/10.1111/add.13479" TargetMode="External" /><Relationship Type="http://schemas.openxmlformats.org/officeDocument/2006/relationships/hyperlink" Id="rId113" Target="https://doi.org/10.1146/annurev-clinpsy-032816-044949" TargetMode="External" /><Relationship Type="http://schemas.openxmlformats.org/officeDocument/2006/relationships/hyperlink" Id="rId79" Target="https://doi.org/10.1146/annurev.clinpsy.3.022806.091455" TargetMode="External" /><Relationship Type="http://schemas.openxmlformats.org/officeDocument/2006/relationships/hyperlink" Id="rId126" Target="https://doi.org/10.1177/1178221820976988" TargetMode="External" /><Relationship Type="http://schemas.openxmlformats.org/officeDocument/2006/relationships/hyperlink" Id="rId107" Target="https://doi.org/10.1214/17-EJS1338SI" TargetMode="External" /><Relationship Type="http://schemas.openxmlformats.org/officeDocument/2006/relationships/hyperlink" Id="rId81" Target="https://doi.org/10.21231/GNT1-HW21" TargetMode="External" /><Relationship Type="http://schemas.openxmlformats.org/officeDocument/2006/relationships/hyperlink" Id="rId115" Target="https://doi.org/10.2196/29563" TargetMode="External" /><Relationship Type="http://schemas.openxmlformats.org/officeDocument/2006/relationships/hyperlink" Id="rId136" Target="https://doi.org/10.2196/41833" TargetMode="External" /><Relationship Type="http://schemas.openxmlformats.org/officeDocument/2006/relationships/hyperlink" Id="rId138" Target="https://doi.org/10.31234/osf.io/cgsf7" TargetMode="External" /><Relationship Type="http://schemas.openxmlformats.org/officeDocument/2006/relationships/hyperlink" Id="rId9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57" Target="https://jjcurtin.github.io/study_lag/notebooks\mak_figures-preview.html#cell-fig-2" TargetMode="External" /><Relationship Type="http://schemas.openxmlformats.org/officeDocument/2006/relationships/hyperlink" Id="rId67"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60"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2025-01-27T17:38:15Z</dcterms:created>
  <dcterms:modified xsi:type="dcterms:W3CDTF">2025-01-27T17:38:15Z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.99). Models also performed worse for disadvantaged groups (not White vs. non-Hispanic White, below poverty vs. above poverty, female vs. male; probabilities &gt; .99).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