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67.png" ContentType="image/png"/>
  <Override PartName="/word/media/rId3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Risk of Alcohol Lapse up to Two Weeks in Advance using Time-lagged Machine Learning Models</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2025-08-08</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Still,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(Soyster, Ashlock, and Fisher 2022; Walters et al. 2021; 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et al. under review)</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1"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 and 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anticipated risky situations and stressful events encountered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n.d.)</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 (</w:t>
      </w:r>
      <w:hyperlink r:id="rId22">
        <w:r>
          <w:rPr>
            <w:rStyle w:val="Hyperlink"/>
          </w:rPr>
          <w:t xml:space="preserve">https://osf.io/xta67/</w:t>
        </w:r>
      </w:hyperlink>
      <w:r>
        <w:t xml:space="preserve">).</w:t>
      </w:r>
    </w:p>
    <w:bookmarkEnd w:id="29"/>
    <w:bookmarkEnd w:id="30"/>
    <w:bookmarkStart w:id="50"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prediction timepoint.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6"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5:1 to 1:1).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Folds were stratified on a between-subject variable of low vs. high lapsers (low lapsers reported fewer than 10 lapses while on study and hig lapsers reported 10 or more lapses while on study). We used 2 repeats of 5-fold cross-validation for the inner loops (i.e.,</w:t>
      </w:r>
      <w:r>
        <w:t xml:space="preserve"> </w:t>
      </w:r>
      <w:r>
        <w:rPr>
          <w:i/>
          <w:iCs/>
        </w:rPr>
        <w:t xml:space="preserve">validation</w:t>
      </w:r>
      <w:r>
        <w:t xml:space="preserve"> </w:t>
      </w:r>
      <w:r>
        <w:t xml:space="preserve">sets) and 6 repeats of 5-fold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5" w:name="fairness-analyses"/>
    <w:p>
      <w:pPr>
        <w:pStyle w:val="Heading4"/>
      </w:pPr>
      <w:r>
        <w:t xml:space="preserve">Fairness Analyses</w:t>
      </w:r>
    </w:p>
    <w:p>
      <w:pPr>
        <w:pStyle w:val="FirstParagraph"/>
      </w:pPr>
      <w:r>
        <w:t xml:space="preserve">Using the same 30 held-out test sets, 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p>
    <w:bookmarkEnd w:id="45"/>
    <w:bookmarkEnd w:id="46"/>
    <w:bookmarkStart w:id="49" w:name="model-characterization"/>
    <w:p>
      <w:pPr>
        <w:pStyle w:val="Heading3"/>
      </w:pPr>
      <w:r>
        <w:t xml:space="preserve">Model Characterization</w:t>
      </w:r>
    </w:p>
    <w:p>
      <w:pPr>
        <w:pStyle w:val="FirstParagraph"/>
      </w:pPr>
      <w:r>
        <w:t xml:space="preserve">To further characterize and understand our models, we used our inner resampling procedure (2 repeats of 5-fold cross validation grouped on participant and stratified by high/low lapsers) on the full data set to select a single best model configuration for each classification model (no lag, 1-day, 3-day, 1-week, and 2-week lag). The final configuration selected for each model represents the most reliable and robust configuration for deployment. We can better understand our final models by looking at the calibration of the predicted probabilities and the most important features contributing to those predictions.</w:t>
      </w:r>
    </w:p>
    <w:bookmarkStart w:id="47" w:name="model-calibration"/>
    <w:p>
      <w:pPr>
        <w:pStyle w:val="Heading4"/>
      </w:pPr>
      <w:r>
        <w:t xml:space="preserve">Model Calibration</w:t>
      </w:r>
    </w:p>
    <w:p>
      <w:pPr>
        <w:pStyle w:val="FirstParagraph"/>
      </w:pPr>
      <w:r>
        <w:t xml:space="preserve">The best model configuration for each classification model was fit on the full data set. We fit this configuration using single 5-fold cross-validation. This method allowed us to obtain a single predicted probability for each observation, while still using separate data for model training and prediction. We calibrated our probabilities using Platt scaling</w:t>
      </w:r>
      <w:r>
        <w:t xml:space="preserve"> </w:t>
      </w:r>
      <w:r>
        <w:t xml:space="preserve">(Platt 1999)</w:t>
      </w:r>
      <w:r>
        <w:t xml:space="preserve">. We calculated brier scores to assess the accuracy of our raw and calibrated probabilities for the no lag and 2-week lag models. Brier scores range from 0 (perfect accuracy) to 1 (perfect inaccuracy). A table of brier scores for all five models is available in the supplement. We provide calibration plots for the no lag and 2-week lag models (calibration plots for all five models are available in the supplement).</w:t>
      </w:r>
    </w:p>
    <w:bookmarkEnd w:id="47"/>
    <w:bookmarkStart w:id="48" w:name="global-feature-importance"/>
    <w:p>
      <w:pPr>
        <w:pStyle w:val="Heading4"/>
      </w:pPr>
      <w:r>
        <w:t xml:space="preserve">Global Feature Importance</w:t>
      </w:r>
    </w:p>
    <w:p>
      <w:pPr>
        <w:pStyle w:val="FirstParagraph"/>
      </w:pPr>
      <w:r>
        <w:t xml:space="preserve">We used the same single 5-fold cross-validation procedure to calculate raw Shapley values for observations in our held out folds. Raw Shapley values index the importance of any feature (or set/category of features as described below) to any single prediction for a specific observation (i.e., for a specific 24 hour window for a specific participant), which indicates the</w:t>
      </w:r>
      <w:r>
        <w:t xml:space="preserve"> </w:t>
      </w:r>
      <w:r>
        <w:t xml:space="preserve">“local importance”</w:t>
      </w:r>
      <w:r>
        <w:t xml:space="preserve"> </w:t>
      </w:r>
      <w:r>
        <w:t xml:space="preserve">of that feature</w:t>
      </w:r>
      <w:r>
        <w:t xml:space="preserve"> </w:t>
      </w:r>
      <w:r>
        <w:t xml:space="preserve">(Lundberg and Lee 2017)</w:t>
      </w:r>
      <w:r>
        <w:t xml:space="preserve">. More precisely, the magnitude of the raw Shapley value for any feature indicates how much the feature score for that observation adjusted the prediction (in log-odds units) for that observation relative to the mean prediction across all observations. Positive Shapley values indicate that the feature score increased the prediction for that observation and negative values indicate that the feature score decreased the prediction.</w:t>
      </w:r>
    </w:p>
    <w:p>
      <w:pPr>
        <w:pStyle w:val="BodyText"/>
      </w:pPr>
      <w:r>
        <w:t xml:space="preserve">Raw Shapley values are additive across features for an observation, with their sum across features equal to the total adjustment of the predicted value for that observation vs. the mean predicted value across all observations. This property allows raw Shapley values to be added together across features within a category to index the importance of that feature category. We created feature categories by summing raw Shapley values for all features associated with specific EMA items. In three instances, we combined features across two similar EMA items (i.e., past and anticipated risky situations, past and anticipated stressful events, and affective valence and arousal) to yield seven feature categories for distinct constructs assessed by the original 10 EMA items. Specifically, we calculated Shapley values for past use, craving, affective state, past/anticipated risky situations, past/anticipated stressful events, past pleasant events, and abstinence self-efficacy.</w:t>
      </w:r>
    </w:p>
    <w:p>
      <w:pPr>
        <w:pStyle w:val="BodyText"/>
      </w:pPr>
      <w:r>
        <w:t xml:space="preserve">Shapely values can be aggregated across observations to describe the global importance of any feature (or feature category) across all predictions (i.e. for all 24 hour windows for all participants) in the dataset. Global feature importance is calculated by averaging the absolute value of the Shapley values for a feature across all observations. A large mean absolute Shapley value indicate that the feature makes big contributions to the predictions across the dataset. Global feature importance is a descriptive statistic that indicates the importance of the feature for predictions in a specific dataset, rather than a hypothetical population of observations. We provide a descriptive plot of the relative ranking of feature categories by their global feature importance for the no lag and 2-week lag models. Global feature importance plots for all five models are available in the supplement.</w:t>
      </w:r>
    </w:p>
    <w:bookmarkEnd w:id="48"/>
    <w:bookmarkEnd w:id="49"/>
    <w:bookmarkEnd w:id="50"/>
    <w:bookmarkEnd w:id="51"/>
    <w:bookmarkStart w:id="79" w:name="results"/>
    <w:p>
      <w:pPr>
        <w:pStyle w:val="Heading1"/>
      </w:pPr>
      <w:r>
        <w:t xml:space="preserve">Results</w:t>
      </w:r>
    </w:p>
    <w:bookmarkStart w:id="54"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2"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2"/>
          <w:p/>
        </w:tc>
      </w:tr>
    </w:tbl>
    <w:p>
      <w:pPr>
        <w:pStyle w:val="BodyText"/>
      </w:pPr>
      <w:r>
        <w:rPr>
          <w:vertAlign w:val="subscript"/>
        </w:rPr>
        <w:t xml:space="preserve">Source:</w:t>
      </w:r>
      <w:r>
        <w:rPr>
          <w:vertAlign w:val="subscript"/>
        </w:rPr>
        <w:t xml:space="preserve"> </w:t>
      </w:r>
      <w:hyperlink r:id="rId53">
        <w:r>
          <w:rPr>
            <w:rStyle w:val="Hyperlink"/>
            <w:vertAlign w:val="subscript"/>
          </w:rPr>
          <w:t xml:space="preserve">Make All Tables for Main Manuscript</w:t>
        </w:r>
      </w:hyperlink>
    </w:p>
    <w:bookmarkEnd w:id="54"/>
    <w:bookmarkStart w:id="60"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0.91 (no lag), 0.89 (1-day lag), 0.88 (3-day lag), 0.87 (1-week lag), and 0.85 (2-week lag). These values represent our best estimates for the magnitude of the auROC parameter for each model. The 95% Bayesian CI for the auROCs for these models were relatively narrow and did not contain 0.5: no lag [0.90-0.92], 1-day lag [0.88-0.90], 3-day lag [0.87-0.90], 1-week lag [0.85-0.89], 2-week lag [0.83-0.87].</w:t>
      </w:r>
    </w:p>
    <w:tbl>
      <w:tblPr>
        <w:tblStyle w:val="Table"/>
        <w:tblW w:type="pct" w:w="5000"/>
        <w:tblLayout w:type="fixed"/>
        <w:tblLook w:firstRow="0" w:lastRow="0" w:firstColumn="0" w:lastColumn="0" w:noHBand="0" w:noVBand="0" w:val="0000"/>
      </w:tblPr>
      <w:tblGrid>
        <w:gridCol w:w="7920"/>
      </w:tblGrid>
      <w:tr>
        <w:tc>
          <w:tcPr/>
          <w:bookmarkStart w:id="58" w:name="fig-pp"/>
          <w:p>
            <w:pPr>
              <w:pStyle w:val="Compact"/>
              <w:jc w:val="center"/>
            </w:pPr>
            <w:r>
              <w:drawing>
                <wp:inline>
                  <wp:extent cx="5334000" cy="5334000"/>
                  <wp:effectExtent b="0" l="0" r="0" t="0"/>
                  <wp:docPr descr="" title="" id="56" name="Picture"/>
                  <a:graphic>
                    <a:graphicData uri="http://schemas.openxmlformats.org/drawingml/2006/picture">
                      <pic:pic>
                        <pic:nvPicPr>
                          <pic:cNvPr descr="index_files/figure-docx/notebooks-mak_figures-fig-pp-output-1.png" id="57"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Each distribution reflects 8,000 posterior samples (4 chains × 2,000 samples) from a Bayesian hierarchical generalized linear model. Horizonatal lines depict 95% Bayesian credible intervals (CI) and vertical solid lines depict median posterior probability for auROC. Vertical dashed line represents expected performance from a random classifier (.5 auROC).</w:t>
            </w:r>
          </w:p>
          <w:bookmarkEnd w:id="58"/>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Figures for Main Manuscript</w:t>
        </w:r>
      </w:hyperlink>
    </w:p>
    <w:bookmarkEnd w:id="60"/>
    <w:bookmarkStart w:id="63"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Median auROC differences greater than 0 indicate the more immediate model, on average, out-performed the more lagged model (e.g., no lag - 1-day lag, 1-day lag - 3-day lag). There was strong evidence (probabilities = 1)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1"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0.021</w:t>
                  </w:r>
                </w:p>
              </w:tc>
              <w:tc>
                <w:tcPr/>
                <w:p>
                  <w:pPr>
                    <w:pStyle w:val="Compact"/>
                    <w:jc w:val="left"/>
                    <w:jc w:val="center"/>
                  </w:pPr>
                  <w:r>
                    <w:t xml:space="preserve">[0.017, 0.026]</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w:t>
                  </w:r>
                </w:p>
              </w:tc>
              <w:tc>
                <w:tcPr/>
                <w:p>
                  <w:pPr>
                    <w:pStyle w:val="Compact"/>
                    <w:jc w:val="left"/>
                    <w:jc w:val="center"/>
                  </w:pPr>
                  <w:r>
                    <w:t xml:space="preserve">[0.025, 0.035]</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[0.037, 0.049]</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[0.056, 0.07]</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0.009</w:t>
                  </w:r>
                </w:p>
              </w:tc>
              <w:tc>
                <w:tcPr/>
                <w:p>
                  <w:pPr>
                    <w:pStyle w:val="Compact"/>
                    <w:jc w:val="left"/>
                    <w:jc w:val="center"/>
                  </w:pPr>
                  <w:r>
                    <w:t xml:space="preserve">[0.005, 0.014]</w:t>
                  </w:r>
                </w:p>
              </w:tc>
              <w:tc>
                <w:tcPr/>
                <w:p>
                  <w:pPr>
                    <w:pStyle w:val="Compact"/>
                    <w:jc w:val="left"/>
                    <w:jc w:val="center"/>
                  </w:pPr>
                  <w:r>
                    <w:t xml:space="preserve">1</w:t>
                  </w:r>
                </w:p>
              </w:tc>
            </w:tr>
            <w:tr>
              <w:tc>
                <w:tcPr/>
                <w:p>
                  <w:pPr>
                    <w:pStyle w:val="Compact"/>
                    <w:jc w:val="left"/>
                    <w:jc w:val="center"/>
                  </w:pPr>
                  <w:r>
                    <w:t xml:space="preserve">3 days vs. 1 week</w:t>
                  </w:r>
                </w:p>
              </w:tc>
              <w:tc>
                <w:tcPr/>
                <w:p>
                  <w:pPr>
                    <w:pStyle w:val="Compact"/>
                    <w:jc w:val="left"/>
                    <w:jc w:val="center"/>
                  </w:pPr>
                  <w:r>
                    <w:t xml:space="preserve">0.012</w:t>
                  </w:r>
                </w:p>
              </w:tc>
              <w:tc>
                <w:tcPr/>
                <w:p>
                  <w:pPr>
                    <w:pStyle w:val="Compact"/>
                    <w:jc w:val="left"/>
                    <w:jc w:val="center"/>
                  </w:pPr>
                  <w:r>
                    <w:t xml:space="preserve">[0.008, 0.017]</w:t>
                  </w:r>
                </w:p>
              </w:tc>
              <w:tc>
                <w:tcPr/>
                <w:p>
                  <w:pPr>
                    <w:pStyle w:val="Compact"/>
                    <w:jc w:val="left"/>
                    <w:jc w:val="center"/>
                  </w:pPr>
                  <w:r>
                    <w:t xml:space="preserve">1</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[0.015, 0.026]</w:t>
                  </w:r>
                </w:p>
              </w:tc>
              <w:tc>
                <w:tcPr/>
                <w:p>
                  <w:pPr>
                    <w:pStyle w:val="Compact"/>
                    <w:jc w:val="left"/>
                    <w:jc w:val="center"/>
                  </w:pPr>
                  <w:r>
                    <w:t xml:space="preserve">1</w:t>
                  </w:r>
                </w:p>
              </w:tc>
            </w:tr>
            <w:tr>
              <w:tc>
                <w:tcPr/>
                <w:p>
                  <w:pPr>
                    <w:pStyle w:val="Compact"/>
                    <w:jc w:val="left"/>
                    <w:jc w:val="center"/>
                  </w:pPr>
                  <w:r>
                    <w:t xml:space="preserve"> </w:t>
                  </w:r>
                  <w:r>
                    <w:t xml:space="preserve">Median auROC differences greater than 0 indicate the more immediate model, on average, out-performed the more lagged model (e.g., no lag - 1-day lag, 1-day lag - 3-day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61"/>
          <w:p/>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Make All Tables for Main Manuscript</w:t>
        </w:r>
      </w:hyperlink>
    </w:p>
    <w:bookmarkEnd w:id="63"/>
    <w:bookmarkStart w:id="66"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greater than 0 for the three fairness contrasts: race/ethnicity (Non-Hispanic White;</w:t>
      </w:r>
      <w:r>
        <w:t xml:space="preserve"> </w:t>
      </w:r>
      <w:r>
        <w:rPr>
          <w:i/>
          <w:iCs/>
        </w:rPr>
        <w:t xml:space="preserve">N</w:t>
      </w:r>
      <w:r>
        <w:t xml:space="preserve"> </w:t>
      </w:r>
      <w:r>
        <w:t xml:space="preserve">= 131 vs. not White;</w:t>
      </w:r>
      <w:r>
        <w:t xml:space="preserve"> </w:t>
      </w:r>
      <w:r>
        <w:rPr>
          <w:i/>
          <w:iCs/>
        </w:rPr>
        <w:t xml:space="preserve">N</w:t>
      </w:r>
      <w:r>
        <w:t xml:space="preserve"> </w:t>
      </w:r>
      <w:r>
        <w:t xml:space="preserve">= 20), sex at birth (male;</w:t>
      </w:r>
      <w:r>
        <w:t xml:space="preserve"> </w:t>
      </w:r>
      <w:r>
        <w:rPr>
          <w:i/>
          <w:iCs/>
        </w:rPr>
        <w:t xml:space="preserve">N</w:t>
      </w:r>
      <w:r>
        <w:t xml:space="preserve"> </w:t>
      </w:r>
      <w:r>
        <w:t xml:space="preserve">= 77 vs. female;</w:t>
      </w:r>
      <w:r>
        <w:t xml:space="preserve"> </w:t>
      </w:r>
      <w:r>
        <w:rPr>
          <w:i/>
          <w:iCs/>
        </w:rPr>
        <w:t xml:space="preserve">N</w:t>
      </w:r>
      <w:r>
        <w:t xml:space="preserve"> </w:t>
      </w:r>
      <w:r>
        <w:t xml:space="preserve">= 74), and income (above poverty;</w:t>
      </w:r>
      <w:r>
        <w:t xml:space="preserve"> </w:t>
      </w:r>
      <w:r>
        <w:rPr>
          <w:i/>
          <w:iCs/>
        </w:rPr>
        <w:t xml:space="preserve">N</w:t>
      </w:r>
      <w:r>
        <w:t xml:space="preserve"> </w:t>
      </w:r>
      <w:r>
        <w:t xml:space="preserve">= 102 vs. below poverty;</w:t>
      </w:r>
      <w:r>
        <w:t xml:space="preserve"> </w:t>
      </w:r>
      <w:r>
        <w:rPr>
          <w:i/>
          <w:iCs/>
        </w:rPr>
        <w:t xml:space="preserve">N</w:t>
      </w:r>
      <w:r>
        <w:t xml:space="preserve"> </w:t>
      </w:r>
      <w:r>
        <w:t xml:space="preserve">= 49). Median auROC differences greater than 0 indicate the model, on average, performed better for the advantaged group (male, non-Hispanic White, and above poverty) compared to the non-advantaged group (female, not White, below poverty).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w:t>
      </w:r>
    </w:p>
    <w:p>
      <w:pPr>
        <w:pStyle w:val="BodyText"/>
      </w:pPr>
      <w:r>
        <w:t xml:space="preserve">There was strong evidence (probabilities &gt; .81) that our models performed better for the advantaged groups compared to the non-advantaged groups. On average, across all five models, there was a median decrease in auROC of 0.13 (range 0.13-0.17)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0.02 (range 0.01-0.04) for participants below the federal poverty line compared to participants above the federal poverty line.</w:t>
      </w:r>
    </w:p>
    <w:p>
      <w:pPr>
        <w:pStyle w:val="BodyText"/>
      </w:pPr>
      <w:r>
        <w:t xml:space="preserve">The proportion of positive lapse labels over all labels (lapse and no lapse) for each demographic subgroup were relatively consistent across groups: race/ethnicity (6%, not White vs. 8%, non-Hispanic White), income (12%, below poverty vs. 7%, above poverty), sex at birth (9%, female vs. 7%, male).</w:t>
      </w:r>
    </w:p>
    <w:tbl>
      <w:tblPr>
        <w:tblStyle w:val="Table"/>
        <w:tblW w:type="pct" w:w="5000"/>
        <w:tblLayout w:type="fixed"/>
        <w:tblLook w:firstRow="0" w:lastRow="0" w:firstColumn="0" w:lastColumn="0" w:noHBand="0" w:noVBand="0" w:val="0000"/>
      </w:tblPr>
      <w:tblGrid>
        <w:gridCol w:w="7920"/>
      </w:tblGrid>
      <w:tr>
        <w:tc>
          <w:tcPr/>
          <w:bookmarkStart w:id="64"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0.043</w:t>
                  </w:r>
                </w:p>
              </w:tc>
              <w:tc>
                <w:tcPr/>
                <w:p>
                  <w:pPr>
                    <w:pStyle w:val="Compact"/>
                    <w:jc w:val="left"/>
                    <w:jc w:val="center"/>
                  </w:pPr>
                  <w:r>
                    <w:t xml:space="preserve">[0.028, 0.059]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0.131</w:t>
                  </w:r>
                </w:p>
              </w:tc>
              <w:tc>
                <w:tcPr/>
                <w:p>
                  <w:pPr>
                    <w:pStyle w:val="Compact"/>
                    <w:jc w:val="left"/>
                    <w:jc w:val="center"/>
                  </w:pPr>
                  <w:r>
                    <w:t xml:space="preserve">[0.057, 0.222]</w:t>
                  </w:r>
                </w:p>
              </w:tc>
              <w:tc>
                <w:tcPr/>
                <w:p>
                  <w:pPr>
                    <w:pStyle w:val="Compact"/>
                    <w:jc w:val="left"/>
                    <w:jc w:val="center"/>
                  </w:pPr>
                  <w:r>
                    <w:t xml:space="preserve">0.999</w:t>
                  </w:r>
                </w:p>
              </w:tc>
            </w:tr>
            <w:tr>
              <w:tc>
                <w:tcPr/>
                <w:p>
                  <w:pPr>
                    <w:pStyle w:val="Compact"/>
                    <w:jc w:val="left"/>
                    <w:jc w:val="center"/>
                  </w:pPr>
                  <w:r>
                    <w:t xml:space="preserve">above poverty vs. below poverty</w:t>
                  </w:r>
                </w:p>
              </w:tc>
              <w:tc>
                <w:tcPr/>
                <w:p>
                  <w:pPr>
                    <w:pStyle w:val="Compact"/>
                    <w:jc w:val="left"/>
                    <w:jc w:val="center"/>
                  </w:pPr>
                  <w:r>
                    <w:t xml:space="preserve">0.012</w:t>
                  </w:r>
                </w:p>
              </w:tc>
              <w:tc>
                <w:tcPr/>
                <w:p>
                  <w:pPr>
                    <w:pStyle w:val="Compact"/>
                    <w:jc w:val="left"/>
                    <w:jc w:val="center"/>
                  </w:pPr>
                  <w:r>
                    <w:t xml:space="preserve">[-0.007, 0.033]</w:t>
                  </w:r>
                </w:p>
              </w:tc>
              <w:tc>
                <w:tcPr/>
                <w:p>
                  <w:pPr>
                    <w:pStyle w:val="Compact"/>
                    <w:jc w:val="left"/>
                    <w:jc w:val="center"/>
                  </w:pPr>
                  <w:r>
                    <w:t xml:space="preserve">0.848</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0.098</w:t>
                  </w:r>
                </w:p>
              </w:tc>
              <w:tc>
                <w:tcPr/>
                <w:p>
                  <w:pPr>
                    <w:pStyle w:val="Compact"/>
                    <w:jc w:val="left"/>
                    <w:jc w:val="center"/>
                  </w:pPr>
                  <w:r>
                    <w:t xml:space="preserve">[0.073, 0.125]</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w:t>
                  </w:r>
                </w:p>
              </w:tc>
              <w:tc>
                <w:tcPr/>
                <w:p>
                  <w:pPr>
                    <w:pStyle w:val="Compact"/>
                    <w:jc w:val="left"/>
                    <w:jc w:val="center"/>
                  </w:pPr>
                  <w:r>
                    <w:t xml:space="preserve">[0.058, 0.208]</w:t>
                  </w:r>
                </w:p>
              </w:tc>
              <w:tc>
                <w:tcPr/>
                <w:p>
                  <w:pPr>
                    <w:pStyle w:val="Compact"/>
                    <w:jc w:val="left"/>
                    <w:jc w:val="center"/>
                  </w:pPr>
                  <w:r>
                    <w:t xml:space="preserve">0.998</w:t>
                  </w:r>
                </w:p>
              </w:tc>
            </w:tr>
            <w:tr>
              <w:tc>
                <w:tcPr/>
                <w:p>
                  <w:pPr>
                    <w:pStyle w:val="Compact"/>
                    <w:jc w:val="left"/>
                    <w:jc w:val="center"/>
                  </w:pPr>
                  <w:r>
                    <w:t xml:space="preserve">above poverty vs. below poverty</w:t>
                  </w:r>
                </w:p>
              </w:tc>
              <w:tc>
                <w:tcPr/>
                <w:p>
                  <w:pPr>
                    <w:pStyle w:val="Compact"/>
                    <w:jc w:val="left"/>
                    <w:jc w:val="center"/>
                  </w:pPr>
                  <w:r>
                    <w:t xml:space="preserve">0.039</w:t>
                  </w:r>
                </w:p>
              </w:tc>
              <w:tc>
                <w:tcPr/>
                <w:p>
                  <w:pPr>
                    <w:pStyle w:val="Compact"/>
                    <w:jc w:val="left"/>
                    <w:jc w:val="center"/>
                  </w:pPr>
                  <w:r>
                    <w:t xml:space="preserve">[0.008, 0.073]</w:t>
                  </w:r>
                </w:p>
              </w:tc>
              <w:tc>
                <w:tcPr/>
                <w:p>
                  <w:pPr>
                    <w:pStyle w:val="Compact"/>
                    <w:jc w:val="left"/>
                    <w:jc w:val="center"/>
                  </w:pPr>
                  <w:r>
                    <w:t xml:space="preserve">0.98</w:t>
                  </w:r>
                </w:p>
              </w:tc>
            </w:tr>
            <w:tr>
              <w:tc>
                <w:tcPr/>
                <w:p>
                  <w:pPr>
                    <w:pStyle w:val="Compact"/>
                    <w:jc w:val="left"/>
                    <w:jc w:val="center"/>
                  </w:pPr>
                  <w:r>
                    <w:t xml:space="preserve"> </w:t>
                  </w:r>
                  <w:r>
                    <w:t xml:space="preserve">Median auROC differences greater than 0 indicate the model, on average, performed better for the advantaged group (male, non-Hispanic White, and above poverty) compared to the non-advantaged group (female, not White, below poverty). Bayesian CI represents the range of values where there is a 95% probability that the true auROC difference lies within that range. Probability indicates the posterior probability that this difference is greater than 0 (i.e., the models are performing differently for fairness subgroups).</w:t>
                  </w:r>
                </w:p>
              </w:tc>
              <w:tc>
                <w:tcPr/>
                <w:p>
                  <w:pPr>
                    <w:pStyle w:val="Compact"/>
                  </w:pPr>
                </w:p>
              </w:tc>
              <w:tc>
                <w:tcPr/>
                <w:p>
                  <w:pPr>
                    <w:pStyle w:val="Compact"/>
                  </w:pPr>
                </w:p>
              </w:tc>
              <w:tc>
                <w:tcPr/>
                <w:p>
                  <w:pPr>
                    <w:pStyle w:val="Compact"/>
                  </w:pPr>
                </w:p>
              </w:tc>
            </w:tr>
          </w:tbl>
          <w:bookmarkEnd w:id="64"/>
          <w:p/>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All Tables for Main Manuscript</w:t>
        </w:r>
      </w:hyperlink>
    </w:p>
    <w:bookmarkEnd w:id="66"/>
    <w:bookmarkStart w:id="72" w:name="model-calibration-1"/>
    <w:p>
      <w:pPr>
        <w:pStyle w:val="Heading2"/>
      </w:pPr>
      <w:r>
        <w:t xml:space="preserve">Model Calibration</w:t>
      </w:r>
    </w:p>
    <w:p>
      <w:pPr>
        <w:pStyle w:val="FirstParagraph"/>
      </w:pPr>
      <w:r>
        <w:t xml:space="preserve">The raw probabilities produced by our final models were not well calibrated. Brier scores for the no lag model (.071) and the 2-week lag model (.077) were roughly equivalent to the base rate of lapses (.077 and .076 for the no lag and 2-week lag models, respectively). The base rate of positive cases (i.e., lapses) can be used as a benchmark, as it is what we would expect a brier score to be for a model that predicted the same probability for all observations. However, our models did produce variation in predicted probabilities, with probabilities spanning nearly the entire 0 - 1 range (see histograms of raw probabilities in</w:t>
      </w:r>
      <w:r>
        <w:t xml:space="preserve"> </w:t>
      </w:r>
      <w:hyperlink w:anchor="fig-cal">
        <w:r>
          <w:rPr>
            <w:rStyle w:val="Hyperlink"/>
          </w:rPr>
          <w:t xml:space="preserve">Figure 3</w:t>
        </w:r>
      </w:hyperlink>
      <w:r>
        <w:t xml:space="preserve">).</w:t>
      </w:r>
    </w:p>
    <w:p>
      <w:pPr>
        <w:pStyle w:val="BodyText"/>
      </w:pPr>
      <w:r>
        <w:t xml:space="preserve">Platt calibration showed excellent improvement to the no lag model with a brier score of .043. Calibration also improved probability accuracy for the 2 week model with a brier score .063.</w:t>
      </w:r>
      <w:r>
        <w:t xml:space="preserve"> </w:t>
      </w:r>
      <w:hyperlink w:anchor="fig-cal">
        <w:r>
          <w:rPr>
            <w:rStyle w:val="Hyperlink"/>
          </w:rPr>
          <w:t xml:space="preserve">Figure 3</w:t>
        </w:r>
      </w:hyperlink>
      <w:r>
        <w:t xml:space="preserve"> </w:t>
      </w:r>
      <w:r>
        <w:t xml:space="preserve">shows the calibration plots for the raw and calibrated probabilities for the no lag and 2-week lag model. Calibration plots and brier scores for all 5 models are available in the supplement.</w:t>
      </w:r>
    </w:p>
    <w:tbl>
      <w:tblPr>
        <w:tblStyle w:val="Table"/>
        <w:tblW w:type="pct" w:w="5000"/>
        <w:tblLayout w:type="fixed"/>
        <w:tblLook w:firstRow="0" w:lastRow="0" w:firstColumn="0" w:lastColumn="0" w:noHBand="0" w:noVBand="0" w:val="0000"/>
      </w:tblPr>
      <w:tblGrid>
        <w:gridCol w:w="7920"/>
      </w:tblGrid>
      <w:tr>
        <w:tc>
          <w:tcPr/>
          <w:bookmarkStart w:id="70" w:name="fig-cal"/>
          <w:p>
            <w:pPr>
              <w:pStyle w:val="Compact"/>
              <w:jc w:val="center"/>
            </w:pPr>
            <w:r>
              <w:drawing>
                <wp:inline>
                  <wp:extent cx="5334000" cy="5334000"/>
                  <wp:effectExtent b="0" l="0" r="0" t="0"/>
                  <wp:docPr descr="" title="" id="68" name="Picture"/>
                  <a:graphic>
                    <a:graphicData uri="http://schemas.openxmlformats.org/drawingml/2006/picture">
                      <pic:pic>
                        <pic:nvPicPr>
                          <pic:cNvPr descr="index_files/figure-docx/notebooks-mak_figures-fig-cal-output-1.png" id="69" name="Picture"/>
                          <pic:cNvPicPr>
                            <a:picLocks noChangeArrowheads="1" noChangeAspect="1"/>
                          </pic:cNvPicPr>
                        </pic:nvPicPr>
                        <pic:blipFill>
                          <a:blip r:embed="rId6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Calibration plots of raw and calibrated lapse probabilities for the baseline (no lag) and 2-week lag models. Predicted probabilities (x-axis) are binned into deciles. Observed lapse probability (y-axis) represents the proportion of actual lapses observed in each bin. The dashed diagonal represents perfect calibration. Points below the line indicate overestimation and points above the line indicate underestimation. Raw probabilities are depicted as solid black curves. Platt calibrated probabilites are depicted as pink dashed curves. The grey histogram along the bottom of the plot represents the proportion of raw probabilities in each bin.</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All Figures for Main Manuscript</w:t>
        </w:r>
      </w:hyperlink>
    </w:p>
    <w:bookmarkEnd w:id="72"/>
    <w:bookmarkStart w:id="78" w:name="feature-importance"/>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globally important feature category (i.e., highest mean |Shapley value|) for all models was past use. Future efficacy was a strong predictor for more immediate model predictions (i.e., no lag), but its importance diminished as lag time increased. On the other hand, as lag time increased past/future risky situations increased in importance. Craving was consistently important, in magnitude, across all models.</w:t>
      </w:r>
      <w:r>
        <w:t xml:space="preserve"> </w:t>
      </w:r>
      <w:hyperlink w:anchor="fig-4">
        <w:r>
          <w:rPr>
            <w:rStyle w:val="Hyperlink"/>
          </w:rPr>
          <w:t xml:space="preserve">Figure 4</w:t>
        </w:r>
      </w:hyperlink>
      <w:r>
        <w:t xml:space="preserve"> </w:t>
      </w:r>
      <w:r>
        <w:t xml:space="preserve">shows the relative ranking of feature categories for the no lag and 2-week lag models. A plot of global feature importance for each feature category as a function of lag time is available in the supplement. These findings were also consistent across demographic subgroups (plots of global feature importance by demographic group are available for the no lag and 2-week lag models in the supplement).</w:t>
      </w:r>
    </w:p>
    <w:tbl>
      <w:tblPr>
        <w:tblStyle w:val="Table"/>
        <w:tblW w:type="pct" w:w="5000"/>
        <w:tblLayout w:type="fixed"/>
        <w:tblLook w:firstRow="0" w:lastRow="0" w:firstColumn="0" w:lastColumn="0" w:noHBand="0" w:noVBand="0" w:val="0000"/>
      </w:tblPr>
      <w:tblGrid>
        <w:gridCol w:w="7920"/>
      </w:tblGrid>
      <w:tr>
        <w:tc>
          <w:tcPr/>
          <w:bookmarkStart w:id="76" w:name="fig-4"/>
          <w:p>
            <w:pPr>
              <w:pStyle w:val="Compact"/>
              <w:jc w:val="center"/>
            </w:pPr>
            <w:r>
              <w:drawing>
                <wp:inline>
                  <wp:extent cx="5334000" cy="3333749"/>
                  <wp:effectExtent b="0" l="0" r="0" t="0"/>
                  <wp:docPr descr="" title="" id="74" name="Picture"/>
                  <a:graphic>
                    <a:graphicData uri="http://schemas.openxmlformats.org/drawingml/2006/picture">
                      <pic:pic>
                        <pic:nvPicPr>
                          <pic:cNvPr descr="index_files/figure-docx/notebooks-mak_figures-fig-4-output-1.png" id="75" name="Picture"/>
                          <pic:cNvPicPr>
                            <a:picLocks noChangeArrowheads="1" noChangeAspect="1"/>
                          </pic:cNvPicPr>
                        </pic:nvPicPr>
                        <pic:blipFill>
                          <a:blip r:embed="rId73"/>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Global feature importance (mean |Shapley value|) for feature categories for the no lag and 2-week lag models. Feature categories are ordered by their aggregate global importance. The importance of each feature category for each model is displayed separately by color.</w:t>
            </w:r>
          </w:p>
          <w:bookmarkEnd w:id="76"/>
        </w:tc>
      </w:tr>
    </w:tbl>
    <w:p>
      <w:pPr>
        <w:pStyle w:val="BodyText"/>
      </w:pPr>
      <w:r>
        <w:rPr>
          <w:vertAlign w:val="subscript"/>
        </w:rPr>
        <w:t xml:space="preserve">Source:</w:t>
      </w:r>
      <w:r>
        <w:rPr>
          <w:vertAlign w:val="subscript"/>
        </w:rPr>
        <w:t xml:space="preserve"> </w:t>
      </w:r>
      <w:hyperlink r:id="rId77">
        <w:r>
          <w:rPr>
            <w:rStyle w:val="Hyperlink"/>
            <w:vertAlign w:val="subscript"/>
          </w:rPr>
          <w:t xml:space="preserve">Make All Figures for Main Manuscript</w:t>
        </w:r>
      </w:hyperlink>
    </w:p>
    <w:bookmarkEnd w:id="78"/>
    <w:bookmarkEnd w:id="79"/>
    <w:bookmarkStart w:id="87" w:name="discussion"/>
    <w:p>
      <w:pPr>
        <w:pStyle w:val="Heading1"/>
      </w:pPr>
      <w:r>
        <w:t xml:space="preserve">Discussion</w:t>
      </w:r>
    </w:p>
    <w:bookmarkStart w:id="80" w:name="model-performance"/>
    <w:p>
      <w:pPr>
        <w:pStyle w:val="Heading2"/>
      </w:pPr>
      <w:r>
        <w:t xml:space="preserve">Model Performance</w:t>
      </w:r>
    </w:p>
    <w:p>
      <w:pPr>
        <w:pStyle w:val="FirstParagraph"/>
      </w:pPr>
      <w:r>
        <w:t xml:space="preserve">All of the models that we evaluated performed exceptionally well. The no lag model had a .91 median posterior probability for auROC. This model predicts the probability of an immediate (i.e., within 24 hours) lapse back to alcohol use. Our 2-week lagged model, which made the most distal predictions, had a .85 median posterior probability for auROC, suggesting lagged models can be used to shift a 24-hour prediction window meaningfully into the future.</w:t>
      </w:r>
    </w:p>
    <w:p>
      <w:pPr>
        <w:pStyle w:val="BodyText"/>
      </w:pPr>
      <w:r>
        <w:t xml:space="preserve">Across models (no lag, 1 day, 3 days, 1 week, and 2 weeks), model performance systematically decreased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first emerge and/or change day-by-day, if not more frequently. As lag time increases, features become less proximal to the start of the prediction window. Still, we wish to emphasize that our lowest auROC (.85) is still quite good, and the benefit of advanced notice (i.e., 2 weeks) likely outweighs the modest cost to model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 Furthermore, it should noted that both the no lag and 2-week lagged models can be combined in a complementary fashion that allows both for highly accurate immediate lapse prediction and advanced warning about future lapse risk.</w:t>
      </w:r>
    </w:p>
    <w:bookmarkEnd w:id="80"/>
    <w:bookmarkStart w:id="81" w:name="model-fairness"/>
    <w:p>
      <w:pPr>
        <w:pStyle w:val="Heading2"/>
      </w:pPr>
      <w:r>
        <w:t xml:space="preserve">Model Fairness</w:t>
      </w:r>
    </w:p>
    <w:p>
      <w:pPr>
        <w:pStyle w:val="FirstParagraph"/>
      </w:pPr>
      <w:r>
        <w:t xml:space="preserve">In recent years, the machine learning field has begun to recognize the need to evaluate model fairness when algorithms are used to inform important decisions (e.g., healthcare services offered, eligibility for loans, early parole). Algorithms that perform favorably for only majority group members may exacerbate existing disparities in access to resources and important clinical outcomes</w:t>
      </w:r>
      <w:r>
        <w:t xml:space="preserve"> </w:t>
      </w:r>
      <w:r>
        <w:t xml:space="preserve">(Veinot, Mitchell, and Ancker 2018)</w:t>
      </w:r>
      <w:r>
        <w:t xml:space="preserve">. In this study, we assessed model fairness by comparing model performance across important subgroups with known disparities in substance use treatment access and/or outcomes - race/ethnicity (not White vs. non-Hispanic White), income (below poverty vs. above poverty), and sex at birth (female vs. male).</w:t>
      </w:r>
    </w:p>
    <w:p>
      <w:pPr>
        <w:pStyle w:val="BodyText"/>
      </w:pPr>
      <w:r>
        <w:t xml:space="preserve">All models performed worse for people who were not White, and for people who had an income below the poverty line. The lack of diversity in our training data was likely a key contributor to the poorer model performance in these subgroups. Participants of color group were severely underrepresented in our training data (</w:t>
      </w:r>
      <w:r>
        <w:rPr>
          <w:i/>
          <w:iCs/>
        </w:rPr>
        <w:t xml:space="preserve">N</w:t>
      </w:r>
      <w:r>
        <w:t xml:space="preserve"> </w:t>
      </w:r>
      <w:r>
        <w:t xml:space="preserve">= 20, 13%). Individuals below the poverty line were also underrepresented, though to a lesser degree (</w:t>
      </w:r>
      <w:r>
        <w:rPr>
          <w:i/>
          <w:iCs/>
        </w:rPr>
        <w:t xml:space="preserve">N</w:t>
      </w:r>
      <w:r>
        <w:t xml:space="preserve"> </w:t>
      </w:r>
      <w:r>
        <w:t xml:space="preserve">= 49, 32%).</w:t>
      </w:r>
    </w:p>
    <w:p>
      <w:pPr>
        <w:pStyle w:val="BodyText"/>
      </w:pPr>
      <w:r>
        <w:t xml:space="preserve">An obvious solution to this problem involves intentional recruitment for diversity in training data when developing prediction models. For example, we are now working to increase the racial, ethnic, and income diversity of our training data for alcohol lapse prediction while simultaneously optimizing feedback from these models for implementation purposes</w:t>
      </w:r>
      <w:r>
        <w:t xml:space="preserve"> </w:t>
      </w:r>
      <w:r>
        <w:t xml:space="preserve">(Wyant et al. under review)</w:t>
      </w:r>
      <w:r>
        <w:t xml:space="preserve">. In a separate project, we developed a national recruitment method that allowed us to recruit for racial, ethnic and income diversity while also focusing on much needed diversity across geographic location (e.g, rural vs. urban;</w:t>
      </w:r>
      <w:r>
        <w:t xml:space="preserve"> </w:t>
      </w:r>
      <w:r>
        <w:t xml:space="preserve">(Moshontz et al. 2021)</w:t>
      </w:r>
      <w:r>
        <w:t xml:space="preserve">). We expect geographic diversity in the training data may also be crucial to develop fair models because the features that predict lapse in urban and suburban settings may differ from those those that predict lapse in rural environments. If rural participants are not used to train models, the implementation of these models may compound existing disparities in SUD treatment in these communities</w:t>
      </w:r>
      <w:r>
        <w:t xml:space="preserve"> </w:t>
      </w:r>
      <w:r>
        <w:t xml:space="preserve">(Lee et al. 2023; Lister et al. 2020)</w:t>
      </w:r>
      <w:r>
        <w:t xml:space="preserve">.</w:t>
      </w:r>
    </w:p>
    <w:p>
      <w:pPr>
        <w:pStyle w:val="BodyText"/>
      </w:pPr>
      <w:r>
        <w:t xml:space="preserve">Future research can also explore potential computational solutions to mitigate performance disparities that emerge when subgroups are poorly represented in available training data. For example, training data from under-represented subgroups could be upsampled (e.g., using the synthetic minority oversampling technique) or the cost functions used by the learning algorithms could be adjusted to differentially weigh prediction errors based on participant characteristics. In another vein, modeling approaches that yield idiographic, person-specific models (</w:t>
      </w:r>
      <w:r>
        <w:t xml:space="preserve">Fisher (2015)</w:t>
      </w:r>
      <w:r>
        <w:t xml:space="preserve">;</w:t>
      </w:r>
      <w:r>
        <w:t xml:space="preserve"> </w:t>
      </w:r>
      <w:r>
        <w:t xml:space="preserve">David et al. (2018)</w:t>
      </w:r>
      <w:r>
        <w:t xml:space="preserve">;</w:t>
      </w:r>
      <w:r>
        <w:t xml:space="preserve"> </w:t>
      </w:r>
      <w:r>
        <w:t xml:space="preserve">Roche et al. (2014)</w:t>
      </w:r>
      <w:r>
        <w:t xml:space="preserve">;</w:t>
      </w:r>
      <w:r>
        <w:t xml:space="preserve"> </w:t>
      </w:r>
      <w:r>
        <w:t xml:space="preserve">Wright et al. (2016)</w:t>
      </w:r>
      <w:r>
        <w:t xml:space="preserve">) may reduce performance disparities across subgroups. For example, we have begun to develop state space models whose parameters can be initialized with priors derived from existing training data but then adjusted over time to fit patterns present within a specific individual’s time-series</w:t>
      </w:r>
      <w:r>
        <w:t xml:space="preserve"> </w:t>
      </w:r>
      <w:r>
        <w:t xml:space="preserve">(Pulick, Curtin, and Mintz 2025)</w:t>
      </w:r>
      <w:r>
        <w:t xml:space="preserve">. Such models may mitigate issues of unfairness to a large degree because they will weigh the individual’s own data more heavily than group level estimates over time as more data accrue.</w:t>
      </w:r>
    </w:p>
    <w:p>
      <w:pPr>
        <w:pStyle w:val="BodyText"/>
      </w:pPr>
      <w:r>
        <w:t xml:space="preserve">Of note, problems with model fairness can emerge even when subgroups are well-represented in the training data. Our models performed less well for women compared to men despite the fact that women were well-represented in the training data (</w:t>
      </w:r>
      <w:r>
        <w:rPr>
          <w:i/>
          <w:iCs/>
        </w:rPr>
        <w:t xml:space="preserve">N</w:t>
      </w:r>
      <w:r>
        <w:t xml:space="preserve"> </w:t>
      </w:r>
      <w:r>
        <w:t xml:space="preserve">= 74, 49%). Instead, this differential performance may have resulted from more fundamental problems with the features available to the model. We chose our EMA items using domain expertise from decades of research on the factors that predict relapse. However, prior to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substance use treatment research due to their childbearing potential</w:t>
      </w:r>
      <w:r>
        <w:t xml:space="preserve"> </w:t>
      </w:r>
      <w:r>
        <w:t xml:space="preserve">(Vannicelli and Nash 1984)</w:t>
      </w:r>
      <w:r>
        <w:t xml:space="preserve">. As a result, it is possible that our theories about the causes and contributors to relapse is biased toward constructs that are more relevant for men than women. If true, features derived from EMA items that tap these constructs would be expected to under-perform when predicting lapses for women. More research may be needed to identify relapse risk factors for women (e.g., interpersonal relationship problems</w:t>
      </w:r>
      <w:r>
        <w:t xml:space="preserve"> </w:t>
      </w:r>
      <w:r>
        <w:t xml:space="preserve">(Walitzer and Dearing 2006)</w:t>
      </w:r>
      <w:r>
        <w:t xml:space="preserve">, hormonal changes</w:t>
      </w:r>
      <w:r>
        <w:t xml:space="preserve"> </w:t>
      </w:r>
      <w:r>
        <w:t xml:space="preserve">(McHugh et al. 2018)</w:t>
      </w:r>
      <w:r>
        <w:t xml:space="preserve">), and other groups under-represented in the literature before we can fully address these performance disparities.</w:t>
      </w:r>
    </w:p>
    <w:p>
      <w:pPr>
        <w:pStyle w:val="BodyText"/>
      </w:pPr>
      <w:r>
        <w:t xml:space="preserve">In the meantime, data-driven (bottom-up) approaches can be used to engineer high-dimensional feature sets that are not explicitly grounded in existing, and potentially biased, theories. For example, we have begun to explore the application of natural language processing techniques (e.g., LIWC; topic modeling; BERT</w:t>
      </w:r>
      <w:r>
        <w:t xml:space="preserve"> </w:t>
      </w:r>
      <w:r>
        <w:t xml:space="preserve">(Tausczik and Pennebaker 2010; Blei, Ng, and Jordan 2003; Devlin et al. 2019)</w:t>
      </w:r>
      <w:r>
        <w:t xml:space="preserve">) to text messages and other social media activity by our participants to engineer features that may predict their future lapses. Such features may or may not align with existing theories about relapse, but because they are anchored to participants’ own words, they may serve as reliable indicators of lapse risk for certain individuals, particularly when used within learning algorithms that employ feature selection, regularization or other techniques to address the bias-variance trade-off with high-dimensional feature sets. Furthermore, emerging techniques for interpreting machine learning models</w:t>
      </w:r>
      <w:r>
        <w:t xml:space="preserve"> </w:t>
      </w:r>
      <w:r>
        <w:t xml:space="preserve">(Molnar 2022)</w:t>
      </w:r>
      <w:r>
        <w:t xml:space="preserve"> </w:t>
      </w:r>
      <w:r>
        <w:t xml:space="preserve">can be applied to models that perform well to bootstrap the identification of new lapse risk constructs based on these novel features.</w:t>
      </w:r>
    </w:p>
    <w:p>
      <w:pPr>
        <w:pStyle w:val="BodyText"/>
      </w:pPr>
      <w:r>
        <w:t xml:space="preserve">Beyond issues of training data representation and lacunae and/or outright biases in our theories, 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and Boyd 2018)</w:t>
      </w:r>
      <w:r>
        <w:t xml:space="preserve">. These experiences could prompt some individuals in these subgroups to under-report lapses and/or risk factors, which could also degrade performance and evaluation of our models for these subgroups. We observed relatively comparable percentages of lapses reported among disadvantaged compared to advantaged groups. However, comparable lapse rates do not necessarily confirm comparable reporting accuracy because it is possible that there were systematic differences in lapse rates across groups that were masked by issues of trust.</w:t>
      </w:r>
    </w:p>
    <w:bookmarkEnd w:id="81"/>
    <w:bookmarkStart w:id="84" w:name="model-characterization-1"/>
    <w:p>
      <w:pPr>
        <w:pStyle w:val="Heading2"/>
      </w:pPr>
      <w:r>
        <w:t xml:space="preserve">Model Characterization</w:t>
      </w:r>
    </w:p>
    <w:bookmarkStart w:id="82" w:name="calibration"/>
    <w:p>
      <w:pPr>
        <w:pStyle w:val="Heading3"/>
      </w:pPr>
      <w:r>
        <w:t xml:space="preserve">Calibration</w:t>
      </w:r>
    </w:p>
    <w:p>
      <w:pPr>
        <w:pStyle w:val="FirstParagraph"/>
      </w:pPr>
      <w:r>
        <w:t xml:space="preserve">After applying Platt scaling to our predicted probabilities, our models were generally well calibrated with increasing monotonic relationships between calibrated model output and the lapse event rates. Well-calibrated probabilities are important because they indicate that the predicted probability aligns closely with the true likelihood of an outcome (i.e., a lapse). Our calibrated no lag model had excellent calibration. However, the calibration plots suggest that with a longer lag time of 2 weeks, the model tends to over-predict the likelihood of lapses when predicted probabilities were higher.</w:t>
      </w:r>
    </w:p>
    <w:p>
      <w:pPr>
        <w:pStyle w:val="BodyText"/>
      </w:pPr>
      <w:r>
        <w:t xml:space="preserve">This pattern may not be necessarily problematic. Research suggests that people often struggle to interpret probabilistic feedback, especially when it’s provided in raw numerical form</w:t>
      </w:r>
      <w:r>
        <w:t xml:space="preserve"> </w:t>
      </w:r>
      <w:r>
        <w:t xml:space="preserve">(Zikmund-Fisher 2013; Fagerlin et al. 2007; Zipkin et al. 2014)</w:t>
      </w:r>
      <w:r>
        <w:t xml:space="preserve">. As a result, it may be more effective to communicate risk using coarser categories (e.g., low, medium, or high risk) or through relative changes in risk (e.g.,</w:t>
      </w:r>
      <w:r>
        <w:t xml:space="preserve"> </w:t>
      </w:r>
      <w:r>
        <w:t xml:space="preserve">“Your risk of lapse is higher this week compared to last week”</w:t>
      </w:r>
      <w:r>
        <w:t xml:space="preserve">). These forms of feedback may be less sensitive to small miscalibrations at the extremes as long as the relationship between predicted probabilities and the observed event rate is monotonic.</w:t>
      </w:r>
    </w:p>
    <w:bookmarkEnd w:id="82"/>
    <w:bookmarkStart w:id="83" w:name="feature-importance-1"/>
    <w:p>
      <w:pPr>
        <w:pStyle w:val="Heading3"/>
      </w:pPr>
      <w:r>
        <w:t xml:space="preserve">Feature importance</w:t>
      </w:r>
    </w:p>
    <w:p>
      <w:pPr>
        <w:pStyle w:val="FirstParagraph"/>
      </w:pPr>
      <w:r>
        <w:t xml:space="preserve">The relative ordering of top global features remained somewhat consistent across the no lag and 2-week lagged models. Past use was the most important feature in both models in our dataset. This is not surprising given that our outcome was lapse and past behavior is often the best predictor of future behavior. This finding also supports decades of clinical research on relapse prevention, where lapses (i.e., single instances of goal inconsistent alcohol use) are seen as powerful precursors to relapse (i.e., full return to harmful drinking)</w:t>
      </w:r>
      <w:r>
        <w:t xml:space="preserve"> </w:t>
      </w:r>
      <w:r>
        <w:t xml:space="preserve">(Marlatt and Gordon 1985)</w:t>
      </w:r>
      <w:r>
        <w:t xml:space="preserve">. Abstinence self-efficacy emerged as the second most important feature in both models in our dataset, indicating that participants had reasonably accurate insight into their near-term success with maintaining alcohol abstinence. Craving was also an important predictor in both models, suggesting that it may be an important target for intervention to support early recovery efforts.</w:t>
      </w:r>
    </w:p>
    <w:p>
      <w:pPr>
        <w:pStyle w:val="BodyText"/>
      </w:pPr>
      <w:r>
        <w:t xml:space="preserve">Several feature categories displayed sizeable differences in global importance by lag time. The importance of abstinence self-efficacy dropped by more than 50% in the 2-week lagged model relative to the no lag model. This may indicate that self-efficacy during early recovery is unstable even across shorter periods of time such that their current self-efficacy does not strongly predict abstinence success even only two weeks into the future. In fact, craving and risky situations become as important as self-efficacy when predicting two-week lagged lapses. It may be that these other experiences are shaping and changing the individual’s self-efficacy rapidly in early recovery. This also suggests that more frequent clinical assessments of self-efficacy as a target for intervention may be needed rather than assuming stability in this construct if initial assessment suggests it is high. Also, our study cannot determine if this differential importance of self-efficacy for immediate vs. lagged lapses persists beyond early recovery. Self-efficacy may become a more stable predictor of future abstinence success after longer periods of recovery, but our sample was limited to participants in early recovery (&lt;= 8 weeks of abstinence).</w:t>
      </w:r>
    </w:p>
    <w:p>
      <w:pPr>
        <w:pStyle w:val="BodyText"/>
      </w:pPr>
      <w:r>
        <w:t xml:space="preserve">Past use was less important for the 2-week model compared to the no lag model. This indicates that the predictive strength of a lapse on the likelihood of subsequent lapses diminishes, to some degree, over a relatively short period of time. This is good news and reinforces that single lapses do not always mark a return to consistent patterns of frequent, and potentially harmful, alcohol use. However, despite this reduction in importance of past use as a predictor of lagged alcohol use, past use did remain the most important category for two-week lagged lapses. Lapses may provide</w:t>
      </w:r>
      <w:r>
        <w:t xml:space="preserve"> </w:t>
      </w:r>
      <w:r>
        <w:t xml:space="preserve">“teachable moments”</w:t>
      </w:r>
      <w:r>
        <w:t xml:space="preserve"> </w:t>
      </w:r>
      <w:r>
        <w:t xml:space="preserve">that can be used to reinforce recovery motivation, better understand risks, and develop skills to address those risks</w:t>
      </w:r>
      <w:r>
        <w:t xml:space="preserve"> </w:t>
      </w:r>
      <w:r>
        <w:t xml:space="preserve">(Witkiewitz and Marlatt 2007)</w:t>
      </w:r>
      <w:r>
        <w:t xml:space="preserve">. But conversely, lapses should not be ignored because they remain strong predictors of further use.</w:t>
      </w:r>
    </w:p>
    <w:p>
      <w:pPr>
        <w:pStyle w:val="BodyText"/>
      </w:pPr>
      <w:r>
        <w:t xml:space="preserve">Surprisingly, past and anticipated risky situations were more important in the 2-week lagged vs. no lag model, suggesting that the impact of these situations for lapses back to use may be delayed. It may be that it takes persistent exposure to risks to undermine an abstinence goal and lead to return to alcohol use. Alternatively, people may be better able to anticipate future risky situations (e.g., vacations, anniversaries of significant dates) than future acute stressors or even their future self-efficacy. Regardless, the increased importance of risky situations for predicting lagged lapses provides an opportunity to intervene prior to the lapse, particularly if the individual is encouraged to assess future risks and/or makes use of a recovery monitoring prediction model like our lagged model.</w:t>
      </w:r>
    </w:p>
    <w:p>
      <w:pPr>
        <w:pStyle w:val="BodyText"/>
      </w:pPr>
      <w:r>
        <w:t xml:space="preserve">We were also surprised that stressful events, pleasant events, and affective state features did not make more important contributions to predictions across models. These constructs are highlighted in numerous theories about addiction and relapse</w:t>
      </w:r>
      <w:r>
        <w:t xml:space="preserve"> </w:t>
      </w:r>
      <w:r>
        <w:t xml:space="preserve">(Marlatt and Gordon 1985; Witkiewitz and Marlatt 2004; Rawson et al. 1995)</w:t>
      </w:r>
      <w:r>
        <w:t xml:space="preserve"> </w:t>
      </w:r>
      <w:r>
        <w:t xml:space="preserve">and represent targets for intervention in many existing treatments</w:t>
      </w:r>
      <w:r>
        <w:t xml:space="preserve"> </w:t>
      </w:r>
      <w:r>
        <w:t xml:space="preserve">(McHugh, Hearon, and Otto 2010; Liese and Beck 2022; Bowen et al. 2021; Center for Substance Abuse Treatment 2006)</w:t>
      </w:r>
      <w:r>
        <w:t xml:space="preserve">. It may be that their impact is subsumed within other more powerful features (i.e., past use and self-efficacy). However, this seems unlikely given that the methodology underlying Shapley values allows for a fair distribution of importance among the relevant predictive features even when those features are correlated</w:t>
      </w:r>
      <w:r>
        <w:t xml:space="preserve"> </w:t>
      </w:r>
      <w:r>
        <w:t xml:space="preserve">(Molnar 2022)</w:t>
      </w:r>
      <w:r>
        <w:t xml:space="preserve">. Alternatively, we may need to more carefully consider the role that these constructs play in the return to alcohol use during recovery</w:t>
      </w:r>
      <w:r>
        <w:t xml:space="preserve"> </w:t>
      </w:r>
      <w:r>
        <w:t xml:space="preserve">(Fronk et al. 2020)</w:t>
      </w:r>
      <w:r>
        <w:t xml:space="preserve">.</w:t>
      </w:r>
    </w:p>
    <w:bookmarkEnd w:id="83"/>
    <w:bookmarkEnd w:id="84"/>
    <w:bookmarkStart w:id="85" w:name="X40ab624ebf83813907a18dba36edd4d1d14a553"/>
    <w:p>
      <w:pPr>
        <w:pStyle w:val="Heading2"/>
      </w:pPr>
      <w:r>
        <w:t xml:space="preserve">Additional Limitations and Future Directions</w:t>
      </w:r>
    </w:p>
    <w:p>
      <w:pPr>
        <w:pStyle w:val="FirstParagraph"/>
      </w:pPr>
      <w:r>
        <w:t xml:space="preserve">We believe our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This study provides initial support that immediate and lagged prediction models can be built with high accuracy using EMA for recovery monitoring. Furthermore, the high variance in importance of features for individual predictions is well suited for making tailored recovery support recommendations.</w:t>
      </w:r>
    </w:p>
    <w:p>
      <w:pPr>
        <w:pStyle w:val="BodyText"/>
      </w:pPr>
      <w:r>
        <w:t xml:space="preserve">Our no lag models can be used to guide individuals to take immediate actionable steps to maintain their recovery goals and support them in implementing these steps (e.g., pointing them to a specific module in an app). For example, recommending an urge surfing activity when someone’s immediate risk is driven by strong craving, recommending a guided relaxation video when someone is reporting recent stressful events, or encouraging individuals to reflect on recent past successes or reasons for choosing abstinence or moderation when self-efficacy is low.</w:t>
      </w:r>
    </w:p>
    <w:p>
      <w:pPr>
        <w:pStyle w:val="BodyText"/>
      </w:pPr>
      <w:r>
        <w:t xml:space="preserve">The 2-week lagged model provides individuals with advanced warning of their lapse risk. These models are well-suited to support recovery needs that cannot be addressed within an app, such as scheduling positive or pleasant activities, increasing social engagement, or attending a peer-led recovery meeting.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et al. under review)</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w:t>
      </w:r>
      <w:r>
        <w:t xml:space="preserve">(Pulick, Curtin, and Mintz 2025)</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85"/>
    <w:bookmarkStart w:id="86" w:name="conclusions"/>
    <w:p>
      <w:pPr>
        <w:pStyle w:val="Heading2"/>
      </w:pPr>
      <w:r>
        <w:t xml:space="preserve">Conclusions</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86"/>
    <w:bookmarkEnd w:id="87"/>
    <w:bookmarkStart w:id="199" w:name="references"/>
    <w:p>
      <w:pPr>
        <w:pStyle w:val="Heading1"/>
      </w:pPr>
      <w:r>
        <w:t xml:space="preserve">References</w:t>
      </w:r>
    </w:p>
    <w:bookmarkStart w:id="198" w:name="refs"/>
    <w:bookmarkStart w:id="89"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88">
        <w:r>
          <w:rPr>
            <w:rStyle w:val="Hyperlink"/>
          </w:rPr>
          <w:t xml:space="preserve">https://doi.org/10.1007/s10488-016-0718-5</w:t>
        </w:r>
      </w:hyperlink>
      <w:r>
        <w:t xml:space="preserve">.</w:t>
      </w:r>
    </w:p>
    <w:bookmarkEnd w:id="89"/>
    <w:bookmarkStart w:id="90" w:name="ref-bleiLatentDirichletAllocation2003"/>
    <w:p>
      <w:pPr>
        <w:pStyle w:val="Bibliography"/>
      </w:pPr>
      <w:r>
        <w:t xml:space="preserve">Blei, David M., Andrew Y. Ng, and Michael I. Jordan. 2003.</w:t>
      </w:r>
      <w:r>
        <w:t xml:space="preserve"> </w:t>
      </w:r>
      <w:r>
        <w:t xml:space="preserve">“Latent Dirichlet Allocation.”</w:t>
      </w:r>
      <w:r>
        <w:t xml:space="preserve"> </w:t>
      </w:r>
      <w:r>
        <w:rPr>
          <w:i/>
          <w:iCs/>
        </w:rPr>
        <w:t xml:space="preserve">J. Mach. Learn. Res.</w:t>
      </w:r>
      <w:r>
        <w:t xml:space="preserve"> </w:t>
      </w:r>
      <w:r>
        <w:t xml:space="preserve">3 (null): 993–1022.</w:t>
      </w:r>
    </w:p>
    <w:bookmarkEnd w:id="90"/>
    <w:bookmarkStart w:id="91"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91"/>
    <w:bookmarkStart w:id="93"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92">
        <w:r>
          <w:rPr>
            <w:rStyle w:val="Hyperlink"/>
          </w:rPr>
          <w:t xml:space="preserve">https://doi.org/10.1146/annurev.clinpsy.3.022806.091455</w:t>
        </w:r>
      </w:hyperlink>
      <w:r>
        <w:t xml:space="preserve">.</w:t>
      </w:r>
    </w:p>
    <w:bookmarkEnd w:id="93"/>
    <w:bookmarkStart w:id="95"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94">
        <w:r>
          <w:rPr>
            <w:rStyle w:val="Hyperlink"/>
          </w:rPr>
          <w:t xml:space="preserve">https://doi.org/10.21231/GNT1-HW21</w:t>
        </w:r>
      </w:hyperlink>
      <w:r>
        <w:t xml:space="preserve">.</w:t>
      </w:r>
    </w:p>
    <w:bookmarkEnd w:id="95"/>
    <w:bookmarkStart w:id="96" w:name="X8e0e943878d1a2c3026b4a46f6c482e09849b94"/>
    <w:p>
      <w:pPr>
        <w:pStyle w:val="Bibliography"/>
      </w:pPr>
      <w:r>
        <w:t xml:space="preserve">Center for Substance Abuse Treatment. 2006.</w:t>
      </w:r>
      <w:r>
        <w:t xml:space="preserve"> </w:t>
      </w:r>
      <w:r>
        <w:rPr>
          <w:i/>
          <w:iCs/>
        </w:rPr>
        <w:t xml:space="preserve">Counselor’s</w:t>
      </w:r>
      <w:r>
        <w:rPr>
          <w:i/>
          <w:iCs/>
        </w:rPr>
        <w:t xml:space="preserve"> </w:t>
      </w:r>
      <w:r>
        <w:rPr>
          <w:i/>
          <w:iCs/>
        </w:rPr>
        <w:t xml:space="preserve">Treatment Manual</w:t>
      </w:r>
      <w:r>
        <w:rPr>
          <w:i/>
          <w:iCs/>
        </w:rPr>
        <w:t xml:space="preserve">:</w:t>
      </w:r>
      <w:r>
        <w:rPr>
          <w:i/>
          <w:iCs/>
        </w:rPr>
        <w:t xml:space="preserve"> </w:t>
      </w:r>
      <w:r>
        <w:rPr>
          <w:i/>
          <w:iCs/>
        </w:rPr>
        <w:t xml:space="preserve">Matrix Intensive Outpatient Treatment</w:t>
      </w:r>
      <w:r>
        <w:rPr>
          <w:i/>
          <w:iCs/>
        </w:rPr>
        <w:t xml:space="preserve"> </w:t>
      </w:r>
      <w:r>
        <w:rPr>
          <w:i/>
          <w:iCs/>
        </w:rPr>
        <w:t xml:space="preserve">for</w:t>
      </w:r>
      <w:r>
        <w:rPr>
          <w:i/>
          <w:iCs/>
        </w:rPr>
        <w:t xml:space="preserve"> </w:t>
      </w:r>
      <w:r>
        <w:rPr>
          <w:i/>
          <w:iCs/>
        </w:rPr>
        <w:t xml:space="preserve">People With Stimulant Use Disorders</w:t>
      </w:r>
      <w:r>
        <w:t xml:space="preserve">.</w:t>
      </w:r>
      <w:r>
        <w:t xml:space="preserve"> </w:t>
      </w:r>
      <w:r>
        <w:t xml:space="preserve">HHS Publication No</w:t>
      </w:r>
      <w:r>
        <w:t xml:space="preserve">. (</w:t>
      </w:r>
      <w:r>
        <w:t xml:space="preserve">SMA</w:t>
      </w:r>
      <w:r>
        <w:t xml:space="preserve">) 13-4152. Rockville, MD:</w:t>
      </w:r>
      <w:r>
        <w:t xml:space="preserve"> </w:t>
      </w:r>
      <w:r>
        <w:t xml:space="preserve">Substance Abuse and Mental Health Services Administration</w:t>
      </w:r>
      <w:r>
        <w:t xml:space="preserve">.</w:t>
      </w:r>
    </w:p>
    <w:bookmarkEnd w:id="96"/>
    <w:bookmarkStart w:id="97"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97"/>
    <w:bookmarkStart w:id="99" w:name="Xb70ed90433964dc3a7ede0ee8357d97241623cc"/>
    <w:p>
      <w:pPr>
        <w:pStyle w:val="Bibliography"/>
      </w:pPr>
      <w:r>
        <w:t xml:space="preserve">David, Sarah Jo, Andrew J. Marshall, Emma K. Evanovich, and Gregory H. Mumma. 2018.</w:t>
      </w:r>
      <w:r>
        <w:t xml:space="preserve"> </w:t>
      </w:r>
      <w:r>
        <w:t xml:space="preserve">“Intraindividual</w:t>
      </w:r>
      <w:r>
        <w:t xml:space="preserve"> </w:t>
      </w:r>
      <w:r>
        <w:t xml:space="preserve">Dynamic Network Analysis</w:t>
      </w:r>
      <w:r>
        <w:t xml:space="preserve"> </w:t>
      </w:r>
      <w:r>
        <w:t xml:space="preserve">-</w:t>
      </w:r>
      <w:r>
        <w:t xml:space="preserve"> </w:t>
      </w:r>
      <w:r>
        <w:t xml:space="preserve">Implications</w:t>
      </w:r>
      <w:r>
        <w:t xml:space="preserve"> </w:t>
      </w:r>
      <w:r>
        <w:t xml:space="preserve">for</w:t>
      </w:r>
      <w:r>
        <w:t xml:space="preserve"> </w:t>
      </w:r>
      <w:r>
        <w:t xml:space="preserve">Clinical Assessment</w:t>
      </w:r>
      <w:r>
        <w:t xml:space="preserve">.”</w:t>
      </w:r>
      <w:r>
        <w:t xml:space="preserve"> </w:t>
      </w:r>
      <w:r>
        <w:rPr>
          <w:i/>
          <w:iCs/>
        </w:rPr>
        <w:t xml:space="preserve">Journal of Psychopathology and Behavioral Assessment</w:t>
      </w:r>
      <w:r>
        <w:t xml:space="preserve"> </w:t>
      </w:r>
      <w:r>
        <w:t xml:space="preserve">40 (2): 235–48.</w:t>
      </w:r>
      <w:r>
        <w:t xml:space="preserve"> </w:t>
      </w:r>
      <w:hyperlink r:id="rId98">
        <w:r>
          <w:rPr>
            <w:rStyle w:val="Hyperlink"/>
          </w:rPr>
          <w:t xml:space="preserve">https://doi.org/10.1007/s10862-017-9632-8</w:t>
        </w:r>
      </w:hyperlink>
      <w:r>
        <w:t xml:space="preserve">.</w:t>
      </w:r>
    </w:p>
    <w:bookmarkEnd w:id="99"/>
    <w:bookmarkStart w:id="101" w:name="ref-dennisManagingAddictionChronic2007"/>
    <w:p>
      <w:pPr>
        <w:pStyle w:val="Bibliography"/>
      </w:pPr>
      <w:r>
        <w:t xml:space="preserve">Dennis, Michael, and Christy K Scott. 2007.</w:t>
      </w:r>
      <w:r>
        <w:t xml:space="preserve"> </w:t>
      </w:r>
      <w:r>
        <w:t xml:space="preserve">“</w:t>
      </w:r>
      <w:hyperlink r:id="rId100">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101"/>
    <w:bookmarkStart w:id="102"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102"/>
    <w:bookmarkStart w:id="104"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103">
        <w:r>
          <w:rPr>
            <w:rStyle w:val="Hyperlink"/>
          </w:rPr>
          <w:t xml:space="preserve">https://doi.org/10.1016/j.brat.2019.103506</w:t>
        </w:r>
      </w:hyperlink>
      <w:r>
        <w:t xml:space="preserve">.</w:t>
      </w:r>
    </w:p>
    <w:bookmarkEnd w:id="104"/>
    <w:bookmarkStart w:id="106" w:name="ref-devlinBERTPretrainingDeep2019"/>
    <w:p>
      <w:pPr>
        <w:pStyle w:val="Bibliography"/>
      </w:pPr>
      <w:r>
        <w:t xml:space="preserve">Devlin, Jacob, Ming-Wei Chang, Kenton Lee, and Kristina Toutanova. 2019.</w:t>
      </w:r>
      <w:r>
        <w:t xml:space="preserve"> </w:t>
      </w:r>
      <w:r>
        <w:t xml:space="preserve">“</w:t>
      </w:r>
      <w:r>
        <w:t xml:space="preserve">BERT</w:t>
      </w:r>
      <w:r>
        <w:t xml:space="preserve">:</w:t>
      </w:r>
      <w:r>
        <w:t xml:space="preserve"> </w:t>
      </w:r>
      <w:r>
        <w:t xml:space="preserve">Pre-training</w:t>
      </w:r>
      <w:r>
        <w:t xml:space="preserve"> </w:t>
      </w:r>
      <w:r>
        <w:t xml:space="preserve">of</w:t>
      </w:r>
      <w:r>
        <w:t xml:space="preserve"> </w:t>
      </w:r>
      <w:r>
        <w:t xml:space="preserve">Deep Bidirectional Transformers</w:t>
      </w:r>
      <w:r>
        <w:t xml:space="preserve"> </w:t>
      </w:r>
      <w:r>
        <w:t xml:space="preserve">for</w:t>
      </w:r>
      <w:r>
        <w:t xml:space="preserve"> </w:t>
      </w:r>
      <w:r>
        <w:t xml:space="preserve">Language Understanding</w:t>
      </w:r>
      <w:r>
        <w:t xml:space="preserve">.”</w:t>
      </w:r>
      <w:r>
        <w:t xml:space="preserve"> </w:t>
      </w:r>
      <w:r>
        <w:t xml:space="preserve">arXiv.</w:t>
      </w:r>
      <w:r>
        <w:t xml:space="preserve"> </w:t>
      </w:r>
      <w:hyperlink r:id="rId105">
        <w:r>
          <w:rPr>
            <w:rStyle w:val="Hyperlink"/>
          </w:rPr>
          <w:t xml:space="preserve">https://doi.org/10.48550/arXiv.1810.04805</w:t>
        </w:r>
      </w:hyperlink>
      <w:r>
        <w:t xml:space="preserve">.</w:t>
      </w:r>
    </w:p>
    <w:bookmarkEnd w:id="106"/>
    <w:bookmarkStart w:id="108" w:name="ref-fagerlinMakingNumbersMatter2007"/>
    <w:p>
      <w:pPr>
        <w:pStyle w:val="Bibliography"/>
      </w:pPr>
      <w:r>
        <w:t xml:space="preserve">Fagerlin, Angela, Peter A. Ubel, Dylan M. Smith, and Brian J. Zikmund-Fisher. 2007.</w:t>
      </w:r>
      <w:r>
        <w:t xml:space="preserve"> </w:t>
      </w:r>
      <w:r>
        <w:t xml:space="preserve">“Making Numbers Matter: Present and Future Research in Risk Communication.”</w:t>
      </w:r>
      <w:r>
        <w:t xml:space="preserve"> </w:t>
      </w:r>
      <w:r>
        <w:rPr>
          <w:i/>
          <w:iCs/>
        </w:rPr>
        <w:t xml:space="preserve">American Journal of Health Behavior</w:t>
      </w:r>
      <w:r>
        <w:t xml:space="preserve"> </w:t>
      </w:r>
      <w:r>
        <w:t xml:space="preserve">31 Suppl 1: S47–56.</w:t>
      </w:r>
      <w:r>
        <w:t xml:space="preserve"> </w:t>
      </w:r>
      <w:hyperlink r:id="rId107">
        <w:r>
          <w:rPr>
            <w:rStyle w:val="Hyperlink"/>
          </w:rPr>
          <w:t xml:space="preserve">https://doi.org/10.5555/ajhb.2007.31.supp.S47</w:t>
        </w:r>
      </w:hyperlink>
      <w:r>
        <w:t xml:space="preserve">.</w:t>
      </w:r>
    </w:p>
    <w:bookmarkEnd w:id="108"/>
    <w:bookmarkStart w:id="110" w:name="ref-fisherDynamicModelPsychological2015"/>
    <w:p>
      <w:pPr>
        <w:pStyle w:val="Bibliography"/>
      </w:pPr>
      <w:r>
        <w:t xml:space="preserve">Fisher, Aaron J. 2015.</w:t>
      </w:r>
      <w:r>
        <w:t xml:space="preserve"> </w:t>
      </w:r>
      <w:r>
        <w:t xml:space="preserve">“Toward a Dynamic Model of Psychological Assessment:</w:t>
      </w:r>
      <w:r>
        <w:t xml:space="preserve"> </w:t>
      </w:r>
      <w:r>
        <w:t xml:space="preserve">Implications</w:t>
      </w:r>
      <w:r>
        <w:t xml:space="preserve"> </w:t>
      </w:r>
      <w:r>
        <w:t xml:space="preserve">for Personalized Care.”</w:t>
      </w:r>
      <w:r>
        <w:t xml:space="preserve"> </w:t>
      </w:r>
      <w:r>
        <w:rPr>
          <w:i/>
          <w:iCs/>
        </w:rPr>
        <w:t xml:space="preserve">Journal of Consulting and Clinical Psychology</w:t>
      </w:r>
      <w:r>
        <w:t xml:space="preserve"> </w:t>
      </w:r>
      <w:r>
        <w:t xml:space="preserve">83 (4): 825–36.</w:t>
      </w:r>
      <w:r>
        <w:t xml:space="preserve"> </w:t>
      </w:r>
      <w:hyperlink r:id="rId109">
        <w:r>
          <w:rPr>
            <w:rStyle w:val="Hyperlink"/>
          </w:rPr>
          <w:t xml:space="preserve">https://doi.org/10.1037/ccp0000026</w:t>
        </w:r>
      </w:hyperlink>
      <w:r>
        <w:t xml:space="preserve">.</w:t>
      </w:r>
    </w:p>
    <w:bookmarkEnd w:id="110"/>
    <w:bookmarkStart w:id="112" w:name="ref-fronkStressAllostasisSubstance2020"/>
    <w:p>
      <w:pPr>
        <w:pStyle w:val="Bibliography"/>
      </w:pPr>
      <w:r>
        <w:t xml:space="preserve">Fronk, Gaylen E., Sarah J. Sant’Ana, Jesse T. Kaye, and John J. Curtin. 2020.</w:t>
      </w:r>
      <w:r>
        <w:t xml:space="preserve"> </w:t>
      </w:r>
      <w:r>
        <w:t xml:space="preserve">“Stress</w:t>
      </w:r>
      <w:r>
        <w:t xml:space="preserve"> </w:t>
      </w:r>
      <w:r>
        <w:t xml:space="preserve">Allostasis</w:t>
      </w:r>
      <w:r>
        <w:t xml:space="preserve"> </w:t>
      </w:r>
      <w:r>
        <w:t xml:space="preserve">in</w:t>
      </w:r>
      <w:r>
        <w:t xml:space="preserve"> </w:t>
      </w:r>
      <w:r>
        <w:t xml:space="preserve">Substance Use Disorders</w:t>
      </w:r>
      <w:r>
        <w:t xml:space="preserve">:</w:t>
      </w:r>
      <w:r>
        <w:t xml:space="preserve"> </w:t>
      </w:r>
      <w:r>
        <w:t xml:space="preserve">Promise</w:t>
      </w:r>
      <w:r>
        <w:t xml:space="preserve">,</w:t>
      </w:r>
      <w:r>
        <w:t xml:space="preserve"> </w:t>
      </w:r>
      <w:r>
        <w:t xml:space="preserve">Progress</w:t>
      </w:r>
      <w:r>
        <w:t xml:space="preserve">, and</w:t>
      </w:r>
      <w:r>
        <w:t xml:space="preserve"> </w:t>
      </w:r>
      <w:r>
        <w:t xml:space="preserve">Emerging Priorities</w:t>
      </w:r>
      <w:r>
        <w:t xml:space="preserve"> </w:t>
      </w:r>
      <w:r>
        <w:t xml:space="preserve">in</w:t>
      </w:r>
      <w:r>
        <w:t xml:space="preserve"> </w:t>
      </w:r>
      <w:r>
        <w:t xml:space="preserve">Clinical Research</w:t>
      </w:r>
      <w:r>
        <w:t xml:space="preserve">.”</w:t>
      </w:r>
      <w:r>
        <w:t xml:space="preserve"> </w:t>
      </w:r>
      <w:r>
        <w:rPr>
          <w:i/>
          <w:iCs/>
        </w:rPr>
        <w:t xml:space="preserve">Annual Review of Clinical Psychology</w:t>
      </w:r>
      <w:r>
        <w:t xml:space="preserve"> </w:t>
      </w:r>
      <w:r>
        <w:t xml:space="preserve">16 (1): 401–30.</w:t>
      </w:r>
      <w:r>
        <w:t xml:space="preserve"> </w:t>
      </w:r>
      <w:hyperlink r:id="rId111">
        <w:r>
          <w:rPr>
            <w:rStyle w:val="Hyperlink"/>
          </w:rPr>
          <w:t xml:space="preserve">https://doi.org/10.1146/annurev-clinpsy-102419-125016</w:t>
        </w:r>
      </w:hyperlink>
      <w:r>
        <w:t xml:space="preserve">.</w:t>
      </w:r>
    </w:p>
    <w:bookmarkEnd w:id="112"/>
    <w:bookmarkStart w:id="113"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113"/>
    <w:bookmarkStart w:id="114"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14"/>
    <w:bookmarkStart w:id="116"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115">
        <w:r>
          <w:rPr>
            <w:rStyle w:val="Hyperlink"/>
          </w:rPr>
          <w:t xml:space="preserve">https://doi.org/10.1016/j.drugalcdep.2006.05.012</w:t>
        </w:r>
      </w:hyperlink>
      <w:r>
        <w:t xml:space="preserve">.</w:t>
      </w:r>
    </w:p>
    <w:bookmarkEnd w:id="116"/>
    <w:bookmarkStart w:id="117"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117"/>
    <w:bookmarkStart w:id="118"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118"/>
    <w:bookmarkStart w:id="119"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119"/>
    <w:bookmarkStart w:id="121"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120">
        <w:r>
          <w:rPr>
            <w:rStyle w:val="Hyperlink"/>
          </w:rPr>
          <w:t xml:space="preserve">https://doi.org/10/gfsjzg</w:t>
        </w:r>
      </w:hyperlink>
      <w:r>
        <w:t xml:space="preserve">.</w:t>
      </w:r>
    </w:p>
    <w:bookmarkEnd w:id="121"/>
    <w:bookmarkStart w:id="123"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22">
        <w:r>
          <w:rPr>
            <w:rStyle w:val="Hyperlink"/>
          </w:rPr>
          <w:t xml:space="preserve">https://doi.org/10.1001/jamanetworkopen.2020.5852</w:t>
        </w:r>
      </w:hyperlink>
      <w:r>
        <w:t xml:space="preserve">.</w:t>
      </w:r>
    </w:p>
    <w:bookmarkEnd w:id="123"/>
    <w:bookmarkStart w:id="125"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24">
        <w:r>
          <w:rPr>
            <w:rStyle w:val="Hyperlink"/>
          </w:rPr>
          <w:t xml:space="preserve">https://doi.org/10.1007/s11920-012-0296-5</w:t>
        </w:r>
      </w:hyperlink>
      <w:r>
        <w:t xml:space="preserve">.</w:t>
      </w:r>
    </w:p>
    <w:bookmarkEnd w:id="125"/>
    <w:bookmarkStart w:id="126"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26"/>
    <w:bookmarkStart w:id="128"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27">
        <w:r>
          <w:rPr>
            <w:rStyle w:val="Hyperlink"/>
          </w:rPr>
          <w:t xml:space="preserve">https://doi.org/10.1007/978-1-4614-6849-3</w:t>
        </w:r>
      </w:hyperlink>
      <w:r>
        <w:t xml:space="preserve">.</w:t>
      </w:r>
    </w:p>
    <w:bookmarkEnd w:id="128"/>
    <w:bookmarkStart w:id="129"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29"/>
    <w:bookmarkStart w:id="131" w:name="ref-leeUrbanRuralDisparities2023"/>
    <w:p>
      <w:pPr>
        <w:pStyle w:val="Bibliography"/>
      </w:pPr>
      <w:r>
        <w:t xml:space="preserve">Lee, Jong Hyung, David C. Wheeler, Emily B. Zimmerman, Anika L. Hines, and Derek A. Chapman. 2023.</w:t>
      </w:r>
      <w:r>
        <w:t xml:space="preserve"> </w:t>
      </w:r>
      <w:r>
        <w:t xml:space="preserve">“Urban–</w:t>
      </w:r>
      <w:r>
        <w:t xml:space="preserve">Rural Disparities</w:t>
      </w:r>
      <w:r>
        <w:t xml:space="preserve"> </w:t>
      </w:r>
      <w:r>
        <w:t xml:space="preserve">in</w:t>
      </w:r>
      <w:r>
        <w:t xml:space="preserve"> </w:t>
      </w:r>
      <w:r>
        <w:t xml:space="preserve">Deaths</w:t>
      </w:r>
      <w:r>
        <w:t xml:space="preserve"> </w:t>
      </w:r>
      <w:r>
        <w:t xml:space="preserve">of</w:t>
      </w:r>
      <w:r>
        <w:t xml:space="preserve"> </w:t>
      </w:r>
      <w:r>
        <w:t xml:space="preserve">Despair</w:t>
      </w:r>
      <w:r>
        <w:t xml:space="preserve">:</w:t>
      </w:r>
      <w:r>
        <w:t xml:space="preserve"> </w:t>
      </w:r>
      <w:r>
        <w:t xml:space="preserve">A County-Level Analysis</w:t>
      </w:r>
      <w:r>
        <w:t xml:space="preserve"> </w:t>
      </w:r>
      <w:r>
        <w:t xml:space="preserve">2004–2016 in the</w:t>
      </w:r>
      <w:r>
        <w:t xml:space="preserve"> </w:t>
      </w:r>
      <w:r>
        <w:t xml:space="preserve">U</w:t>
      </w:r>
      <w:r>
        <w:t xml:space="preserve">.</w:t>
      </w:r>
      <w:r>
        <w:t xml:space="preserve">S</w:t>
      </w:r>
      <w:r>
        <w:t xml:space="preserve">.”</w:t>
      </w:r>
      <w:r>
        <w:t xml:space="preserve"> </w:t>
      </w:r>
      <w:r>
        <w:rPr>
          <w:i/>
          <w:iCs/>
        </w:rPr>
        <w:t xml:space="preserve">American Journal of Preventive Medicine</w:t>
      </w:r>
      <w:r>
        <w:t xml:space="preserve"> </w:t>
      </w:r>
      <w:r>
        <w:t xml:space="preserve">64 (2): 149–56.</w:t>
      </w:r>
      <w:r>
        <w:t xml:space="preserve"> </w:t>
      </w:r>
      <w:hyperlink r:id="rId130">
        <w:r>
          <w:rPr>
            <w:rStyle w:val="Hyperlink"/>
          </w:rPr>
          <w:t xml:space="preserve">https://doi.org/10.1016/j.amepre.2022.08.022</w:t>
        </w:r>
      </w:hyperlink>
      <w:r>
        <w:t xml:space="preserve">.</w:t>
      </w:r>
    </w:p>
    <w:bookmarkEnd w:id="131"/>
    <w:bookmarkStart w:id="132" w:name="X0943ff04c0b05099bf4a8c8078db37e3463cff7"/>
    <w:p>
      <w:pPr>
        <w:pStyle w:val="Bibliography"/>
      </w:pPr>
      <w:r>
        <w:t xml:space="preserve">Liese, Bruce S., and Aaron T. Beck. 2022.</w:t>
      </w:r>
      <w:r>
        <w:t xml:space="preserve"> </w:t>
      </w:r>
      <w:r>
        <w:rPr>
          <w:i/>
          <w:iCs/>
        </w:rPr>
        <w:t xml:space="preserve">Cognitive-</w:t>
      </w:r>
      <w:r>
        <w:rPr>
          <w:i/>
          <w:iCs/>
        </w:rPr>
        <w:t xml:space="preserve">Behavioral Therapy</w:t>
      </w:r>
      <w:r>
        <w:rPr>
          <w:i/>
          <w:iCs/>
        </w:rPr>
        <w:t xml:space="preserve"> </w:t>
      </w:r>
      <w:r>
        <w:rPr>
          <w:i/>
          <w:iCs/>
        </w:rPr>
        <w:t xml:space="preserve">of</w:t>
      </w:r>
      <w:r>
        <w:rPr>
          <w:i/>
          <w:iCs/>
        </w:rPr>
        <w:t xml:space="preserve"> </w:t>
      </w:r>
      <w:r>
        <w:rPr>
          <w:i/>
          <w:iCs/>
        </w:rPr>
        <w:t xml:space="preserve">Addictive Disorders</w:t>
      </w:r>
      <w:r>
        <w:t xml:space="preserve">. First edition. New York: The Guilford Press.</w:t>
      </w:r>
    </w:p>
    <w:bookmarkEnd w:id="132"/>
    <w:bookmarkStart w:id="134" w:name="Xaa720cc9c8d959b428cd2035783815a9cba15e0"/>
    <w:p>
      <w:pPr>
        <w:pStyle w:val="Bibliography"/>
      </w:pPr>
      <w:r>
        <w:t xml:space="preserve">Lister, Jamey J., Addie Weaver, Jennifer D. Ellis, Joseph A. Himle, and David M. Ledgerwood. 2020.</w:t>
      </w:r>
      <w:r>
        <w:t xml:space="preserve"> </w:t>
      </w:r>
      <w:r>
        <w:t xml:space="preserve">“A Systematic Review of Rural-Specific Barriers to Medication Treatment for Opioid Use Disorder in the</w:t>
      </w:r>
      <w:r>
        <w:t xml:space="preserve"> </w:t>
      </w:r>
      <w:r>
        <w:t xml:space="preserve">United States</w:t>
      </w:r>
      <w:r>
        <w:t xml:space="preserve">.”</w:t>
      </w:r>
      <w:r>
        <w:t xml:space="preserve"> </w:t>
      </w:r>
      <w:r>
        <w:rPr>
          <w:i/>
          <w:iCs/>
        </w:rPr>
        <w:t xml:space="preserve">The American Journal of Drug and Alcohol Abuse</w:t>
      </w:r>
      <w:r>
        <w:t xml:space="preserve"> </w:t>
      </w:r>
      <w:r>
        <w:t xml:space="preserve">46 (3): 273–88.</w:t>
      </w:r>
      <w:r>
        <w:t xml:space="preserve"> </w:t>
      </w:r>
      <w:hyperlink r:id="rId133">
        <w:r>
          <w:rPr>
            <w:rStyle w:val="Hyperlink"/>
          </w:rPr>
          <w:t xml:space="preserve">https://doi.org/10.1080/00952990.2019.1694536</w:t>
        </w:r>
      </w:hyperlink>
      <w:r>
        <w:t xml:space="preserve">.</w:t>
      </w:r>
    </w:p>
    <w:bookmarkEnd w:id="134"/>
    <w:bookmarkStart w:id="135"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35"/>
    <w:bookmarkStart w:id="136"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36"/>
    <w:bookmarkStart w:id="137"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137"/>
    <w:bookmarkStart w:id="139" w:name="X1e16a8cc741ec7d68b9bde12ee2c181d9d36a93"/>
    <w:p>
      <w:pPr>
        <w:pStyle w:val="Bibliography"/>
      </w:pPr>
      <w:r>
        <w:t xml:space="preserve">McHugh, R. Kathryn, Bridget A. Hearon, and Michael W. Otto. 2010.</w:t>
      </w:r>
      <w:r>
        <w:t xml:space="preserve"> </w:t>
      </w:r>
      <w:r>
        <w:t xml:space="preserve">“Cognitive-</w:t>
      </w:r>
      <w:r>
        <w:t xml:space="preserve">Behavioral Therapy</w:t>
      </w:r>
      <w:r>
        <w:t xml:space="preserve"> </w:t>
      </w:r>
      <w:r>
        <w:t xml:space="preserve">for</w:t>
      </w:r>
      <w:r>
        <w:t xml:space="preserve"> </w:t>
      </w:r>
      <w:r>
        <w:t xml:space="preserve">Substance Use Disorders</w:t>
      </w:r>
      <w:r>
        <w:t xml:space="preserve">.”</w:t>
      </w:r>
      <w:r>
        <w:t xml:space="preserve"> </w:t>
      </w:r>
      <w:r>
        <w:rPr>
          <w:i/>
          <w:iCs/>
        </w:rPr>
        <w:t xml:space="preserve">The Psychiatric Clinics of North America</w:t>
      </w:r>
      <w:r>
        <w:t xml:space="preserve"> </w:t>
      </w:r>
      <w:r>
        <w:t xml:space="preserve">33 (3): 511–25.</w:t>
      </w:r>
      <w:r>
        <w:t xml:space="preserve"> </w:t>
      </w:r>
      <w:hyperlink r:id="rId138">
        <w:r>
          <w:rPr>
            <w:rStyle w:val="Hyperlink"/>
          </w:rPr>
          <w:t xml:space="preserve">https://doi.org/10.1016/j.psc.2010.04.012</w:t>
        </w:r>
      </w:hyperlink>
      <w:r>
        <w:t xml:space="preserve">.</w:t>
      </w:r>
    </w:p>
    <w:bookmarkEnd w:id="139"/>
    <w:bookmarkStart w:id="141" w:name="ref-mchughSexGenderDifferences2018"/>
    <w:p>
      <w:pPr>
        <w:pStyle w:val="Bibliography"/>
      </w:pPr>
      <w:r>
        <w:t xml:space="preserve">McHugh, R. Kathryn, Victoria R. Votaw, Dawn E. Sugarman, and Shelly F. Greenfield. 2018.</w:t>
      </w:r>
      <w:r>
        <w:t xml:space="preserve"> </w:t>
      </w:r>
      <w:r>
        <w:t xml:space="preserve">“Sex and Gender Differences in Substance Use Disorders.”</w:t>
      </w:r>
      <w:r>
        <w:t xml:space="preserve"> </w:t>
      </w:r>
      <w:r>
        <w:rPr>
          <w:i/>
          <w:iCs/>
        </w:rPr>
        <w:t xml:space="preserve">Clinical Psychology Review</w:t>
      </w:r>
      <w:r>
        <w:t xml:space="preserve"> </w:t>
      </w:r>
      <w:r>
        <w:t xml:space="preserve">66 (December): 12–23.</w:t>
      </w:r>
      <w:r>
        <w:t xml:space="preserve"> </w:t>
      </w:r>
      <w:hyperlink r:id="rId140">
        <w:r>
          <w:rPr>
            <w:rStyle w:val="Hyperlink"/>
          </w:rPr>
          <w:t xml:space="preserve">https://doi.org/10.1016/j.cpr.2017.10.012</w:t>
        </w:r>
      </w:hyperlink>
      <w:r>
        <w:t xml:space="preserve">.</w:t>
      </w:r>
    </w:p>
    <w:bookmarkEnd w:id="141"/>
    <w:bookmarkStart w:id="143"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42">
        <w:r>
          <w:rPr>
            <w:rStyle w:val="Hyperlink"/>
          </w:rPr>
          <w:t xml:space="preserve">https://doi.org/10.1001/jama.284.13.1689</w:t>
        </w:r>
      </w:hyperlink>
      <w:r>
        <w:t xml:space="preserve">.</w:t>
      </w:r>
    </w:p>
    <w:bookmarkEnd w:id="143"/>
    <w:bookmarkStart w:id="145" w:name="ref-meyersIntersectionGenderDrug2021"/>
    <w:p>
      <w:pPr>
        <w:pStyle w:val="Bibliography"/>
      </w:pPr>
      <w:r>
        <w:t xml:space="preserve">Meyers, S. A., V. A. Earnshaw, B. D’Ambrosio, N. Courchesne, D. Werb, and L. R. Smith. 2021.</w:t>
      </w:r>
      <w:r>
        <w:t xml:space="preserve"> </w:t>
      </w:r>
      <w:r>
        <w:t xml:space="preserve">“The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 </w:t>
      </w:r>
      <w:r>
        <w:t xml:space="preserve">223 (June): 108706.</w:t>
      </w:r>
      <w:r>
        <w:t xml:space="preserve"> </w:t>
      </w:r>
      <w:hyperlink r:id="rId144">
        <w:r>
          <w:rPr>
            <w:rStyle w:val="Hyperlink"/>
          </w:rPr>
          <w:t xml:space="preserve">https://doi.org/10.1016/j.drugalcdep.2021.108706</w:t>
        </w:r>
      </w:hyperlink>
      <w:r>
        <w:t xml:space="preserve">.</w:t>
      </w:r>
    </w:p>
    <w:bookmarkEnd w:id="145"/>
    <w:bookmarkStart w:id="147"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46">
        <w:r>
          <w:rPr>
            <w:rStyle w:val="Hyperlink"/>
          </w:rPr>
          <w:t xml:space="preserve">https://doi.org/10.1146/annurev-clinpsy-032816-044949</w:t>
        </w:r>
      </w:hyperlink>
      <w:r>
        <w:t xml:space="preserve">.</w:t>
      </w:r>
    </w:p>
    <w:bookmarkEnd w:id="147"/>
    <w:bookmarkStart w:id="148" w:name="X0c0e928dd8ff101aa479012bffab8d24e8c0dcf"/>
    <w:p>
      <w:pPr>
        <w:pStyle w:val="Bibliography"/>
      </w:pPr>
      <w:r>
        <w:t xml:space="preserve">Molnar, Christoph. 2022.</w:t>
      </w:r>
      <w:r>
        <w:t xml:space="preserve"> </w:t>
      </w:r>
      <w:r>
        <w:rPr>
          <w:i/>
          <w:iCs/>
        </w:rPr>
        <w:t xml:space="preserve">Interpretable</w:t>
      </w:r>
      <w:r>
        <w:rPr>
          <w:i/>
          <w:iCs/>
        </w:rPr>
        <w:t xml:space="preserve"> </w:t>
      </w:r>
      <w:r>
        <w:rPr>
          <w:i/>
          <w:iCs/>
        </w:rPr>
        <w:t xml:space="preserve">Machine Learning</w:t>
      </w:r>
      <w:r>
        <w:rPr>
          <w:i/>
          <w:iCs/>
        </w:rPr>
        <w:t xml:space="preserve">:</w:t>
      </w:r>
      <w:r>
        <w:rPr>
          <w:i/>
          <w:iCs/>
        </w:rPr>
        <w:t xml:space="preserve"> </w:t>
      </w:r>
      <w:r>
        <w:rPr>
          <w:i/>
          <w:iCs/>
        </w:rPr>
        <w:t xml:space="preserve">A Guide For Making Black Box Models Explainable</w:t>
      </w:r>
      <w:r>
        <w:t xml:space="preserve">. Munich, Germany: Independently published.</w:t>
      </w:r>
    </w:p>
    <w:bookmarkEnd w:id="148"/>
    <w:bookmarkStart w:id="150"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49">
        <w:r>
          <w:rPr>
            <w:rStyle w:val="Hyperlink"/>
          </w:rPr>
          <w:t xml:space="preserve">https://doi.org/10.2196/29563</w:t>
        </w:r>
      </w:hyperlink>
      <w:r>
        <w:t xml:space="preserve">.</w:t>
      </w:r>
    </w:p>
    <w:bookmarkEnd w:id="150"/>
    <w:bookmarkStart w:id="152"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51">
        <w:r>
          <w:rPr>
            <w:rStyle w:val="Hyperlink"/>
          </w:rPr>
          <w:t xml:space="preserve">https://doi.org/10.1016/j.jsat.2021.108710</w:t>
        </w:r>
      </w:hyperlink>
      <w:r>
        <w:t xml:space="preserve">.</w:t>
      </w:r>
    </w:p>
    <w:bookmarkEnd w:id="152"/>
    <w:bookmarkStart w:id="154"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53">
        <w:r>
          <w:rPr>
            <w:rStyle w:val="Hyperlink"/>
          </w:rPr>
          <w:t xml:space="preserve">https://doi.org/10.1016/j.drugalcdep.2019.05.017</w:t>
        </w:r>
      </w:hyperlink>
      <w:r>
        <w:t xml:space="preserve">.</w:t>
      </w:r>
    </w:p>
    <w:bookmarkEnd w:id="154"/>
    <w:bookmarkStart w:id="155" w:name="ref-plattProbabilisticOutputsSupport1999"/>
    <w:p>
      <w:pPr>
        <w:pStyle w:val="Bibliography"/>
      </w:pPr>
      <w:r>
        <w:t xml:space="preserve">Platt, John. 1999.</w:t>
      </w:r>
      <w:r>
        <w:t xml:space="preserve"> </w:t>
      </w:r>
      <w:r>
        <w:t xml:space="preserve">“Probabilistic Outputs for Support Vector Machines and Comparisons to Regularized Likelihood Methods.”</w:t>
      </w:r>
      <w:r>
        <w:t xml:space="preserve"> </w:t>
      </w:r>
      <w:r>
        <w:t xml:space="preserve">In</w:t>
      </w:r>
      <w:r>
        <w:t xml:space="preserve"> </w:t>
      </w:r>
      <w:r>
        <w:rPr>
          <w:i/>
          <w:iCs/>
        </w:rPr>
        <w:t xml:space="preserve">Advances in Large Margin Classifiers</w:t>
      </w:r>
      <w:r>
        <w:t xml:space="preserve">, 61–74. MIT Press.</w:t>
      </w:r>
    </w:p>
    <w:bookmarkEnd w:id="155"/>
    <w:bookmarkStart w:id="157" w:name="ref-pulickIdiographicLapsePrediction2025"/>
    <w:p>
      <w:pPr>
        <w:pStyle w:val="Bibliography"/>
      </w:pPr>
      <w:r>
        <w:t xml:space="preserve">Pulick, Eric, John Curtin, and Yonatan Mintz. 2025.</w:t>
      </w:r>
      <w:r>
        <w:t xml:space="preserve"> </w:t>
      </w:r>
      <w:r>
        <w:t xml:space="preserve">“Idiographic</w:t>
      </w:r>
      <w:r>
        <w:t xml:space="preserve"> </w:t>
      </w:r>
      <w:r>
        <w:t xml:space="preserve">Lapse Prediction With State Space Modeling</w:t>
      </w:r>
      <w:r>
        <w:t xml:space="preserve">:</w:t>
      </w:r>
      <w:r>
        <w:t xml:space="preserve"> </w:t>
      </w:r>
      <w:r>
        <w:t xml:space="preserve">Algorithm Development</w:t>
      </w:r>
      <w:r>
        <w:t xml:space="preserve"> </w:t>
      </w:r>
      <w:r>
        <w:t xml:space="preserve">and</w:t>
      </w:r>
      <w:r>
        <w:t xml:space="preserve"> </w:t>
      </w:r>
      <w:r>
        <w:t xml:space="preserve">Validation Study</w:t>
      </w:r>
      <w:r>
        <w:t xml:space="preserve">.”</w:t>
      </w:r>
      <w:r>
        <w:t xml:space="preserve"> </w:t>
      </w:r>
      <w:r>
        <w:rPr>
          <w:i/>
          <w:iCs/>
        </w:rPr>
        <w:t xml:space="preserve">JMIR Formative Research</w:t>
      </w:r>
      <w:r>
        <w:t xml:space="preserve"> </w:t>
      </w:r>
      <w:r>
        <w:t xml:space="preserve">9 (1): e73265.</w:t>
      </w:r>
      <w:r>
        <w:t xml:space="preserve"> </w:t>
      </w:r>
      <w:hyperlink r:id="rId156">
        <w:r>
          <w:rPr>
            <w:rStyle w:val="Hyperlink"/>
          </w:rPr>
          <w:t xml:space="preserve">https://doi.org/10.2196/73265</w:t>
        </w:r>
      </w:hyperlink>
      <w:r>
        <w:t xml:space="preserve">.</w:t>
      </w:r>
    </w:p>
    <w:bookmarkEnd w:id="157"/>
    <w:bookmarkStart w:id="159" w:name="Xa1b8899d52f2070e9a46165cf23fe2013b5e4a3"/>
    <w:p>
      <w:pPr>
        <w:pStyle w:val="Bibliography"/>
      </w:pPr>
      <w:r>
        <w:t xml:space="preserve">Rawson, R. A., S. J. Shoptaw, J. L. Obert, M. J. McCann, A. L. Hasson, P. J. Marinelli-Casey, P. R. Brethen, and W. Ling. 1995.</w:t>
      </w:r>
      <w:r>
        <w:t xml:space="preserve"> </w:t>
      </w:r>
      <w:r>
        <w:t xml:space="preserve">“An Intensive Outpatient Approach for Cocaine Abuse Treatment.</w:t>
      </w:r>
      <w:r>
        <w:t xml:space="preserve"> </w:t>
      </w:r>
      <w:r>
        <w:t xml:space="preserve">The Matrix</w:t>
      </w:r>
      <w:r>
        <w:t xml:space="preserve"> </w:t>
      </w:r>
      <w:r>
        <w:t xml:space="preserve">Model.”</w:t>
      </w:r>
      <w:r>
        <w:t xml:space="preserve"> </w:t>
      </w:r>
      <w:r>
        <w:rPr>
          <w:i/>
          <w:iCs/>
        </w:rPr>
        <w:t xml:space="preserve">Journal of Substance Abuse Treatment</w:t>
      </w:r>
      <w:r>
        <w:t xml:space="preserve"> </w:t>
      </w:r>
      <w:r>
        <w:t xml:space="preserve">12 (2): 117–27.</w:t>
      </w:r>
      <w:r>
        <w:t xml:space="preserve"> </w:t>
      </w:r>
      <w:hyperlink r:id="rId158">
        <w:r>
          <w:rPr>
            <w:rStyle w:val="Hyperlink"/>
          </w:rPr>
          <w:t xml:space="preserve">https://doi.org/10.1016/0740-5472(94)00080-b</w:t>
        </w:r>
      </w:hyperlink>
      <w:r>
        <w:t xml:space="preserve">.</w:t>
      </w:r>
    </w:p>
    <w:bookmarkEnd w:id="159"/>
    <w:bookmarkStart w:id="161" w:name="Xc5cdea043ab663a81d5612c8b1e0f7c2b734aab"/>
    <w:p>
      <w:pPr>
        <w:pStyle w:val="Bibliography"/>
      </w:pPr>
      <w:r>
        <w:t xml:space="preserve">Roche, Michael J., Aaron L. Pincus, Amanda L. Rebar, David E. Conroy, and Nilam Ram. 2014.</w:t>
      </w:r>
      <w:r>
        <w:t xml:space="preserve"> </w:t>
      </w:r>
      <w:r>
        <w:t xml:space="preserve">“Enriching</w:t>
      </w:r>
      <w:r>
        <w:t xml:space="preserve"> </w:t>
      </w:r>
      <w:r>
        <w:t xml:space="preserve">Psychological Assessment Using</w:t>
      </w:r>
      <w:r>
        <w:t xml:space="preserve"> </w:t>
      </w:r>
      <w:r>
        <w:t xml:space="preserve">a</w:t>
      </w:r>
      <w:r>
        <w:t xml:space="preserve"> </w:t>
      </w:r>
      <w:r>
        <w:t xml:space="preserve">Person-Specific Analysis</w:t>
      </w:r>
      <w:r>
        <w:t xml:space="preserve"> </w:t>
      </w:r>
      <w:r>
        <w:t xml:space="preserve">of</w:t>
      </w:r>
      <w:r>
        <w:t xml:space="preserve"> </w:t>
      </w:r>
      <w:r>
        <w:t xml:space="preserve">Interpersonal Processes</w:t>
      </w:r>
      <w:r>
        <w:t xml:space="preserve"> </w:t>
      </w:r>
      <w:r>
        <w:t xml:space="preserve">in</w:t>
      </w:r>
      <w:r>
        <w:t xml:space="preserve"> </w:t>
      </w:r>
      <w:r>
        <w:t xml:space="preserve">Daily Life</w:t>
      </w:r>
      <w:r>
        <w:t xml:space="preserve">.”</w:t>
      </w:r>
      <w:r>
        <w:t xml:space="preserve"> </w:t>
      </w:r>
      <w:r>
        <w:rPr>
          <w:i/>
          <w:iCs/>
        </w:rPr>
        <w:t xml:space="preserve">Assessment</w:t>
      </w:r>
      <w:r>
        <w:t xml:space="preserve"> </w:t>
      </w:r>
      <w:r>
        <w:t xml:space="preserve">21 (5): 515–28.</w:t>
      </w:r>
      <w:r>
        <w:t xml:space="preserve"> </w:t>
      </w:r>
      <w:hyperlink r:id="rId160">
        <w:r>
          <w:rPr>
            <w:rStyle w:val="Hyperlink"/>
          </w:rPr>
          <w:t xml:space="preserve">https://doi.org/10.1177/1073191114540320</w:t>
        </w:r>
      </w:hyperlink>
      <w:r>
        <w:t xml:space="preserve">.</w:t>
      </w:r>
    </w:p>
    <w:bookmarkEnd w:id="161"/>
    <w:bookmarkStart w:id="162"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62"/>
    <w:bookmarkStart w:id="164"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63">
        <w:r>
          <w:rPr>
            <w:rStyle w:val="Hyperlink"/>
          </w:rPr>
          <w:t xml:space="preserve">https://doi.org/10.1111/add.13479</w:t>
        </w:r>
      </w:hyperlink>
      <w:r>
        <w:t xml:space="preserve">.</w:t>
      </w:r>
    </w:p>
    <w:bookmarkEnd w:id="164"/>
    <w:bookmarkStart w:id="166"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65">
        <w:r>
          <w:rPr>
            <w:rStyle w:val="Hyperlink"/>
          </w:rPr>
          <w:t xml:space="preserve">https://doi.org/10.1037/adb0000666</w:t>
        </w:r>
      </w:hyperlink>
      <w:r>
        <w:t xml:space="preserve">.</w:t>
      </w:r>
    </w:p>
    <w:bookmarkEnd w:id="166"/>
    <w:bookmarkStart w:id="168"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67">
        <w:r>
          <w:rPr>
            <w:rStyle w:val="Hyperlink"/>
          </w:rPr>
          <w:t xml:space="preserve">https://doi.org/10.1177/1178221820976988</w:t>
        </w:r>
      </w:hyperlink>
      <w:r>
        <w:t xml:space="preserve">.</w:t>
      </w:r>
    </w:p>
    <w:bookmarkEnd w:id="168"/>
    <w:bookmarkStart w:id="169" w:name="ref-studiesNIHRevitalizationAct1994"/>
    <w:p>
      <w:pPr>
        <w:pStyle w:val="Bibliography"/>
      </w:pPr>
      <w:r>
        <w:t xml:space="preserve">Studies, Institute of Medicine (US) Committee on Ethical and Legal Issues Relating to the Inclusion of Women in Clinical, Anna C. Mastroianni, Ruth Faden, and Daniel Federman. 1994.</w:t>
      </w:r>
      <w:r>
        <w:t xml:space="preserve"> </w:t>
      </w:r>
      <w:r>
        <w:t xml:space="preserve">“</w:t>
      </w:r>
      <w:r>
        <w:t xml:space="preserve">NIH Revitalization Act</w:t>
      </w:r>
      <w:r>
        <w:t xml:space="preserve"> </w:t>
      </w:r>
      <w:r>
        <w:t xml:space="preserve">of 1993</w:t>
      </w:r>
      <w:r>
        <w:t xml:space="preserve"> </w:t>
      </w:r>
      <w:r>
        <w:t xml:space="preserve">Public Law</w:t>
      </w:r>
      <w:r>
        <w:t xml:space="preserve"> </w:t>
      </w:r>
      <w:r>
        <w:t xml:space="preserve">103-43.”</w:t>
      </w:r>
      <w:r>
        <w:t xml:space="preserve"> </w:t>
      </w:r>
      <w:r>
        <w:t xml:space="preserve">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69"/>
    <w:bookmarkStart w:id="170"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70"/>
    <w:bookmarkStart w:id="172" w:name="Xdd108b50209bad1fdcf1a9fcca4dd1d7d3b13e9"/>
    <w:p>
      <w:pPr>
        <w:pStyle w:val="Bibliography"/>
      </w:pPr>
      <w:r>
        <w:t xml:space="preserve">Tausczik, Yla R., and James W. Pennebaker. 2010.</w:t>
      </w:r>
      <w:r>
        <w:t xml:space="preserve"> </w:t>
      </w:r>
      <w:r>
        <w:t xml:space="preserve">“The</w:t>
      </w:r>
      <w:r>
        <w:t xml:space="preserve"> </w:t>
      </w:r>
      <w:r>
        <w:t xml:space="preserve">Psychological Meaning</w:t>
      </w:r>
      <w:r>
        <w:t xml:space="preserve"> </w:t>
      </w:r>
      <w:r>
        <w:t xml:space="preserve">of</w:t>
      </w:r>
      <w:r>
        <w:t xml:space="preserve"> </w:t>
      </w:r>
      <w:r>
        <w:t xml:space="preserve">Words</w:t>
      </w:r>
      <w:r>
        <w:t xml:space="preserve">:</w:t>
      </w:r>
      <w:r>
        <w:t xml:space="preserve"> </w:t>
      </w:r>
      <w:r>
        <w:t xml:space="preserve">LIWC</w:t>
      </w:r>
      <w:r>
        <w:t xml:space="preserve"> </w:t>
      </w:r>
      <w:r>
        <w:t xml:space="preserve">and</w:t>
      </w:r>
      <w:r>
        <w:t xml:space="preserve"> </w:t>
      </w:r>
      <w:r>
        <w:t xml:space="preserve">Computerized Text Analysis Methods</w:t>
      </w:r>
      <w:r>
        <w:t xml:space="preserve">.”</w:t>
      </w:r>
      <w:r>
        <w:t xml:space="preserve"> </w:t>
      </w:r>
      <w:r>
        <w:rPr>
          <w:i/>
          <w:iCs/>
        </w:rPr>
        <w:t xml:space="preserve">Journal of Language and Social Psychology</w:t>
      </w:r>
      <w:r>
        <w:t xml:space="preserve"> </w:t>
      </w:r>
      <w:r>
        <w:t xml:space="preserve">29 (1): 24–54.</w:t>
      </w:r>
      <w:r>
        <w:t xml:space="preserve"> </w:t>
      </w:r>
      <w:hyperlink r:id="rId171">
        <w:r>
          <w:rPr>
            <w:rStyle w:val="Hyperlink"/>
          </w:rPr>
          <w:t xml:space="preserve">https://doi.org/10.1177/0261927X09351676</w:t>
        </w:r>
      </w:hyperlink>
      <w:r>
        <w:t xml:space="preserve">.</w:t>
      </w:r>
    </w:p>
    <w:bookmarkEnd w:id="172"/>
    <w:bookmarkStart w:id="174" w:name="ref-vannicelliEffectSexBias1984"/>
    <w:p>
      <w:pPr>
        <w:pStyle w:val="Bibliography"/>
      </w:pPr>
      <w:r>
        <w:t xml:space="preserve">Vannicelli, Marsha, and Laurie Nash. 1984.</w:t>
      </w:r>
      <w:r>
        <w:t xml:space="preserve"> </w:t>
      </w:r>
      <w:r>
        <w:t xml:space="preserve">“Effect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 </w:t>
      </w:r>
      <w:r>
        <w:t xml:space="preserve">8 (3): 334–36.</w:t>
      </w:r>
      <w:r>
        <w:t xml:space="preserve"> </w:t>
      </w:r>
      <w:hyperlink r:id="rId173">
        <w:r>
          <w:rPr>
            <w:rStyle w:val="Hyperlink"/>
          </w:rPr>
          <w:t xml:space="preserve">https://doi.org/10.1111/j.1530-0277.1984.tb05523.x</w:t>
        </w:r>
      </w:hyperlink>
      <w:r>
        <w:t xml:space="preserve">.</w:t>
      </w:r>
    </w:p>
    <w:bookmarkEnd w:id="174"/>
    <w:bookmarkStart w:id="176" w:name="ref-veinotGoodIntentionsAre2018"/>
    <w:p>
      <w:pPr>
        <w:pStyle w:val="Bibliography"/>
      </w:pPr>
      <w:r>
        <w:t xml:space="preserve">Veinot, Tiffany C., Hannah Mitchell, and Jessica S. Ancker. 2018.</w:t>
      </w:r>
      <w:r>
        <w:t xml:space="preserve"> </w:t>
      </w:r>
      <w:r>
        <w:t xml:space="preserve">“Good Intentions Are Not Enough: How Informatics Interventions Can Worsen Inequality.”</w:t>
      </w:r>
      <w:r>
        <w:t xml:space="preserve"> </w:t>
      </w:r>
      <w:r>
        <w:rPr>
          <w:i/>
          <w:iCs/>
        </w:rPr>
        <w:t xml:space="preserve">Journal of the American Medical Informatics Association: JAMIA</w:t>
      </w:r>
      <w:r>
        <w:t xml:space="preserve"> </w:t>
      </w:r>
      <w:r>
        <w:t xml:space="preserve">25 (8): 1080–88.</w:t>
      </w:r>
      <w:r>
        <w:t xml:space="preserve"> </w:t>
      </w:r>
      <w:hyperlink r:id="rId175">
        <w:r>
          <w:rPr>
            <w:rStyle w:val="Hyperlink"/>
          </w:rPr>
          <w:t xml:space="preserve">https://doi.org/10.1093/jamia/ocy052</w:t>
        </w:r>
      </w:hyperlink>
      <w:r>
        <w:t xml:space="preserve">.</w:t>
      </w:r>
    </w:p>
    <w:bookmarkEnd w:id="176"/>
    <w:bookmarkStart w:id="178" w:name="ref-walitzerGenderDifferencesAlcohol2006"/>
    <w:p>
      <w:pPr>
        <w:pStyle w:val="Bibliography"/>
      </w:pPr>
      <w:r>
        <w:t xml:space="preserve">Walitzer, Kimberly S., and Ronda L. Dearing. 2006.</w:t>
      </w:r>
      <w:r>
        <w:t xml:space="preserve"> </w:t>
      </w:r>
      <w:r>
        <w:t xml:space="preserve">“Gender Differences in Alcohol and Substance Use Relapse.”</w:t>
      </w:r>
      <w:r>
        <w:t xml:space="preserve"> </w:t>
      </w:r>
      <w:r>
        <w:rPr>
          <w:i/>
          <w:iCs/>
        </w:rPr>
        <w:t xml:space="preserve">Clinical Psychology Review</w:t>
      </w:r>
      <w:r>
        <w:t xml:space="preserve"> </w:t>
      </w:r>
      <w:r>
        <w:t xml:space="preserve">26 (2): 128–48.</w:t>
      </w:r>
      <w:r>
        <w:t xml:space="preserve"> </w:t>
      </w:r>
      <w:hyperlink r:id="rId177">
        <w:r>
          <w:rPr>
            <w:rStyle w:val="Hyperlink"/>
          </w:rPr>
          <w:t xml:space="preserve">https://doi.org/10.1016/j.cpr.2005.11.003</w:t>
        </w:r>
      </w:hyperlink>
      <w:r>
        <w:t xml:space="preserve">.</w:t>
      </w:r>
    </w:p>
    <w:bookmarkEnd w:id="178"/>
    <w:bookmarkStart w:id="180"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79">
        <w:r>
          <w:rPr>
            <w:rStyle w:val="Hyperlink"/>
          </w:rPr>
          <w:t xml:space="preserve">https://doi.org/10.1016/j.jsat.2021.108417</w:t>
        </w:r>
      </w:hyperlink>
      <w:r>
        <w:t xml:space="preserve">.</w:t>
      </w:r>
    </w:p>
    <w:bookmarkEnd w:id="180"/>
    <w:bookmarkStart w:id="182" w:name="X2d30c84041d97351f676569bf3de3da0c8a9d6d"/>
    <w:p>
      <w:pPr>
        <w:pStyle w:val="Bibliography"/>
      </w:pPr>
      <w:r>
        <w:t xml:space="preserve">WHO ASSIST Working Group. 2002.</w:t>
      </w:r>
      <w:r>
        <w:t xml:space="preserve"> </w:t>
      </w:r>
      <w:r>
        <w:t xml:space="preserve">“</w:t>
      </w:r>
      <w:hyperlink r:id="rId181">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82"/>
    <w:bookmarkStart w:id="184"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83">
        <w:r>
          <w:rPr>
            <w:rStyle w:val="Hyperlink"/>
          </w:rPr>
          <w:t xml:space="preserve">https://doi.org/10.1037/0003-066X.59.4.224</w:t>
        </w:r>
      </w:hyperlink>
      <w:r>
        <w:t xml:space="preserve">.</w:t>
      </w:r>
    </w:p>
    <w:bookmarkEnd w:id="184"/>
    <w:bookmarkStart w:id="186"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85">
        <w:r>
          <w:rPr>
            <w:rStyle w:val="Hyperlink"/>
          </w:rPr>
          <w:t xml:space="preserve">https://doi.org/10.1016/j.cpr.2007.01.002</w:t>
        </w:r>
      </w:hyperlink>
      <w:r>
        <w:t xml:space="preserve">.</w:t>
      </w:r>
    </w:p>
    <w:bookmarkEnd w:id="186"/>
    <w:bookmarkStart w:id="188" w:name="X513fadbf866a4ddf9f29b63741ad369252b4800"/>
    <w:p>
      <w:pPr>
        <w:pStyle w:val="Bibliography"/>
      </w:pPr>
      <w:r>
        <w:t xml:space="preserve">Wright, Aidan G. C., Michael N. Hallquist, Stephanie D. Stepp, Lori N. Scott, Joseph E. Beeney, Sophie A. Lazarus, and Paul A. Pilkonis. 2016.</w:t>
      </w:r>
      <w:r>
        <w:t xml:space="preserve"> </w:t>
      </w:r>
      <w:r>
        <w:t xml:space="preserve">“Modeling</w:t>
      </w:r>
      <w:r>
        <w:t xml:space="preserve"> </w:t>
      </w:r>
      <w:r>
        <w:t xml:space="preserve">Heterogeneity</w:t>
      </w:r>
      <w:r>
        <w:t xml:space="preserve"> </w:t>
      </w:r>
      <w:r>
        <w:t xml:space="preserve">in</w:t>
      </w:r>
      <w:r>
        <w:t xml:space="preserve"> </w:t>
      </w:r>
      <w:r>
        <w:t xml:space="preserve">Momentary Interpersonal</w:t>
      </w:r>
      <w:r>
        <w:t xml:space="preserve"> </w:t>
      </w:r>
      <w:r>
        <w:t xml:space="preserve">and</w:t>
      </w:r>
      <w:r>
        <w:t xml:space="preserve"> </w:t>
      </w:r>
      <w:r>
        <w:t xml:space="preserve">Affective Dynamic Processes</w:t>
      </w:r>
      <w:r>
        <w:t xml:space="preserve"> </w:t>
      </w:r>
      <w:r>
        <w:t xml:space="preserve">in</w:t>
      </w:r>
      <w:r>
        <w:t xml:space="preserve"> </w:t>
      </w:r>
      <w:r>
        <w:t xml:space="preserve">Borderline Personality Disorder</w:t>
      </w:r>
      <w:r>
        <w:t xml:space="preserve">.”</w:t>
      </w:r>
      <w:r>
        <w:t xml:space="preserve"> </w:t>
      </w:r>
      <w:r>
        <w:rPr>
          <w:i/>
          <w:iCs/>
        </w:rPr>
        <w:t xml:space="preserve">Assessment</w:t>
      </w:r>
      <w:r>
        <w:t xml:space="preserve"> </w:t>
      </w:r>
      <w:r>
        <w:t xml:space="preserve">23 (4): 484–95.</w:t>
      </w:r>
      <w:r>
        <w:t xml:space="preserve"> </w:t>
      </w:r>
      <w:hyperlink r:id="rId187">
        <w:r>
          <w:rPr>
            <w:rStyle w:val="Hyperlink"/>
          </w:rPr>
          <w:t xml:space="preserve">https://doi.org/10.1177/1073191116653829</w:t>
        </w:r>
      </w:hyperlink>
      <w:r>
        <w:t xml:space="preserve">.</w:t>
      </w:r>
    </w:p>
    <w:bookmarkEnd w:id="188"/>
    <w:bookmarkStart w:id="190"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89">
        <w:r>
          <w:rPr>
            <w:rStyle w:val="Hyperlink"/>
          </w:rPr>
          <w:t xml:space="preserve">https://doi.org/10.2196/41833</w:t>
        </w:r>
      </w:hyperlink>
      <w:r>
        <w:t xml:space="preserve">.</w:t>
      </w:r>
    </w:p>
    <w:bookmarkEnd w:id="190"/>
    <w:bookmarkStart w:id="191" w:name="X0f0fab553d46f8852e582400eb2e6c745146f48"/>
    <w:p>
      <w:pPr>
        <w:pStyle w:val="Bibliography"/>
      </w:pPr>
      <w:r>
        <w:t xml:space="preserve">Wyant, Kendra, Sarah J. Sant’Ana, Claire E. Punturieri, Jiachen Yu, Gaylen E. Fronk, C. Michael Maggard, Christopher Janssen, et al. under review.</w:t>
      </w:r>
      <w:r>
        <w:t xml:space="preserve"> </w:t>
      </w:r>
      <w:r>
        <w:t xml:space="preserve">“Maximizing Engagement, Trust, and Clinical Benefit of</w:t>
      </w:r>
      <w:r>
        <w:t xml:space="preserve"> </w:t>
      </w:r>
      <w:r>
        <w:t xml:space="preserve">AI-generated</w:t>
      </w:r>
      <w:r>
        <w:t xml:space="preserve"> </w:t>
      </w:r>
      <w:r>
        <w:t xml:space="preserve">Recovery Monitoring and Support Messages for Alcohol Use Disorder:</w:t>
      </w:r>
      <w:r>
        <w:t xml:space="preserve"> </w:t>
      </w:r>
      <w:r>
        <w:t xml:space="preserve">Protocol</w:t>
      </w:r>
      <w:r>
        <w:t xml:space="preserve"> </w:t>
      </w:r>
      <w:r>
        <w:t xml:space="preserve">for an Optimization Study,”</w:t>
      </w:r>
      <w:r>
        <w:t xml:space="preserve"> </w:t>
      </w:r>
      <w:r>
        <w:t xml:space="preserve">under review.</w:t>
      </w:r>
    </w:p>
    <w:bookmarkEnd w:id="191"/>
    <w:bookmarkStart w:id="193"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92">
        <w:r>
          <w:rPr>
            <w:rStyle w:val="Hyperlink"/>
          </w:rPr>
          <w:t xml:space="preserve">https://doi.org/10.31234/osf.io/cgsf7</w:t>
        </w:r>
      </w:hyperlink>
      <w:r>
        <w:t xml:space="preserve">.</w:t>
      </w:r>
    </w:p>
    <w:bookmarkEnd w:id="193"/>
    <w:bookmarkStart w:id="195" w:name="ref-zikmund-fisherRightToolWhat2013"/>
    <w:p>
      <w:pPr>
        <w:pStyle w:val="Bibliography"/>
      </w:pPr>
      <w:r>
        <w:t xml:space="preserve">Zikmund-Fisher, Brian J. 2013.</w:t>
      </w:r>
      <w:r>
        <w:t xml:space="preserve"> </w:t>
      </w:r>
      <w:r>
        <w:t xml:space="preserve">“The Right Tool Is What They Need, Not What We Have: A Taxonomy of Appropriate Levels of Precision in Patient Risk Communication.”</w:t>
      </w:r>
      <w:r>
        <w:t xml:space="preserve"> </w:t>
      </w:r>
      <w:r>
        <w:rPr>
          <w:i/>
          <w:iCs/>
        </w:rPr>
        <w:t xml:space="preserve">Medical Care Research and Review: MCRR</w:t>
      </w:r>
      <w:r>
        <w:t xml:space="preserve"> </w:t>
      </w:r>
      <w:r>
        <w:t xml:space="preserve">70 (1 Suppl): 37S–49S.</w:t>
      </w:r>
      <w:r>
        <w:t xml:space="preserve"> </w:t>
      </w:r>
      <w:hyperlink r:id="rId194">
        <w:r>
          <w:rPr>
            <w:rStyle w:val="Hyperlink"/>
          </w:rPr>
          <w:t xml:space="preserve">https://doi.org/10.1177/1077558712458541</w:t>
        </w:r>
      </w:hyperlink>
      <w:r>
        <w:t xml:space="preserve">.</w:t>
      </w:r>
    </w:p>
    <w:bookmarkEnd w:id="195"/>
    <w:bookmarkStart w:id="197" w:name="X13b53253f4b8775a58215d7e1d3c0adbd73e844"/>
    <w:p>
      <w:pPr>
        <w:pStyle w:val="Bibliography"/>
      </w:pPr>
      <w:r>
        <w:t xml:space="preserve">Zipkin, Daniella A., Craig A. Umscheid, Nancy L. Keating, Elizabeth Allen, KoKo Aung, Rebecca Beyth, Scott Kaatz, et al. 2014.</w:t>
      </w:r>
      <w:r>
        <w:t xml:space="preserve"> </w:t>
      </w:r>
      <w:r>
        <w:t xml:space="preserve">“Evidence-Based Risk Communication: A Systematic Review.”</w:t>
      </w:r>
      <w:r>
        <w:t xml:space="preserve"> </w:t>
      </w:r>
      <w:r>
        <w:rPr>
          <w:i/>
          <w:iCs/>
        </w:rPr>
        <w:t xml:space="preserve">Annals of Internal Medicine</w:t>
      </w:r>
      <w:r>
        <w:t xml:space="preserve"> </w:t>
      </w:r>
      <w:r>
        <w:t xml:space="preserve">161 (4): 270–80.</w:t>
      </w:r>
      <w:r>
        <w:t xml:space="preserve"> </w:t>
      </w:r>
      <w:hyperlink r:id="rId196">
        <w:r>
          <w:rPr>
            <w:rStyle w:val="Hyperlink"/>
          </w:rPr>
          <w:t xml:space="preserve">https://doi.org/10.7326/M14-0295</w:t>
        </w:r>
      </w:hyperlink>
      <w:r>
        <w:t xml:space="preserve">.</w:t>
      </w:r>
    </w:p>
    <w:bookmarkEnd w:id="197"/>
    <w:bookmarkEnd w:id="198"/>
    <w:bookmarkEnd w:id="1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67" Target="media/rId67.png"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hyperlink" Id="rId142" Target="https://doi.org/10.1001/jama.284.13.1689" TargetMode="External" /><Relationship Type="http://schemas.openxmlformats.org/officeDocument/2006/relationships/hyperlink" Id="rId122" Target="https://doi.org/10.1001/jamanetworkopen.2020.5852" TargetMode="External" /><Relationship Type="http://schemas.openxmlformats.org/officeDocument/2006/relationships/hyperlink" Id="rId127" Target="https://doi.org/10.1007/978-1-4614-6849-3" TargetMode="External" /><Relationship Type="http://schemas.openxmlformats.org/officeDocument/2006/relationships/hyperlink" Id="rId88" Target="https://doi.org/10.1007/s10488-016-0718-5" TargetMode="External" /><Relationship Type="http://schemas.openxmlformats.org/officeDocument/2006/relationships/hyperlink" Id="rId98" Target="https://doi.org/10.1007/s10862-017-9632-8" TargetMode="External" /><Relationship Type="http://schemas.openxmlformats.org/officeDocument/2006/relationships/hyperlink" Id="rId124" Target="https://doi.org/10.1007/s11920-012-0296-5" TargetMode="External" /><Relationship Type="http://schemas.openxmlformats.org/officeDocument/2006/relationships/hyperlink" Id="rId158" Target="https://doi.org/10.1016/0740-5472(94)00080-b" TargetMode="External" /><Relationship Type="http://schemas.openxmlformats.org/officeDocument/2006/relationships/hyperlink" Id="rId130" Target="https://doi.org/10.1016/j.amepre.2022.08.022" TargetMode="External" /><Relationship Type="http://schemas.openxmlformats.org/officeDocument/2006/relationships/hyperlink" Id="rId103" Target="https://doi.org/10.1016/j.brat.2019.103506" TargetMode="External" /><Relationship Type="http://schemas.openxmlformats.org/officeDocument/2006/relationships/hyperlink" Id="rId177" Target="https://doi.org/10.1016/j.cpr.2005.11.003" TargetMode="External" /><Relationship Type="http://schemas.openxmlformats.org/officeDocument/2006/relationships/hyperlink" Id="rId185" Target="https://doi.org/10.1016/j.cpr.2007.01.002" TargetMode="External" /><Relationship Type="http://schemas.openxmlformats.org/officeDocument/2006/relationships/hyperlink" Id="rId140" Target="https://doi.org/10.1016/j.cpr.2017.10.012" TargetMode="External" /><Relationship Type="http://schemas.openxmlformats.org/officeDocument/2006/relationships/hyperlink" Id="rId115" Target="https://doi.org/10.1016/j.drugalcdep.2006.05.012" TargetMode="External" /><Relationship Type="http://schemas.openxmlformats.org/officeDocument/2006/relationships/hyperlink" Id="rId153" Target="https://doi.org/10.1016/j.drugalcdep.2019.05.017" TargetMode="External" /><Relationship Type="http://schemas.openxmlformats.org/officeDocument/2006/relationships/hyperlink" Id="rId144" Target="https://doi.org/10.1016/j.drugalcdep.2021.108706" TargetMode="External" /><Relationship Type="http://schemas.openxmlformats.org/officeDocument/2006/relationships/hyperlink" Id="rId179" Target="https://doi.org/10.1016/j.jsat.2021.108417" TargetMode="External" /><Relationship Type="http://schemas.openxmlformats.org/officeDocument/2006/relationships/hyperlink" Id="rId151" Target="https://doi.org/10.1016/j.jsat.2021.108710" TargetMode="External" /><Relationship Type="http://schemas.openxmlformats.org/officeDocument/2006/relationships/hyperlink" Id="rId138" Target="https://doi.org/10.1016/j.psc.2010.04.012" TargetMode="External" /><Relationship Type="http://schemas.openxmlformats.org/officeDocument/2006/relationships/hyperlink" Id="rId183" Target="https://doi.org/10.1037/0003-066X.59.4.224" TargetMode="External" /><Relationship Type="http://schemas.openxmlformats.org/officeDocument/2006/relationships/hyperlink" Id="rId165" Target="https://doi.org/10.1037/adb0000666" TargetMode="External" /><Relationship Type="http://schemas.openxmlformats.org/officeDocument/2006/relationships/hyperlink" Id="rId109" Target="https://doi.org/10.1037/ccp0000026" TargetMode="External" /><Relationship Type="http://schemas.openxmlformats.org/officeDocument/2006/relationships/hyperlink" Id="rId133" Target="https://doi.org/10.1080/00952990.2019.1694536" TargetMode="External" /><Relationship Type="http://schemas.openxmlformats.org/officeDocument/2006/relationships/hyperlink" Id="rId175" Target="https://doi.org/10.1093/jamia/ocy052" TargetMode="External" /><Relationship Type="http://schemas.openxmlformats.org/officeDocument/2006/relationships/hyperlink" Id="rId163" Target="https://doi.org/10.1111/add.13479" TargetMode="External" /><Relationship Type="http://schemas.openxmlformats.org/officeDocument/2006/relationships/hyperlink" Id="rId173" Target="https://doi.org/10.1111/j.1530-0277.1984.tb05523.x" TargetMode="External" /><Relationship Type="http://schemas.openxmlformats.org/officeDocument/2006/relationships/hyperlink" Id="rId146" Target="https://doi.org/10.1146/annurev-clinpsy-032816-044949" TargetMode="External" /><Relationship Type="http://schemas.openxmlformats.org/officeDocument/2006/relationships/hyperlink" Id="rId111" Target="https://doi.org/10.1146/annurev-clinpsy-102419-125016" TargetMode="External" /><Relationship Type="http://schemas.openxmlformats.org/officeDocument/2006/relationships/hyperlink" Id="rId92" Target="https://doi.org/10.1146/annurev.clinpsy.3.022806.091455" TargetMode="External" /><Relationship Type="http://schemas.openxmlformats.org/officeDocument/2006/relationships/hyperlink" Id="rId171" Target="https://doi.org/10.1177/0261927X09351676" TargetMode="External" /><Relationship Type="http://schemas.openxmlformats.org/officeDocument/2006/relationships/hyperlink" Id="rId160" Target="https://doi.org/10.1177/1073191114540320" TargetMode="External" /><Relationship Type="http://schemas.openxmlformats.org/officeDocument/2006/relationships/hyperlink" Id="rId187" Target="https://doi.org/10.1177/1073191116653829" TargetMode="External" /><Relationship Type="http://schemas.openxmlformats.org/officeDocument/2006/relationships/hyperlink" Id="rId194" Target="https://doi.org/10.1177/1077558712458541" TargetMode="External" /><Relationship Type="http://schemas.openxmlformats.org/officeDocument/2006/relationships/hyperlink" Id="rId167" Target="https://doi.org/10.1177/1178221820976988" TargetMode="External" /><Relationship Type="http://schemas.openxmlformats.org/officeDocument/2006/relationships/hyperlink" Id="rId94" Target="https://doi.org/10.21231/GNT1-HW21" TargetMode="External" /><Relationship Type="http://schemas.openxmlformats.org/officeDocument/2006/relationships/hyperlink" Id="rId149" Target="https://doi.org/10.2196/29563" TargetMode="External" /><Relationship Type="http://schemas.openxmlformats.org/officeDocument/2006/relationships/hyperlink" Id="rId189" Target="https://doi.org/10.2196/41833" TargetMode="External" /><Relationship Type="http://schemas.openxmlformats.org/officeDocument/2006/relationships/hyperlink" Id="rId156" Target="https://doi.org/10.2196/73265" TargetMode="External" /><Relationship Type="http://schemas.openxmlformats.org/officeDocument/2006/relationships/hyperlink" Id="rId192" Target="https://doi.org/10.31234/osf.io/cgsf7" TargetMode="External" /><Relationship Type="http://schemas.openxmlformats.org/officeDocument/2006/relationships/hyperlink" Id="rId105" Target="https://doi.org/10.48550/arXiv.1810.04805" TargetMode="External" /><Relationship Type="http://schemas.openxmlformats.org/officeDocument/2006/relationships/hyperlink" Id="rId107" Target="https://doi.org/10.5555/ajhb.2007.31.supp.S47" TargetMode="External" /><Relationship Type="http://schemas.openxmlformats.org/officeDocument/2006/relationships/hyperlink" Id="rId196" Target="https://doi.org/10.7326/M14-0295" TargetMode="External" /><Relationship Type="http://schemas.openxmlformats.org/officeDocument/2006/relationships/hyperlink" Id="rId120"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100" Target="https://www.ncbi.nlm.nih.gov/pmc/articles/PMC2797101" TargetMode="External" /><Relationship Type="http://schemas.openxmlformats.org/officeDocument/2006/relationships/hyperlink" Id="rId181"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42" Target="https://doi.org/10.1001/jama.284.13.1689" TargetMode="External" /><Relationship Type="http://schemas.openxmlformats.org/officeDocument/2006/relationships/hyperlink" Id="rId122" Target="https://doi.org/10.1001/jamanetworkopen.2020.5852" TargetMode="External" /><Relationship Type="http://schemas.openxmlformats.org/officeDocument/2006/relationships/hyperlink" Id="rId127" Target="https://doi.org/10.1007/978-1-4614-6849-3" TargetMode="External" /><Relationship Type="http://schemas.openxmlformats.org/officeDocument/2006/relationships/hyperlink" Id="rId88" Target="https://doi.org/10.1007/s10488-016-0718-5" TargetMode="External" /><Relationship Type="http://schemas.openxmlformats.org/officeDocument/2006/relationships/hyperlink" Id="rId98" Target="https://doi.org/10.1007/s10862-017-9632-8" TargetMode="External" /><Relationship Type="http://schemas.openxmlformats.org/officeDocument/2006/relationships/hyperlink" Id="rId124" Target="https://doi.org/10.1007/s11920-012-0296-5" TargetMode="External" /><Relationship Type="http://schemas.openxmlformats.org/officeDocument/2006/relationships/hyperlink" Id="rId158" Target="https://doi.org/10.1016/0740-5472(94)00080-b" TargetMode="External" /><Relationship Type="http://schemas.openxmlformats.org/officeDocument/2006/relationships/hyperlink" Id="rId130" Target="https://doi.org/10.1016/j.amepre.2022.08.022" TargetMode="External" /><Relationship Type="http://schemas.openxmlformats.org/officeDocument/2006/relationships/hyperlink" Id="rId103" Target="https://doi.org/10.1016/j.brat.2019.103506" TargetMode="External" /><Relationship Type="http://schemas.openxmlformats.org/officeDocument/2006/relationships/hyperlink" Id="rId177" Target="https://doi.org/10.1016/j.cpr.2005.11.003" TargetMode="External" /><Relationship Type="http://schemas.openxmlformats.org/officeDocument/2006/relationships/hyperlink" Id="rId185" Target="https://doi.org/10.1016/j.cpr.2007.01.002" TargetMode="External" /><Relationship Type="http://schemas.openxmlformats.org/officeDocument/2006/relationships/hyperlink" Id="rId140" Target="https://doi.org/10.1016/j.cpr.2017.10.012" TargetMode="External" /><Relationship Type="http://schemas.openxmlformats.org/officeDocument/2006/relationships/hyperlink" Id="rId115" Target="https://doi.org/10.1016/j.drugalcdep.2006.05.012" TargetMode="External" /><Relationship Type="http://schemas.openxmlformats.org/officeDocument/2006/relationships/hyperlink" Id="rId153" Target="https://doi.org/10.1016/j.drugalcdep.2019.05.017" TargetMode="External" /><Relationship Type="http://schemas.openxmlformats.org/officeDocument/2006/relationships/hyperlink" Id="rId144" Target="https://doi.org/10.1016/j.drugalcdep.2021.108706" TargetMode="External" /><Relationship Type="http://schemas.openxmlformats.org/officeDocument/2006/relationships/hyperlink" Id="rId179" Target="https://doi.org/10.1016/j.jsat.2021.108417" TargetMode="External" /><Relationship Type="http://schemas.openxmlformats.org/officeDocument/2006/relationships/hyperlink" Id="rId151" Target="https://doi.org/10.1016/j.jsat.2021.108710" TargetMode="External" /><Relationship Type="http://schemas.openxmlformats.org/officeDocument/2006/relationships/hyperlink" Id="rId138" Target="https://doi.org/10.1016/j.psc.2010.04.012" TargetMode="External" /><Relationship Type="http://schemas.openxmlformats.org/officeDocument/2006/relationships/hyperlink" Id="rId183" Target="https://doi.org/10.1037/0003-066X.59.4.224" TargetMode="External" /><Relationship Type="http://schemas.openxmlformats.org/officeDocument/2006/relationships/hyperlink" Id="rId165" Target="https://doi.org/10.1037/adb0000666" TargetMode="External" /><Relationship Type="http://schemas.openxmlformats.org/officeDocument/2006/relationships/hyperlink" Id="rId109" Target="https://doi.org/10.1037/ccp0000026" TargetMode="External" /><Relationship Type="http://schemas.openxmlformats.org/officeDocument/2006/relationships/hyperlink" Id="rId133" Target="https://doi.org/10.1080/00952990.2019.1694536" TargetMode="External" /><Relationship Type="http://schemas.openxmlformats.org/officeDocument/2006/relationships/hyperlink" Id="rId175" Target="https://doi.org/10.1093/jamia/ocy052" TargetMode="External" /><Relationship Type="http://schemas.openxmlformats.org/officeDocument/2006/relationships/hyperlink" Id="rId163" Target="https://doi.org/10.1111/add.13479" TargetMode="External" /><Relationship Type="http://schemas.openxmlformats.org/officeDocument/2006/relationships/hyperlink" Id="rId173" Target="https://doi.org/10.1111/j.1530-0277.1984.tb05523.x" TargetMode="External" /><Relationship Type="http://schemas.openxmlformats.org/officeDocument/2006/relationships/hyperlink" Id="rId146" Target="https://doi.org/10.1146/annurev-clinpsy-032816-044949" TargetMode="External" /><Relationship Type="http://schemas.openxmlformats.org/officeDocument/2006/relationships/hyperlink" Id="rId111" Target="https://doi.org/10.1146/annurev-clinpsy-102419-125016" TargetMode="External" /><Relationship Type="http://schemas.openxmlformats.org/officeDocument/2006/relationships/hyperlink" Id="rId92" Target="https://doi.org/10.1146/annurev.clinpsy.3.022806.091455" TargetMode="External" /><Relationship Type="http://schemas.openxmlformats.org/officeDocument/2006/relationships/hyperlink" Id="rId171" Target="https://doi.org/10.1177/0261927X09351676" TargetMode="External" /><Relationship Type="http://schemas.openxmlformats.org/officeDocument/2006/relationships/hyperlink" Id="rId160" Target="https://doi.org/10.1177/1073191114540320" TargetMode="External" /><Relationship Type="http://schemas.openxmlformats.org/officeDocument/2006/relationships/hyperlink" Id="rId187" Target="https://doi.org/10.1177/1073191116653829" TargetMode="External" /><Relationship Type="http://schemas.openxmlformats.org/officeDocument/2006/relationships/hyperlink" Id="rId194" Target="https://doi.org/10.1177/1077558712458541" TargetMode="External" /><Relationship Type="http://schemas.openxmlformats.org/officeDocument/2006/relationships/hyperlink" Id="rId167" Target="https://doi.org/10.1177/1178221820976988" TargetMode="External" /><Relationship Type="http://schemas.openxmlformats.org/officeDocument/2006/relationships/hyperlink" Id="rId94" Target="https://doi.org/10.21231/GNT1-HW21" TargetMode="External" /><Relationship Type="http://schemas.openxmlformats.org/officeDocument/2006/relationships/hyperlink" Id="rId149" Target="https://doi.org/10.2196/29563" TargetMode="External" /><Relationship Type="http://schemas.openxmlformats.org/officeDocument/2006/relationships/hyperlink" Id="rId189" Target="https://doi.org/10.2196/41833" TargetMode="External" /><Relationship Type="http://schemas.openxmlformats.org/officeDocument/2006/relationships/hyperlink" Id="rId156" Target="https://doi.org/10.2196/73265" TargetMode="External" /><Relationship Type="http://schemas.openxmlformats.org/officeDocument/2006/relationships/hyperlink" Id="rId192" Target="https://doi.org/10.31234/osf.io/cgsf7" TargetMode="External" /><Relationship Type="http://schemas.openxmlformats.org/officeDocument/2006/relationships/hyperlink" Id="rId105" Target="https://doi.org/10.48550/arXiv.1810.04805" TargetMode="External" /><Relationship Type="http://schemas.openxmlformats.org/officeDocument/2006/relationships/hyperlink" Id="rId107" Target="https://doi.org/10.5555/ajhb.2007.31.supp.S47" TargetMode="External" /><Relationship Type="http://schemas.openxmlformats.org/officeDocument/2006/relationships/hyperlink" Id="rId196" Target="https://doi.org/10.7326/M14-0295" TargetMode="External" /><Relationship Type="http://schemas.openxmlformats.org/officeDocument/2006/relationships/hyperlink" Id="rId120"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100" Target="https://www.ncbi.nlm.nih.gov/pmc/articles/PMC2797101" TargetMode="External" /><Relationship Type="http://schemas.openxmlformats.org/officeDocument/2006/relationships/hyperlink" Id="rId181"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Risk of Alcohol Lapse up to Two Weeks in Advance using Time-lagged Machine Learning Models</dc:title>
  <dc:creator>Kendra Wyant; Gaylen E. Fronk; Jiachen Yu; John J. Curtin</dc:creator>
  <cp:keywords>Substance use disorders, Precision mental health</cp:keywords>
  <dcterms:created xsi:type="dcterms:W3CDTF">2025-08-08T18:41:53Z</dcterms:created>
  <dcterms:modified xsi:type="dcterms:W3CDTF">2025-08-08T18:41:53Z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Still,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2025-08-08</vt:lpwstr>
  </property>
  <property fmtid="{D5CDD505-2E9C-101B-9397-08002B2CF9AE}" pid="12" name="editor_options">
    <vt:lpwstr/>
  </property>
  <property fmtid="{D5CDD505-2E9C-101B-9397-08002B2CF9AE}" pid="13" name="financial-support">
    <vt:lpwstr>This research was supported by grants from the National Institute on Alcohol Abuse and Alcoholism (NIAAA; R01 AA024391 to John J. Curtin) and the National Institute on Drug Abuse (NIDA; R01 DA047315 to John J. Curtin).</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