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2025-06-11</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(Bae et al. 2018; 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provide histograms of the raw predicted probability distributions for each model in the supplement. We calibrated our raw probabilities using three candidate calibration methods: isotonic, logistic, and beta calibration. We calculated brier scores to assess the accuracy of our raw and calibrated probabilities for the no lag and 2-week lag models. Brier scores range from 0 (perfect accuracy) to 1 (perfect inaccuracy). We selected the optimal calibration method by choosing the method that had the lowest brier score (i.e., lowest error) when averaged across the two models. We provide calibration plots for the no lag and 2-week lag models (calibration plots for all five models are available in the supplement).</w:t>
      </w:r>
    </w:p>
    <w:bookmarkEnd w:id="47"/>
    <w:bookmarkStart w:id="48" w:name="feature-importance"/>
    <w:p>
      <w:pPr>
        <w:pStyle w:val="Heading4"/>
      </w:pPr>
      <w:r>
        <w:t xml:space="preserve">Feature Importance</w:t>
      </w:r>
    </w:p>
    <w:p>
      <w:pPr>
        <w:pStyle w:val="FirstParagraph"/>
      </w:pPr>
      <w:r>
        <w:t xml:space="preserve">We used the same single 5-fold cross-validation procedure to calculate Shapley values in log-odds units for binary classification models. Shapley values provide a description of the importance of categories of features across our five models</w:t>
      </w:r>
      <w:r>
        <w:t xml:space="preserve"> </w:t>
      </w:r>
      <w:r>
        <w:t xml:space="preserve">(Lundberg and Lee 2017)</w:t>
      </w:r>
      <w:r>
        <w:t xml:space="preserve">. An inherent property of Shapley values is their additivity, allowing us to combine features into feature categories. We created separate feature categories for each of the EMA questions, and the rate of past alcohol use. EMA items that asked about future and past separately were combined into a single category (e.g., past risky situations and future risky situations become past/future risky situations). Valence and arousal features were also combined into a single feature category. This gave us a total of 7 feature categories from 10 EMA questions.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w:t>
      </w:r>
    </w:p>
    <w:bookmarkEnd w:id="48"/>
    <w:bookmarkEnd w:id="49"/>
    <w:bookmarkEnd w:id="50"/>
    <w:bookmarkEnd w:id="51"/>
    <w:bookmarkStart w:id="164"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4572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0.021</w:t>
                  </w:r>
                </w:p>
              </w:tc>
              <w:tc>
                <w:tcPr/>
                <w:p>
                  <w:pPr>
                    <w:pStyle w:val="Compact"/>
                    <w:jc w:val="left"/>
                    <w:jc w:val="center"/>
                  </w:pPr>
                  <w:r>
                    <w:t xml:space="preserve">[0.017, 0.026]</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w:t>
                  </w:r>
                </w:p>
              </w:tc>
              <w:tc>
                <w:tcPr/>
                <w:p>
                  <w:pPr>
                    <w:pStyle w:val="Compact"/>
                    <w:jc w:val="left"/>
                    <w:jc w:val="center"/>
                  </w:pPr>
                  <w:r>
                    <w:t xml:space="preserve">[0.025, 0.035]</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[0.037, 0.049]</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[0.056, 0.07]</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0.009</w:t>
                  </w:r>
                </w:p>
              </w:tc>
              <w:tc>
                <w:tcPr/>
                <w:p>
                  <w:pPr>
                    <w:pStyle w:val="Compact"/>
                    <w:jc w:val="left"/>
                    <w:jc w:val="center"/>
                  </w:pPr>
                  <w:r>
                    <w:t xml:space="preserve">[0.005, 0.014]</w:t>
                  </w:r>
                </w:p>
              </w:tc>
              <w:tc>
                <w:tcPr/>
                <w:p>
                  <w:pPr>
                    <w:pStyle w:val="Compact"/>
                    <w:jc w:val="left"/>
                    <w:jc w:val="center"/>
                  </w:pPr>
                  <w:r>
                    <w:t xml:space="preserve">1</w:t>
                  </w:r>
                </w:p>
              </w:tc>
            </w:tr>
            <w:tr>
              <w:tc>
                <w:tcPr/>
                <w:p>
                  <w:pPr>
                    <w:pStyle w:val="Compact"/>
                    <w:jc w:val="left"/>
                    <w:jc w:val="center"/>
                  </w:pPr>
                  <w:r>
                    <w:t xml:space="preserve">3 days vs. 1 week</w:t>
                  </w:r>
                </w:p>
              </w:tc>
              <w:tc>
                <w:tcPr/>
                <w:p>
                  <w:pPr>
                    <w:pStyle w:val="Compact"/>
                    <w:jc w:val="left"/>
                    <w:jc w:val="center"/>
                  </w:pPr>
                  <w:r>
                    <w:t xml:space="preserve">0.012</w:t>
                  </w:r>
                </w:p>
              </w:tc>
              <w:tc>
                <w:tcPr/>
                <w:p>
                  <w:pPr>
                    <w:pStyle w:val="Compact"/>
                    <w:jc w:val="left"/>
                    <w:jc w:val="center"/>
                  </w:pPr>
                  <w:r>
                    <w:t xml:space="preserve">[0.008, 0.017]</w:t>
                  </w:r>
                </w:p>
              </w:tc>
              <w:tc>
                <w:tcPr/>
                <w:p>
                  <w:pPr>
                    <w:pStyle w:val="Compact"/>
                    <w:jc w:val="left"/>
                    <w:jc w:val="center"/>
                  </w:pPr>
                  <w:r>
                    <w:t xml:space="preserve">1</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[0.015, 0.026]</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 There was strong evidence (probabilities &gt; .81) that our models performed better for the advantaged groups compared to the non-advantaged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 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0.043</w:t>
                  </w:r>
                </w:p>
              </w:tc>
              <w:tc>
                <w:tcPr/>
                <w:p>
                  <w:pPr>
                    <w:pStyle w:val="Compact"/>
                    <w:jc w:val="left"/>
                    <w:jc w:val="center"/>
                  </w:pPr>
                  <w:r>
                    <w:t xml:space="preserve">[0.028, 0.059]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0.131</w:t>
                  </w:r>
                </w:p>
              </w:tc>
              <w:tc>
                <w:tcPr/>
                <w:p>
                  <w:pPr>
                    <w:pStyle w:val="Compact"/>
                    <w:jc w:val="left"/>
                    <w:jc w:val="center"/>
                  </w:pPr>
                  <w:r>
                    <w:t xml:space="preserve">[0.057, 0.222]</w:t>
                  </w:r>
                </w:p>
              </w:tc>
              <w:tc>
                <w:tcPr/>
                <w:p>
                  <w:pPr>
                    <w:pStyle w:val="Compact"/>
                    <w:jc w:val="left"/>
                    <w:jc w:val="center"/>
                  </w:pPr>
                  <w:r>
                    <w:t xml:space="preserve">0.999</w:t>
                  </w:r>
                </w:p>
              </w:tc>
            </w:tr>
            <w:tr>
              <w:tc>
                <w:tcPr/>
                <w:p>
                  <w:pPr>
                    <w:pStyle w:val="Compact"/>
                    <w:jc w:val="left"/>
                    <w:jc w:val="center"/>
                  </w:pPr>
                  <w:r>
                    <w:t xml:space="preserve">above poverty vs. below poverty</w:t>
                  </w:r>
                </w:p>
              </w:tc>
              <w:tc>
                <w:tcPr/>
                <w:p>
                  <w:pPr>
                    <w:pStyle w:val="Compact"/>
                    <w:jc w:val="left"/>
                    <w:jc w:val="center"/>
                  </w:pPr>
                  <w:r>
                    <w:t xml:space="preserve">0.012</w:t>
                  </w:r>
                </w:p>
              </w:tc>
              <w:tc>
                <w:tcPr/>
                <w:p>
                  <w:pPr>
                    <w:pStyle w:val="Compact"/>
                    <w:jc w:val="left"/>
                    <w:jc w:val="center"/>
                  </w:pPr>
                  <w:r>
                    <w:t xml:space="preserve">[-0.007, 0.033]</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[0.073, 0.125]</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w:t>
                  </w:r>
                </w:p>
              </w:tc>
              <w:tc>
                <w:tcPr/>
                <w:p>
                  <w:pPr>
                    <w:pStyle w:val="Compact"/>
                    <w:jc w:val="left"/>
                    <w:jc w:val="center"/>
                  </w:pPr>
                  <w:r>
                    <w:t xml:space="preserve">[0.058, 0.208]</w:t>
                  </w:r>
                </w:p>
              </w:tc>
              <w:tc>
                <w:tcPr/>
                <w:p>
                  <w:pPr>
                    <w:pStyle w:val="Compact"/>
                    <w:jc w:val="left"/>
                    <w:jc w:val="center"/>
                  </w:pPr>
                  <w:r>
                    <w:t xml:space="preserve">0.998</w:t>
                  </w:r>
                </w:p>
              </w:tc>
            </w:tr>
            <w:tr>
              <w:tc>
                <w:tcPr/>
                <w:p>
                  <w:pPr>
                    <w:pStyle w:val="Compact"/>
                    <w:jc w:val="left"/>
                    <w:jc w:val="center"/>
                  </w:pPr>
                  <w:r>
                    <w:t xml:space="preserve">above poverty vs. below poverty</w:t>
                  </w:r>
                </w:p>
              </w:tc>
              <w:tc>
                <w:tcPr/>
                <w:p>
                  <w:pPr>
                    <w:pStyle w:val="Compact"/>
                    <w:jc w:val="left"/>
                    <w:jc w:val="center"/>
                  </w:pPr>
                  <w:r>
                    <w:t xml:space="preserve">0.039</w:t>
                  </w:r>
                </w:p>
              </w:tc>
              <w:tc>
                <w:tcPr/>
                <w:p>
                  <w:pPr>
                    <w:pStyle w:val="Compact"/>
                    <w:jc w:val="left"/>
                    <w:jc w:val="center"/>
                  </w:pPr>
                  <w:r>
                    <w:t xml:space="preserve">[0.008, 0.073]</w:t>
                  </w:r>
                </w:p>
              </w:tc>
              <w:tc>
                <w:tcPr/>
                <w:p>
                  <w:pPr>
                    <w:pStyle w:val="Compact"/>
                    <w:jc w:val="left"/>
                    <w:jc w:val="center"/>
                  </w:pPr>
                  <w:r>
                    <w:t xml:space="preserve">0.98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Brier scores for the no lag model (.071) and the 2-week lag model (.077) were roughly equivalent to the base rate of lapses (.076). The base rate of positive cases (i.e., lapses) can be used as a benchmark, as it is what we would expect a brier score to be for a model that predicted the same probability for all observations. However, our models did produce variation in predicted probabilities, with probabilities spanning nearly the entire 0 - 1 range. Histograms of the raw predicted probabilities for all 5 models are available in the supplement.</w:t>
      </w:r>
    </w:p>
    <w:p>
      <w:pPr>
        <w:pStyle w:val="BodyText"/>
      </w:pPr>
      <w:r>
        <w:t xml:space="preserve">Beta-calibration was selected as the best calibration method (i.e., it had the lowest average brier score across the no lag and 2-week lag models). Brier scores for the no lag model (.043) and the 2-week model (.061) indicated improved calibration with the beta transformation. Notably, there was a 40% reduction in error for no lag beta-calibrated probabilities compared to the no lag raw probabilities (there was a corresponding 21% reduction in error for the 2-week lag model).</w:t>
      </w:r>
      <w:r>
        <w:t xml:space="preserve"> </w:t>
      </w:r>
      <w:hyperlink w:anchor="fig-cal">
        <w:r>
          <w:rPr>
            <w:rStyle w:val="Hyperlink"/>
          </w:rPr>
          <w:t xml:space="preserve">Figure 3</w:t>
        </w:r>
      </w:hyperlink>
      <w:r>
        <w:t xml:space="preserve"> </w:t>
      </w:r>
      <w:r>
        <w:t xml:space="preserve">shows the calibration plots for beta-calibrated probabilities for the no lag and 2-week lag model. Calibration plots for both raw and beta-calibrated probabilities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3333749"/>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beta-calibrated lapse probabilities for the baseline (no lag) and 2-week lag models. Predicted lapse probability (x-axis) is binned in deciles. Observed lapse probabilities (y-axis) represent the proportion of true lapses observed in each bin. The dashed line represents a perfectly calibrated model.</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and 1-day lag), but as lag time increased importance attenuated. On the other hand, as lag time increased past/future risky situations increased in importance. Craving was consistently important, in magnitude, across all models. Panel A of</w:t>
      </w:r>
      <w:r>
        <w:t xml:space="preserve"> </w:t>
      </w:r>
      <w:hyperlink w:anchor="fig-4">
        <w:r>
          <w:rPr>
            <w:rStyle w:val="Hyperlink"/>
          </w:rPr>
          <w:t xml:space="preserve">Figure 4</w:t>
        </w:r>
      </w:hyperlink>
      <w:r>
        <w:t xml:space="preserve"> </w:t>
      </w:r>
      <w:r>
        <w:t xml:space="preserve">shows the relative ranking of feature categories for the no lag and 2-week lag models. Plots of global feature importance for all 5 models are available in the supplement. These findings were also consistent across demographic subgroups (plots of global feature importance by demographic group are available for the no lag and 2-week lag models in the supplement).</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4">
        <w:r>
          <w:rPr>
            <w:rStyle w:val="Hyperlink"/>
          </w:rPr>
          <w:t xml:space="preserve">Figure 4</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valence/arousal and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Start w:id="79" w:name="discussion"/>
    <w:p>
      <w:pPr>
        <w:pStyle w:val="Heading2"/>
      </w:pPr>
      <w:r>
        <w:t xml:space="preserve">Discussion</w:t>
      </w:r>
    </w:p>
    <w:bookmarkEnd w:id="79"/>
    <w:bookmarkStart w:id="80" w:name="model-performance"/>
    <w:p>
      <w:pPr>
        <w:pStyle w:val="Heading2"/>
      </w:pPr>
      <w:r>
        <w:t xml:space="preserve">Model Performance</w:t>
      </w:r>
    </w:p>
    <w:p>
      <w:pPr>
        <w:pStyle w:val="FirstParagraph"/>
      </w:pPr>
      <w:r>
        <w:t xml:space="preserve">Our models performed exceptionally well. Our no lag models had a .91 median posterior probability for auROC. This model predicts the probability of an immediate (i.e., within 24 hours) lapse back to alcohol use. Our 2-week lagged model, our most lagged model, had a .85 median posterior probability for auROC, suggesting lagged models can be used to shift a 24-hour prediction window up to weeks out.</w:t>
      </w:r>
    </w:p>
    <w:p>
      <w:pPr>
        <w:pStyle w:val="BodyText"/>
      </w:pPr>
      <w:r>
        <w:t xml:space="preserve">Across all models (no lag, 1 day, 3 days, 1 week, and 2 weeks) we saw model performance decrease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(.85)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When looking at global feature importance, or how important a feature category was to the model’s predictions, on average across all participants and all observations, the relative ordering of important features remained somewhat consistent across both our no lag and 2-week lag models. Past use, future efficacy, and craving were the top three features for both models. However the magnitude of their importance varied by lag time. For the 2-week lagged models, these top features were overall less important for the model’s predictions compared to the no lag model. This is consistent with the 2-week lagged model’s lower performance, compared to the no lag model.</w:t>
      </w:r>
    </w:p>
    <w:p>
      <w:pPr>
        <w:pStyle w:val="BodyText"/>
      </w:pPr>
      <w:r>
        <w:t xml:space="preserve">When looking at local feature importance, or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(e.g., past pleasant event) are important risk-relevant factors for some people on some days.</w:t>
      </w:r>
    </w:p>
    <w:p>
      <w:pPr>
        <w:pStyle w:val="BodyText"/>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bookmarkEnd w:id="80"/>
    <w:bookmarkStart w:id="81" w:name="model-fairness"/>
    <w:p>
      <w:pPr>
        <w:pStyle w:val="Heading2"/>
      </w:pPr>
      <w:r>
        <w:t xml:space="preserve">Model Fairness</w:t>
      </w:r>
    </w:p>
    <w:p>
      <w:pPr>
        <w:pStyle w:val="FirstParagraph"/>
      </w:pPr>
      <w:r>
        <w:t xml:space="preserve">In our previous study</w:t>
      </w:r>
      <w:r>
        <w:t xml:space="preserve"> </w:t>
      </w:r>
      <w:r>
        <w:t xml:space="preserve">(Wyant et al. 2024)</w:t>
      </w:r>
      <w:r>
        <w:t xml:space="preserve">,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w:t>
      </w:r>
      <w:r>
        <w:t xml:space="preserve"> </w:t>
      </w:r>
      <w:r>
        <w:t xml:space="preserve">(Veinot, Mitchell, and Ancker 2018)</w:t>
      </w:r>
      <w:r>
        <w:t xml:space="preserve">. Therefore, we are committed to continuing to improve our understanding of and methods for evaluating model fairness.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largest contributing factor is likely the lack of diversity in our training data. Our sample was majority non-Hispanic White (</w:t>
      </w:r>
      <w:r>
        <w:rPr>
          <w:i/>
          <w:iCs/>
        </w:rPr>
        <w:t xml:space="preserve">N</w:t>
      </w:r>
      <w:r>
        <w:t xml:space="preserve">=131, 87%) with an average income of $34,000. As a result, even with our coarse combination of race/ethnicity, the not White group was severely underrepresented relative to the non-Hispanic White group. Similarly, although less severely, our below poverty group was underrepresented relative to the above poverty group.</w:t>
      </w:r>
    </w:p>
    <w:p>
      <w:pPr>
        <w:pStyle w:val="BodyText"/>
      </w:pPr>
      <w:r>
        <w:t xml:space="preserve">One obvious potential solution to this problem is to recruit a more representative sample. These data were collected from 2015-2017. Our group has since committed to making changes in recruitment strategies. We are currently working to collect data from a more diverse sample of individuals with alcohol use disorder to improve these models</w:t>
      </w:r>
      <w:r>
        <w:t xml:space="preserve"> </w:t>
      </w:r>
      <w:r>
        <w:t xml:space="preserve">(Wyant et al. in prep)</w:t>
      </w:r>
      <w:r>
        <w:t xml:space="preserv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can capitalize on time series data by building individual models for each participant using their own data. Individual models may help mitigate issues of unfairness, as the model will weigh the individual’s own data more heavily than group level estimates. In other words, how does lapse risk evolve over time for a specific individual.</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decades of relapse risk research.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most substance abuse treatment research due to their childbearing potential</w:t>
      </w:r>
      <w:r>
        <w:t xml:space="preserve"> </w:t>
      </w:r>
      <w:r>
        <w:t xml:space="preserve">(Vannicelli and Nash 1984)</w:t>
      </w:r>
      <w:r>
        <w:t xml:space="preserve">. As a result, it is possible that these constructs more precisely describe relapse risk factors for men than for women. This could mean that more research is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more broadly.</w:t>
      </w:r>
    </w:p>
    <w:p>
      <w:pPr>
        <w:pStyle w:val="BodyText"/>
      </w:pPr>
      <w:r>
        <w:t xml:space="preserve">An alternative approach could be to use a data-driven (bottom-up) approach to identify patterns and characteristics predictive of lapse in specific groups. Compared to traditional, theory-driven (top-down) methods, data-driven features reduce potential bias in features by minimizing researcher involvement. For example, applying natural language processing to text message content could allow new categories of features to emerge. These categories may or may not align with existing theoretical concepts of lapse and relapse, but because they are generated from participants’ own words, they may serve as reliable indicators of lapse risk for certain individuals.</w:t>
      </w:r>
    </w:p>
    <w:p>
      <w:pPr>
        <w:pStyle w:val="BodyText"/>
      </w:pPr>
      <w:r>
        <w:t xml:space="preserve">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result in individuals under-reporting lapses and/or risk factors, contributing to the gap in model performance. We saw a comparable, or slightly higher, percentage of positive lapse labels for disadvantaged compared to advantaged groups. However, comparable lapse labels (i.e., reported lapses) does not necessarily equate comparable reporting (i.e., proportion of true lapses reported).</w:t>
      </w:r>
    </w:p>
    <w:bookmarkEnd w:id="81"/>
    <w:bookmarkStart w:id="82" w:name="X40ab624ebf83813907a18dba36edd4d1d14a553"/>
    <w:p>
      <w:pPr>
        <w:pStyle w:val="Heading2"/>
      </w:pPr>
      <w:r>
        <w:t xml:space="preserve">Additional Limitations and Future Directions</w:t>
      </w:r>
    </w:p>
    <w:p>
      <w:pPr>
        <w:pStyle w:val="FirstParagraph"/>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82"/>
    <w:bookmarkStart w:id="83"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83"/>
    <w:bookmarkStart w:id="163" w:name="references"/>
    <w:p>
      <w:pPr>
        <w:pStyle w:val="Heading2"/>
      </w:pPr>
      <w:r>
        <w:t xml:space="preserve">References</w:t>
      </w:r>
    </w:p>
    <w:bookmarkStart w:id="162" w:name="refs"/>
    <w:bookmarkStart w:id="85"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84">
        <w:r>
          <w:rPr>
            <w:rStyle w:val="Hyperlink"/>
          </w:rPr>
          <w:t xml:space="preserve">https://doi.org/10.1016/j.addbeh.2017.11.039</w:t>
        </w:r>
      </w:hyperlink>
      <w:r>
        <w:t xml:space="preserve">.</w:t>
      </w:r>
    </w:p>
    <w:bookmarkEnd w:id="85"/>
    <w:bookmarkStart w:id="87"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86">
        <w:r>
          <w:rPr>
            <w:rStyle w:val="Hyperlink"/>
          </w:rPr>
          <w:t xml:space="preserve">https://doi.org/10.1007/s10488-016-0718-5</w:t>
        </w:r>
      </w:hyperlink>
      <w:r>
        <w:t xml:space="preserve">.</w:t>
      </w:r>
    </w:p>
    <w:bookmarkEnd w:id="87"/>
    <w:bookmarkStart w:id="88"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8"/>
    <w:bookmarkStart w:id="90"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9">
        <w:r>
          <w:rPr>
            <w:rStyle w:val="Hyperlink"/>
          </w:rPr>
          <w:t xml:space="preserve">https://doi.org/10.1146/annurev.clinpsy.3.022806.091455</w:t>
        </w:r>
      </w:hyperlink>
      <w:r>
        <w:t xml:space="preserve">.</w:t>
      </w:r>
    </w:p>
    <w:bookmarkEnd w:id="90"/>
    <w:bookmarkStart w:id="92"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1">
        <w:r>
          <w:rPr>
            <w:rStyle w:val="Hyperlink"/>
          </w:rPr>
          <w:t xml:space="preserve">https://doi.org/10.21231/GNT1-HW21</w:t>
        </w:r>
      </w:hyperlink>
      <w:r>
        <w:t xml:space="preserve">.</w:t>
      </w:r>
    </w:p>
    <w:bookmarkEnd w:id="92"/>
    <w:bookmarkStart w:id="93"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3"/>
    <w:bookmarkStart w:id="95" w:name="ref-dennisManagingAddictionChronic2007"/>
    <w:p>
      <w:pPr>
        <w:pStyle w:val="Bibliography"/>
      </w:pPr>
      <w:r>
        <w:t xml:space="preserve">Dennis, Michael, and Christy K Scott. 2007.</w:t>
      </w:r>
      <w:r>
        <w:t xml:space="preserve"> </w:t>
      </w:r>
      <w:r>
        <w:t xml:space="preserve">“</w:t>
      </w:r>
      <w:hyperlink r:id="rId94">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95"/>
    <w:bookmarkStart w:id="96"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96"/>
    <w:bookmarkStart w:id="98"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7">
        <w:r>
          <w:rPr>
            <w:rStyle w:val="Hyperlink"/>
          </w:rPr>
          <w:t xml:space="preserve">https://doi.org/10.1016/j.brat.2019.103506</w:t>
        </w:r>
      </w:hyperlink>
      <w:r>
        <w:t xml:space="preserve">.</w:t>
      </w:r>
    </w:p>
    <w:bookmarkEnd w:id="98"/>
    <w:bookmarkStart w:id="99"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9"/>
    <w:bookmarkStart w:id="100"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00"/>
    <w:bookmarkStart w:id="102"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01">
        <w:r>
          <w:rPr>
            <w:rStyle w:val="Hyperlink"/>
          </w:rPr>
          <w:t xml:space="preserve">https://doi.org/10.1016/j.drugalcdep.2006.05.012</w:t>
        </w:r>
      </w:hyperlink>
      <w:r>
        <w:t xml:space="preserve">.</w:t>
      </w:r>
    </w:p>
    <w:bookmarkEnd w:id="102"/>
    <w:bookmarkStart w:id="103"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03"/>
    <w:bookmarkStart w:id="104"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104"/>
    <w:bookmarkStart w:id="105"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05"/>
    <w:bookmarkStart w:id="107"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06">
        <w:r>
          <w:rPr>
            <w:rStyle w:val="Hyperlink"/>
          </w:rPr>
          <w:t xml:space="preserve">https://doi.org/10/gfsjzg</w:t>
        </w:r>
      </w:hyperlink>
      <w:r>
        <w:t xml:space="preserve">.</w:t>
      </w:r>
    </w:p>
    <w:bookmarkEnd w:id="107"/>
    <w:bookmarkStart w:id="109"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8">
        <w:r>
          <w:rPr>
            <w:rStyle w:val="Hyperlink"/>
          </w:rPr>
          <w:t xml:space="preserve">https://doi.org/10.1001/jamanetworkopen.2020.5852</w:t>
        </w:r>
      </w:hyperlink>
      <w:r>
        <w:t xml:space="preserve">.</w:t>
      </w:r>
    </w:p>
    <w:bookmarkEnd w:id="109"/>
    <w:bookmarkStart w:id="111"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10">
        <w:r>
          <w:rPr>
            <w:rStyle w:val="Hyperlink"/>
          </w:rPr>
          <w:t xml:space="preserve">https://doi.org/10.1007/s11920-012-0296-5</w:t>
        </w:r>
      </w:hyperlink>
      <w:r>
        <w:t xml:space="preserve">.</w:t>
      </w:r>
    </w:p>
    <w:bookmarkEnd w:id="111"/>
    <w:bookmarkStart w:id="112"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12"/>
    <w:bookmarkStart w:id="114"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13">
        <w:r>
          <w:rPr>
            <w:rStyle w:val="Hyperlink"/>
          </w:rPr>
          <w:t xml:space="preserve">https://doi.org/10.1007/978-1-4614-6849-3</w:t>
        </w:r>
      </w:hyperlink>
      <w:r>
        <w:t xml:space="preserve">.</w:t>
      </w:r>
    </w:p>
    <w:bookmarkEnd w:id="114"/>
    <w:bookmarkStart w:id="115"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15"/>
    <w:bookmarkStart w:id="116"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16"/>
    <w:bookmarkStart w:id="117"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7"/>
    <w:bookmarkStart w:id="118"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18"/>
    <w:bookmarkStart w:id="120"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19">
        <w:r>
          <w:rPr>
            <w:rStyle w:val="Hyperlink"/>
          </w:rPr>
          <w:t xml:space="preserve">https://doi.org/10.1016/j.cpr.2017.10.012</w:t>
        </w:r>
      </w:hyperlink>
      <w:r>
        <w:t xml:space="preserve">.</w:t>
      </w:r>
    </w:p>
    <w:bookmarkEnd w:id="120"/>
    <w:bookmarkStart w:id="122"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21">
        <w:r>
          <w:rPr>
            <w:rStyle w:val="Hyperlink"/>
          </w:rPr>
          <w:t xml:space="preserve">https://doi.org/10.1001/jama.284.13.1689</w:t>
        </w:r>
      </w:hyperlink>
      <w:r>
        <w:t xml:space="preserve">.</w:t>
      </w:r>
    </w:p>
    <w:bookmarkEnd w:id="122"/>
    <w:bookmarkStart w:id="124"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23">
        <w:r>
          <w:rPr>
            <w:rStyle w:val="Hyperlink"/>
          </w:rPr>
          <w:t xml:space="preserve">https://doi.org/10.1016/j.drugalcdep.2021.108706</w:t>
        </w:r>
      </w:hyperlink>
      <w:r>
        <w:t xml:space="preserve">.</w:t>
      </w:r>
    </w:p>
    <w:bookmarkEnd w:id="124"/>
    <w:bookmarkStart w:id="126"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25">
        <w:r>
          <w:rPr>
            <w:rStyle w:val="Hyperlink"/>
          </w:rPr>
          <w:t xml:space="preserve">https://doi.org/10.1146/annurev-clinpsy-032816-044949</w:t>
        </w:r>
      </w:hyperlink>
      <w:r>
        <w:t xml:space="preserve">.</w:t>
      </w:r>
    </w:p>
    <w:bookmarkEnd w:id="126"/>
    <w:bookmarkStart w:id="128"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27">
        <w:r>
          <w:rPr>
            <w:rStyle w:val="Hyperlink"/>
          </w:rPr>
          <w:t xml:space="preserve">https://doi.org/10.2196/29563</w:t>
        </w:r>
      </w:hyperlink>
      <w:r>
        <w:t xml:space="preserve">.</w:t>
      </w:r>
    </w:p>
    <w:bookmarkEnd w:id="128"/>
    <w:bookmarkStart w:id="130"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29">
        <w:r>
          <w:rPr>
            <w:rStyle w:val="Hyperlink"/>
          </w:rPr>
          <w:t xml:space="preserve">https://doi.org/10.1016/j.jsat.2021.108710</w:t>
        </w:r>
      </w:hyperlink>
      <w:r>
        <w:t xml:space="preserve">.</w:t>
      </w:r>
    </w:p>
    <w:bookmarkEnd w:id="130"/>
    <w:bookmarkStart w:id="132"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31">
        <w:r>
          <w:rPr>
            <w:rStyle w:val="Hyperlink"/>
          </w:rPr>
          <w:t xml:space="preserve">https://doi.org/10.1016/j.drugalcdep.2019.05.017</w:t>
        </w:r>
      </w:hyperlink>
      <w:r>
        <w:t xml:space="preserve">.</w:t>
      </w:r>
    </w:p>
    <w:bookmarkEnd w:id="132"/>
    <w:bookmarkStart w:id="133"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33"/>
    <w:bookmarkStart w:id="134"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34"/>
    <w:bookmarkStart w:id="136"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35">
        <w:r>
          <w:rPr>
            <w:rStyle w:val="Hyperlink"/>
          </w:rPr>
          <w:t xml:space="preserve">https://doi.org/10.1111/add.13479</w:t>
        </w:r>
      </w:hyperlink>
      <w:r>
        <w:t xml:space="preserve">.</w:t>
      </w:r>
    </w:p>
    <w:bookmarkEnd w:id="136"/>
    <w:bookmarkStart w:id="138"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37">
        <w:r>
          <w:rPr>
            <w:rStyle w:val="Hyperlink"/>
          </w:rPr>
          <w:t xml:space="preserve">https://doi.org/10.1037/adb0000666</w:t>
        </w:r>
      </w:hyperlink>
      <w:r>
        <w:t xml:space="preserve">.</w:t>
      </w:r>
    </w:p>
    <w:bookmarkEnd w:id="138"/>
    <w:bookmarkStart w:id="140"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39">
        <w:r>
          <w:rPr>
            <w:rStyle w:val="Hyperlink"/>
          </w:rPr>
          <w:t xml:space="preserve">https://doi.org/10.1177/1178221820976988</w:t>
        </w:r>
      </w:hyperlink>
      <w:r>
        <w:t xml:space="preserve">.</w:t>
      </w:r>
    </w:p>
    <w:bookmarkEnd w:id="140"/>
    <w:bookmarkStart w:id="141"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41"/>
    <w:bookmarkStart w:id="142"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42"/>
    <w:bookmarkStart w:id="144"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43">
        <w:r>
          <w:rPr>
            <w:rStyle w:val="Hyperlink"/>
          </w:rPr>
          <w:t xml:space="preserve">https://doi.org/10.1111/j.1530-0277.1984.tb05523.x</w:t>
        </w:r>
      </w:hyperlink>
      <w:r>
        <w:t xml:space="preserve">.</w:t>
      </w:r>
    </w:p>
    <w:bookmarkEnd w:id="144"/>
    <w:bookmarkStart w:id="146"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45">
        <w:r>
          <w:rPr>
            <w:rStyle w:val="Hyperlink"/>
          </w:rPr>
          <w:t xml:space="preserve">https://doi.org/10.1093/jamia/ocy052</w:t>
        </w:r>
      </w:hyperlink>
      <w:r>
        <w:t xml:space="preserve">.</w:t>
      </w:r>
    </w:p>
    <w:bookmarkEnd w:id="146"/>
    <w:bookmarkStart w:id="148"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47">
        <w:r>
          <w:rPr>
            <w:rStyle w:val="Hyperlink"/>
          </w:rPr>
          <w:t xml:space="preserve">https://doi.org/10.1016/j.cpr.2005.11.003</w:t>
        </w:r>
      </w:hyperlink>
      <w:r>
        <w:t xml:space="preserve">.</w:t>
      </w:r>
    </w:p>
    <w:bookmarkEnd w:id="148"/>
    <w:bookmarkStart w:id="150"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49">
        <w:r>
          <w:rPr>
            <w:rStyle w:val="Hyperlink"/>
          </w:rPr>
          <w:t xml:space="preserve">https://doi.org/10.1016/j.jsat.2021.108417</w:t>
        </w:r>
      </w:hyperlink>
      <w:r>
        <w:t xml:space="preserve">.</w:t>
      </w:r>
    </w:p>
    <w:bookmarkEnd w:id="150"/>
    <w:bookmarkStart w:id="152" w:name="X2d30c84041d97351f676569bf3de3da0c8a9d6d"/>
    <w:p>
      <w:pPr>
        <w:pStyle w:val="Bibliography"/>
      </w:pPr>
      <w:r>
        <w:t xml:space="preserve">WHO ASSIST Working Group. 2002.</w:t>
      </w:r>
      <w:r>
        <w:t xml:space="preserve"> </w:t>
      </w:r>
      <w:r>
        <w:t xml:space="preserve">“</w:t>
      </w:r>
      <w:hyperlink r:id="rId151">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52"/>
    <w:bookmarkStart w:id="154"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53">
        <w:r>
          <w:rPr>
            <w:rStyle w:val="Hyperlink"/>
          </w:rPr>
          <w:t xml:space="preserve">https://doi.org/10.1037/0003-066X.59.4.224</w:t>
        </w:r>
      </w:hyperlink>
      <w:r>
        <w:t xml:space="preserve">.</w:t>
      </w:r>
    </w:p>
    <w:bookmarkEnd w:id="154"/>
    <w:bookmarkStart w:id="156"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55">
        <w:r>
          <w:rPr>
            <w:rStyle w:val="Hyperlink"/>
          </w:rPr>
          <w:t xml:space="preserve">https://doi.org/10.1016/j.cpr.2007.01.002</w:t>
        </w:r>
      </w:hyperlink>
      <w:r>
        <w:t xml:space="preserve">.</w:t>
      </w:r>
    </w:p>
    <w:bookmarkEnd w:id="156"/>
    <w:bookmarkStart w:id="158"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57">
        <w:r>
          <w:rPr>
            <w:rStyle w:val="Hyperlink"/>
          </w:rPr>
          <w:t xml:space="preserve">https://doi.org/10.2196/41833</w:t>
        </w:r>
      </w:hyperlink>
      <w:r>
        <w:t xml:space="preserve">.</w:t>
      </w:r>
    </w:p>
    <w:bookmarkEnd w:id="158"/>
    <w:bookmarkStart w:id="160"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59">
        <w:r>
          <w:rPr>
            <w:rStyle w:val="Hyperlink"/>
          </w:rPr>
          <w:t xml:space="preserve">https://doi.org/10.31234/osf.io/cgsf7</w:t>
        </w:r>
      </w:hyperlink>
      <w:r>
        <w:t xml:space="preserve">.</w:t>
      </w:r>
    </w:p>
    <w:bookmarkEnd w:id="160"/>
    <w:bookmarkStart w:id="161" w:name="X3f67f11df296341e595ed74232696d3a94ce536"/>
    <w:p>
      <w:pPr>
        <w:pStyle w:val="Bibliography"/>
      </w:pPr>
      <w:r>
        <w:t xml:space="preserve">Wyant, Kendra, Sarah Sant’Ana, Claire Punturieri, Jiachen Yu, Gaylen Fronk, Rachel Kornfield, Susan Wanta, et al.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61"/>
    <w:bookmarkEnd w:id="162"/>
    <w:bookmarkEnd w:id="163"/>
    <w:bookmarkEnd w:id="1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21" Target="https://doi.org/10.1001/jama.284.13.1689" TargetMode="External" /><Relationship Type="http://schemas.openxmlformats.org/officeDocument/2006/relationships/hyperlink" Id="rId108" Target="https://doi.org/10.1001/jamanetworkopen.2020.5852" TargetMode="External" /><Relationship Type="http://schemas.openxmlformats.org/officeDocument/2006/relationships/hyperlink" Id="rId113" Target="https://doi.org/10.1007/978-1-4614-6849-3" TargetMode="External" /><Relationship Type="http://schemas.openxmlformats.org/officeDocument/2006/relationships/hyperlink" Id="rId86" Target="https://doi.org/10.1007/s10488-016-0718-5" TargetMode="External" /><Relationship Type="http://schemas.openxmlformats.org/officeDocument/2006/relationships/hyperlink" Id="rId110" Target="https://doi.org/10.1007/s11920-012-0296-5" TargetMode="External" /><Relationship Type="http://schemas.openxmlformats.org/officeDocument/2006/relationships/hyperlink" Id="rId84" Target="https://doi.org/10.1016/j.addbeh.2017.11.039" TargetMode="External" /><Relationship Type="http://schemas.openxmlformats.org/officeDocument/2006/relationships/hyperlink" Id="rId97" Target="https://doi.org/10.1016/j.brat.2019.103506" TargetMode="External" /><Relationship Type="http://schemas.openxmlformats.org/officeDocument/2006/relationships/hyperlink" Id="rId147" Target="https://doi.org/10.1016/j.cpr.2005.11.003" TargetMode="External" /><Relationship Type="http://schemas.openxmlformats.org/officeDocument/2006/relationships/hyperlink" Id="rId155" Target="https://doi.org/10.1016/j.cpr.2007.01.002" TargetMode="External" /><Relationship Type="http://schemas.openxmlformats.org/officeDocument/2006/relationships/hyperlink" Id="rId119" Target="https://doi.org/10.1016/j.cpr.2017.10.012" TargetMode="External" /><Relationship Type="http://schemas.openxmlformats.org/officeDocument/2006/relationships/hyperlink" Id="rId101" Target="https://doi.org/10.1016/j.drugalcdep.2006.05.012" TargetMode="External" /><Relationship Type="http://schemas.openxmlformats.org/officeDocument/2006/relationships/hyperlink" Id="rId131" Target="https://doi.org/10.1016/j.drugalcdep.2019.05.017" TargetMode="External" /><Relationship Type="http://schemas.openxmlformats.org/officeDocument/2006/relationships/hyperlink" Id="rId123" Target="https://doi.org/10.1016/j.drugalcdep.2021.108706" TargetMode="External" /><Relationship Type="http://schemas.openxmlformats.org/officeDocument/2006/relationships/hyperlink" Id="rId149" Target="https://doi.org/10.1016/j.jsat.2021.108417" TargetMode="External" /><Relationship Type="http://schemas.openxmlformats.org/officeDocument/2006/relationships/hyperlink" Id="rId129" Target="https://doi.org/10.1016/j.jsat.2021.108710" TargetMode="External" /><Relationship Type="http://schemas.openxmlformats.org/officeDocument/2006/relationships/hyperlink" Id="rId153" Target="https://doi.org/10.1037/0003-066X.59.4.224" TargetMode="External" /><Relationship Type="http://schemas.openxmlformats.org/officeDocument/2006/relationships/hyperlink" Id="rId137" Target="https://doi.org/10.1037/adb0000666" TargetMode="External" /><Relationship Type="http://schemas.openxmlformats.org/officeDocument/2006/relationships/hyperlink" Id="rId145" Target="https://doi.org/10.1093/jamia/ocy052" TargetMode="External" /><Relationship Type="http://schemas.openxmlformats.org/officeDocument/2006/relationships/hyperlink" Id="rId135" Target="https://doi.org/10.1111/add.13479" TargetMode="External" /><Relationship Type="http://schemas.openxmlformats.org/officeDocument/2006/relationships/hyperlink" Id="rId143" Target="https://doi.org/10.1111/j.1530-0277.1984.tb05523.x" TargetMode="External" /><Relationship Type="http://schemas.openxmlformats.org/officeDocument/2006/relationships/hyperlink" Id="rId125" Target="https://doi.org/10.1146/annurev-clinpsy-032816-044949" TargetMode="External" /><Relationship Type="http://schemas.openxmlformats.org/officeDocument/2006/relationships/hyperlink" Id="rId89" Target="https://doi.org/10.1146/annurev.clinpsy.3.022806.091455" TargetMode="External" /><Relationship Type="http://schemas.openxmlformats.org/officeDocument/2006/relationships/hyperlink" Id="rId139" Target="https://doi.org/10.1177/1178221820976988" TargetMode="External" /><Relationship Type="http://schemas.openxmlformats.org/officeDocument/2006/relationships/hyperlink" Id="rId91" Target="https://doi.org/10.21231/GNT1-HW21" TargetMode="External" /><Relationship Type="http://schemas.openxmlformats.org/officeDocument/2006/relationships/hyperlink" Id="rId127" Target="https://doi.org/10.2196/29563" TargetMode="External" /><Relationship Type="http://schemas.openxmlformats.org/officeDocument/2006/relationships/hyperlink" Id="rId157" Target="https://doi.org/10.2196/41833" TargetMode="External" /><Relationship Type="http://schemas.openxmlformats.org/officeDocument/2006/relationships/hyperlink" Id="rId159" Target="https://doi.org/10.31234/osf.io/cgsf7" TargetMode="External" /><Relationship Type="http://schemas.openxmlformats.org/officeDocument/2006/relationships/hyperlink" Id="rId106"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4" Target="https://www.ncbi.nlm.nih.gov/pmc/articles/PMC2797101" TargetMode="External" /><Relationship Type="http://schemas.openxmlformats.org/officeDocument/2006/relationships/hyperlink" Id="rId151"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21" Target="https://doi.org/10.1001/jama.284.13.1689" TargetMode="External" /><Relationship Type="http://schemas.openxmlformats.org/officeDocument/2006/relationships/hyperlink" Id="rId108" Target="https://doi.org/10.1001/jamanetworkopen.2020.5852" TargetMode="External" /><Relationship Type="http://schemas.openxmlformats.org/officeDocument/2006/relationships/hyperlink" Id="rId113" Target="https://doi.org/10.1007/978-1-4614-6849-3" TargetMode="External" /><Relationship Type="http://schemas.openxmlformats.org/officeDocument/2006/relationships/hyperlink" Id="rId86" Target="https://doi.org/10.1007/s10488-016-0718-5" TargetMode="External" /><Relationship Type="http://schemas.openxmlformats.org/officeDocument/2006/relationships/hyperlink" Id="rId110" Target="https://doi.org/10.1007/s11920-012-0296-5" TargetMode="External" /><Relationship Type="http://schemas.openxmlformats.org/officeDocument/2006/relationships/hyperlink" Id="rId84" Target="https://doi.org/10.1016/j.addbeh.2017.11.039" TargetMode="External" /><Relationship Type="http://schemas.openxmlformats.org/officeDocument/2006/relationships/hyperlink" Id="rId97" Target="https://doi.org/10.1016/j.brat.2019.103506" TargetMode="External" /><Relationship Type="http://schemas.openxmlformats.org/officeDocument/2006/relationships/hyperlink" Id="rId147" Target="https://doi.org/10.1016/j.cpr.2005.11.003" TargetMode="External" /><Relationship Type="http://schemas.openxmlformats.org/officeDocument/2006/relationships/hyperlink" Id="rId155" Target="https://doi.org/10.1016/j.cpr.2007.01.002" TargetMode="External" /><Relationship Type="http://schemas.openxmlformats.org/officeDocument/2006/relationships/hyperlink" Id="rId119" Target="https://doi.org/10.1016/j.cpr.2017.10.012" TargetMode="External" /><Relationship Type="http://schemas.openxmlformats.org/officeDocument/2006/relationships/hyperlink" Id="rId101" Target="https://doi.org/10.1016/j.drugalcdep.2006.05.012" TargetMode="External" /><Relationship Type="http://schemas.openxmlformats.org/officeDocument/2006/relationships/hyperlink" Id="rId131" Target="https://doi.org/10.1016/j.drugalcdep.2019.05.017" TargetMode="External" /><Relationship Type="http://schemas.openxmlformats.org/officeDocument/2006/relationships/hyperlink" Id="rId123" Target="https://doi.org/10.1016/j.drugalcdep.2021.108706" TargetMode="External" /><Relationship Type="http://schemas.openxmlformats.org/officeDocument/2006/relationships/hyperlink" Id="rId149" Target="https://doi.org/10.1016/j.jsat.2021.108417" TargetMode="External" /><Relationship Type="http://schemas.openxmlformats.org/officeDocument/2006/relationships/hyperlink" Id="rId129" Target="https://doi.org/10.1016/j.jsat.2021.108710" TargetMode="External" /><Relationship Type="http://schemas.openxmlformats.org/officeDocument/2006/relationships/hyperlink" Id="rId153" Target="https://doi.org/10.1037/0003-066X.59.4.224" TargetMode="External" /><Relationship Type="http://schemas.openxmlformats.org/officeDocument/2006/relationships/hyperlink" Id="rId137" Target="https://doi.org/10.1037/adb0000666" TargetMode="External" /><Relationship Type="http://schemas.openxmlformats.org/officeDocument/2006/relationships/hyperlink" Id="rId145" Target="https://doi.org/10.1093/jamia/ocy052" TargetMode="External" /><Relationship Type="http://schemas.openxmlformats.org/officeDocument/2006/relationships/hyperlink" Id="rId135" Target="https://doi.org/10.1111/add.13479" TargetMode="External" /><Relationship Type="http://schemas.openxmlformats.org/officeDocument/2006/relationships/hyperlink" Id="rId143" Target="https://doi.org/10.1111/j.1530-0277.1984.tb05523.x" TargetMode="External" /><Relationship Type="http://schemas.openxmlformats.org/officeDocument/2006/relationships/hyperlink" Id="rId125" Target="https://doi.org/10.1146/annurev-clinpsy-032816-044949" TargetMode="External" /><Relationship Type="http://schemas.openxmlformats.org/officeDocument/2006/relationships/hyperlink" Id="rId89" Target="https://doi.org/10.1146/annurev.clinpsy.3.022806.091455" TargetMode="External" /><Relationship Type="http://schemas.openxmlformats.org/officeDocument/2006/relationships/hyperlink" Id="rId139" Target="https://doi.org/10.1177/1178221820976988" TargetMode="External" /><Relationship Type="http://schemas.openxmlformats.org/officeDocument/2006/relationships/hyperlink" Id="rId91" Target="https://doi.org/10.21231/GNT1-HW21" TargetMode="External" /><Relationship Type="http://schemas.openxmlformats.org/officeDocument/2006/relationships/hyperlink" Id="rId127" Target="https://doi.org/10.2196/29563" TargetMode="External" /><Relationship Type="http://schemas.openxmlformats.org/officeDocument/2006/relationships/hyperlink" Id="rId157" Target="https://doi.org/10.2196/41833" TargetMode="External" /><Relationship Type="http://schemas.openxmlformats.org/officeDocument/2006/relationships/hyperlink" Id="rId159" Target="https://doi.org/10.31234/osf.io/cgsf7" TargetMode="External" /><Relationship Type="http://schemas.openxmlformats.org/officeDocument/2006/relationships/hyperlink" Id="rId106"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4" Target="https://www.ncbi.nlm.nih.gov/pmc/articles/PMC2797101" TargetMode="External" /><Relationship Type="http://schemas.openxmlformats.org/officeDocument/2006/relationships/hyperlink" Id="rId151"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John J. Curtin</dc:creator>
  <cp:keywords>Substance use disorders, Precision mental health</cp:keywords>
  <dcterms:created xsi:type="dcterms:W3CDTF">2025-06-12T02:30:59Z</dcterms:created>
  <dcterms:modified xsi:type="dcterms:W3CDTF">2025-06-12T02:30:59Z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2025-06-11</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