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2025-04-02</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5"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Additionally, data driven (bottom-up) approaches to creating features could be one way to remove some of the bias in domain driven (top-down) approaches. For example, using natural language processing on text message content could allow for new categories of features to emerge.</w:t>
      </w:r>
      <w:r>
        <w:t xml:space="preserve"> </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4" w:name="references"/>
    <w:p>
      <w:pPr>
        <w:pStyle w:val="Heading2"/>
      </w:pPr>
      <w:r>
        <w:t xml:space="preserve">References</w:t>
      </w:r>
    </w:p>
    <w:bookmarkStart w:id="153"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8">
        <w:r>
          <w:rPr>
            <w:rStyle w:val="Hyperlink"/>
          </w:rPr>
          <w:t xml:space="preserve">https://doi.org/10.1016/j.cpr.2005.11.003</w:t>
        </w:r>
      </w:hyperlink>
      <w:r>
        <w:t xml:space="preserve">.</w:t>
      </w:r>
    </w:p>
    <w:bookmarkEnd w:id="139"/>
    <w:bookmarkStart w:id="141"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0">
        <w:r>
          <w:rPr>
            <w:rStyle w:val="Hyperlink"/>
          </w:rPr>
          <w:t xml:space="preserve">https://doi.org/10.1016/j.jsat.2021.108417</w:t>
        </w:r>
      </w:hyperlink>
      <w:r>
        <w:t xml:space="preserve">.</w:t>
      </w:r>
    </w:p>
    <w:bookmarkEnd w:id="141"/>
    <w:bookmarkStart w:id="143" w:name="X2d30c84041d97351f676569bf3de3da0c8a9d6d"/>
    <w:p>
      <w:pPr>
        <w:pStyle w:val="Bibliography"/>
      </w:pPr>
      <w:r>
        <w:t xml:space="preserve">WHO ASSIST Working Group. 2002.</w:t>
      </w:r>
      <w:r>
        <w:t xml:space="preserve"> </w:t>
      </w:r>
      <w:r>
        <w:t xml:space="preserve">“</w:t>
      </w:r>
      <w:hyperlink r:id="rId142">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3"/>
    <w:bookmarkStart w:id="14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4">
        <w:r>
          <w:rPr>
            <w:rStyle w:val="Hyperlink"/>
          </w:rPr>
          <w:t xml:space="preserve">https://doi.org/10.1037/0003-066X.59.4.224</w:t>
        </w:r>
      </w:hyperlink>
      <w:r>
        <w:t xml:space="preserve">.</w:t>
      </w:r>
    </w:p>
    <w:bookmarkEnd w:id="145"/>
    <w:bookmarkStart w:id="14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6">
        <w:r>
          <w:rPr>
            <w:rStyle w:val="Hyperlink"/>
          </w:rPr>
          <w:t xml:space="preserve">https://doi.org/10.1016/j.cpr.2007.01.002</w:t>
        </w:r>
      </w:hyperlink>
      <w:r>
        <w:t xml:space="preserve">.</w:t>
      </w:r>
    </w:p>
    <w:bookmarkEnd w:id="147"/>
    <w:bookmarkStart w:id="14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8">
        <w:r>
          <w:rPr>
            <w:rStyle w:val="Hyperlink"/>
          </w:rPr>
          <w:t xml:space="preserve">https://doi.org/10.2196/41833</w:t>
        </w:r>
      </w:hyperlink>
      <w:r>
        <w:t xml:space="preserve">.</w:t>
      </w:r>
    </w:p>
    <w:bookmarkEnd w:id="149"/>
    <w:bookmarkStart w:id="15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0">
        <w:r>
          <w:rPr>
            <w:rStyle w:val="Hyperlink"/>
          </w:rPr>
          <w:t xml:space="preserve">https://doi.org/10.31234/osf.io/cgsf7</w:t>
        </w:r>
      </w:hyperlink>
      <w:r>
        <w:t xml:space="preserve">.</w:t>
      </w:r>
    </w:p>
    <w:bookmarkEnd w:id="151"/>
    <w:bookmarkStart w:id="152"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2025-04-03T00:18:34Z</dcterms:created>
  <dcterms:modified xsi:type="dcterms:W3CDTF">2025-04-03T00:18:34Z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