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raw probabilities using two candidate calibration methods: logistic, and beta calibration.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Both beta and logistic calibration showed excellent improvement to the no lag model with brier scores of .043 for both methods. Calibration also improved probability accuracy for the 2 week model with brier scores of .061 and .063 for beta and logistic calibration, respectively.</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w:t>
      </w:r>
    </w:p>
    <w:p>
      <w:pPr>
        <w:pStyle w:val="BodyText"/>
      </w:pPr>
      <w:r>
        <w:t xml:space="preserve">On the other hand, as lag time increased past/future risky situations increased in importance even surpassing craving. This suggests that people may have good insight into the types of situations that put their recovery at risk and may have enough notice to anticipate these risks (e.g., weekends, vacations, and anniversaries of significant dates).</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2025-06-20T21:55:34Z</dcterms:created>
  <dcterms:modified xsi:type="dcterms:W3CDTF">2025-06-20T21:55:34Z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