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3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 Predictions of Next Day Alcohol Use for Adaptive and Personalized Continuing Care</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2025-04-03</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non-advantaged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(Bae et al. 2018; Soyster, Ashlock, and Fisher 2022; Walters et al. 2021; 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0"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49"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start of the prediction window.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8"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6" w:name="fairness-analyses"/>
    <w:p>
      <w:pPr>
        <w:pStyle w:val="Heading4"/>
      </w:pPr>
      <w:r>
        <w:t xml:space="preserve">Fairness Analyses</w:t>
      </w:r>
    </w:p>
    <w:p>
      <w:pPr>
        <w:pStyle w:val="FirstParagraph"/>
      </w:pPr>
      <w:r>
        <w:t xml:space="preserve">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r>
        <w:rPr>
          <w:rStyle w:val="FootnoteReference"/>
        </w:rPr>
        <w:footnoteReference w:id="45"/>
      </w:r>
    </w:p>
    <w:bookmarkEnd w:id="46"/>
    <w:bookmarkStart w:id="47"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7"/>
    <w:bookmarkEnd w:id="48"/>
    <w:bookmarkEnd w:id="49"/>
    <w:bookmarkEnd w:id="50"/>
    <w:bookmarkStart w:id="155" w:name="results"/>
    <w:p>
      <w:pPr>
        <w:pStyle w:val="Heading1"/>
      </w:pPr>
      <w:r>
        <w:t xml:space="preserve">Results</w:t>
      </w:r>
    </w:p>
    <w:bookmarkStart w:id="53"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1"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1"/>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Make All Tables for Main Manuscript</w:t>
        </w:r>
      </w:hyperlink>
    </w:p>
    <w:bookmarkEnd w:id="53"/>
    <w:bookmarkStart w:id="59"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0.90 (no lag), 0.88 (1-day lag), 0.87 (3-day lag), 0.86 (1-week lag), and 0.84 (2-week lag). These values represent our best estimates for the magnitude of the auROC parameter for each model. The 95% Bayesian CI for the auROCs for these models were relatively narrow and did not contain 0.5: no lag [0.88-0.92], 1-day lag [0.86-0.90], 3-day lag [0.85-0.89], 1-week lag [0.84-0.88], 2-week lag [0.81-0.86].</w:t>
      </w:r>
    </w:p>
    <w:tbl>
      <w:tblPr>
        <w:tblStyle w:val="Table"/>
        <w:tblW w:type="pct" w:w="5000"/>
        <w:tblLayout w:type="fixed"/>
        <w:tblLook w:firstRow="0" w:lastRow="0" w:firstColumn="0" w:lastColumn="0" w:noHBand="0" w:noVBand="0" w:val="0000"/>
      </w:tblPr>
      <w:tblGrid>
        <w:gridCol w:w="7920"/>
      </w:tblGrid>
      <w:tr>
        <w:tc>
          <w:tcPr/>
          <w:bookmarkStart w:id="57" w:name="fig-pp"/>
          <w:p>
            <w:pPr>
              <w:pStyle w:val="Compact"/>
              <w:jc w:val="center"/>
            </w:pPr>
            <w:r>
              <w:drawing>
                <wp:inline>
                  <wp:extent cx="5334000" cy="4572000"/>
                  <wp:effectExtent b="0" l="0" r="0" t="0"/>
                  <wp:docPr descr="" title="" id="55" name="Picture"/>
                  <a:graphic>
                    <a:graphicData uri="http://schemas.openxmlformats.org/drawingml/2006/picture">
                      <pic:pic>
                        <pic:nvPicPr>
                          <pic:cNvPr descr="index_files/figure-docx/notebooks-mak_figures-fig-pp-output-1.png" id="56" name="Picture"/>
                          <pic:cNvPicPr>
                            <a:picLocks noChangeArrowheads="1" noChangeAspect="1"/>
                          </pic:cNvPicPr>
                        </pic:nvPicPr>
                        <pic:blipFill>
                          <a:blip r:embed="rId54"/>
                          <a:stretch>
                            <a:fillRect/>
                          </a:stretch>
                        </pic:blipFill>
                        <pic:spPr bwMode="auto">
                          <a:xfrm>
                            <a:off x="0" y="0"/>
                            <a:ext cx="5334000" cy="457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Horizonatal lines depict 95% Bayesian credible intervals (CI) and vertical solid lines depict median posterior probability for auROC. Vertical dashed line represents expected performance from a random classifier (.5 auROC).</w:t>
            </w:r>
          </w:p>
          <w:bookmarkEnd w:id="57"/>
        </w:tc>
      </w:tr>
    </w:tbl>
    <w:p>
      <w:pPr>
        <w:pStyle w:val="BodyText"/>
      </w:pPr>
      <w:r>
        <w:rPr>
          <w:vertAlign w:val="subscript"/>
        </w:rPr>
        <w:t xml:space="preserve">Source:</w:t>
      </w:r>
      <w:r>
        <w:rPr>
          <w:vertAlign w:val="subscript"/>
        </w:rPr>
        <w:t xml:space="preserve"> </w:t>
      </w:r>
      <w:hyperlink r:id="rId58">
        <w:r>
          <w:rPr>
            <w:rStyle w:val="Hyperlink"/>
            <w:vertAlign w:val="subscript"/>
          </w:rPr>
          <w:t xml:space="preserve">Make All Figures for Main Manuscript</w:t>
        </w:r>
      </w:hyperlink>
    </w:p>
    <w:bookmarkEnd w:id="59"/>
    <w:bookmarkStart w:id="62"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&gt; .98)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0"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[0.035, 0.052]</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[0.053, 0.073]</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0.999</w:t>
                  </w:r>
                </w:p>
              </w:tc>
            </w:tr>
            <w:tr>
              <w:tc>
                <w:tcPr/>
                <w:p>
                  <w:pPr>
                    <w:pStyle w:val="Compact"/>
                    <w:jc w:val="left"/>
                    <w:jc w:val="center"/>
                  </w:pPr>
                  <w:r>
                    <w:t xml:space="preserve">3 days vs. 1 week</w:t>
                  </w:r>
                </w:p>
              </w:tc>
              <w:tc>
                <w:tcPr/>
                <w:p>
                  <w:pPr>
                    <w:pStyle w:val="Compact"/>
                    <w:jc w:val="left"/>
                    <w:jc w:val="center"/>
                  </w:pPr>
                  <w:r>
                    <w:t xml:space="preserve">0.011</w:t>
                  </w:r>
                </w:p>
              </w:tc>
              <w:tc>
                <w:tcPr/>
                <w:p>
                  <w:pPr>
                    <w:pStyle w:val="Compact"/>
                    <w:jc w:val="left"/>
                    <w:jc w:val="center"/>
                  </w:pPr>
                  <w:r>
                    <w:t xml:space="preserve">[0.003, 0.018]</w:t>
                  </w:r>
                </w:p>
              </w:tc>
              <w:tc>
                <w:tcPr/>
                <w:p>
                  <w:pPr>
                    <w:pStyle w:val="Compact"/>
                    <w:jc w:val="left"/>
                    <w:jc w:val="center"/>
                  </w:pPr>
                  <w:r>
                    <w:t xml:space="preserve">0.989</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[0.011, 0.029]</w:t>
                  </w:r>
                </w:p>
              </w:tc>
              <w:tc>
                <w:tcPr/>
                <w:p>
                  <w:pPr>
                    <w:pStyle w:val="Compact"/>
                    <w:jc w:val="left"/>
                    <w:jc w:val="center"/>
                  </w:pPr>
                  <w:r>
                    <w:t xml:space="preserve">1</w:t>
                  </w:r>
                </w:p>
              </w:tc>
            </w:tr>
            <w:tr>
              <w:tc>
                <w:tcPr/>
                <w:p>
                  <w:pPr>
                    <w:pStyle w:val="Compact"/>
                    <w:jc w:val="left"/>
                    <w:jc w:val="center"/>
                  </w:pPr>
                  <w:r>
                    <w:t xml:space="preserve"> </w:t>
                  </w:r>
                  <w:r>
                    <w:t xml:space="preserve">Median auROC differences greater than 0 indicate the more immediate model, on average, out-performed the more lagged model (e.g., no lag - 1-day lag, 1-day lag - 3-day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60"/>
          <w:p/>
        </w:tc>
      </w:tr>
    </w:tbl>
    <w:p>
      <w:pPr>
        <w:pStyle w:val="BodyText"/>
      </w:pPr>
      <w:r>
        <w:rPr>
          <w:vertAlign w:val="subscript"/>
        </w:rPr>
        <w:t xml:space="preserve">Source:</w:t>
      </w:r>
      <w:r>
        <w:rPr>
          <w:vertAlign w:val="subscript"/>
        </w:rPr>
        <w:t xml:space="preserve"> </w:t>
      </w:r>
      <w:hyperlink r:id="rId61">
        <w:r>
          <w:rPr>
            <w:rStyle w:val="Hyperlink"/>
            <w:vertAlign w:val="subscript"/>
          </w:rPr>
          <w:t xml:space="preserve">Make All Tables for Main Manuscript</w:t>
        </w:r>
      </w:hyperlink>
    </w:p>
    <w:bookmarkEnd w:id="62"/>
    <w:bookmarkStart w:id="65"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greater than 0 for the three fairness contrasts: race/ethnicity (Non-Hispanic White;</w:t>
      </w:r>
      <w:r>
        <w:t xml:space="preserve"> </w:t>
      </w:r>
      <w:r>
        <w:rPr>
          <w:i/>
          <w:iCs/>
        </w:rPr>
        <w:t xml:space="preserve">N</w:t>
      </w:r>
      <w:r>
        <w:t xml:space="preserve"> </w:t>
      </w:r>
      <w:r>
        <w:t xml:space="preserve">= 131 vs. not White;</w:t>
      </w:r>
      <w:r>
        <w:t xml:space="preserve"> </w:t>
      </w:r>
      <w:r>
        <w:rPr>
          <w:i/>
          <w:iCs/>
        </w:rPr>
        <w:t xml:space="preserve">N</w:t>
      </w:r>
      <w:r>
        <w:t xml:space="preserve"> </w:t>
      </w:r>
      <w:r>
        <w:t xml:space="preserve">= 20), sex at birth (male;</w:t>
      </w:r>
      <w:r>
        <w:t xml:space="preserve"> </w:t>
      </w:r>
      <w:r>
        <w:rPr>
          <w:i/>
          <w:iCs/>
        </w:rPr>
        <w:t xml:space="preserve">N</w:t>
      </w:r>
      <w:r>
        <w:t xml:space="preserve"> </w:t>
      </w:r>
      <w:r>
        <w:t xml:space="preserve">= 77 vs. female;</w:t>
      </w:r>
      <w:r>
        <w:t xml:space="preserve"> </w:t>
      </w:r>
      <w:r>
        <w:rPr>
          <w:i/>
          <w:iCs/>
        </w:rPr>
        <w:t xml:space="preserve">N</w:t>
      </w:r>
      <w:r>
        <w:t xml:space="preserve"> </w:t>
      </w:r>
      <w:r>
        <w:t xml:space="preserve">= 74), and income (above poverty;</w:t>
      </w:r>
      <w:r>
        <w:t xml:space="preserve"> </w:t>
      </w:r>
      <w:r>
        <w:rPr>
          <w:i/>
          <w:iCs/>
        </w:rPr>
        <w:t xml:space="preserve">N</w:t>
      </w:r>
      <w:r>
        <w:t xml:space="preserve"> </w:t>
      </w:r>
      <w:r>
        <w:t xml:space="preserve">= 102 vs. below poverty;</w:t>
      </w:r>
      <w:r>
        <w:t xml:space="preserve"> </w:t>
      </w:r>
      <w:r>
        <w:rPr>
          <w:i/>
          <w:iCs/>
        </w:rPr>
        <w:t xml:space="preserve">N</w:t>
      </w:r>
      <w:r>
        <w:t xml:space="preserve"> </w:t>
      </w:r>
      <w:r>
        <w:t xml:space="preserve">= 49). Median auROC differences greater than 0 indicate the model, on average, performed better for the advantaged group (male, non-Hispanic White, and above poverty) compared to the non-advantaged group (female, not White, below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 There was strong evidence (probabilities &gt; .96) that our models performed better for the advantaged groups compared to the non-advantaged groups. On average, across all five models, there was a median decrease in auROC of 0.15 (range 0.11-0.27)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0.04 (range 0.03-0.06) for participants below the federal poverty line compared to participants above the federal poverty line. Lapse reports were relatively consistent across groups (percentages of lapse labels vs. combined lapse and no lapse labels by group are available in the supplement).</w:t>
      </w:r>
    </w:p>
    <w:tbl>
      <w:tblPr>
        <w:tblStyle w:val="Table"/>
        <w:tblW w:type="pct" w:w="5000"/>
        <w:tblLayout w:type="fixed"/>
        <w:tblLook w:firstRow="0" w:lastRow="0" w:firstColumn="0" w:lastColumn="0" w:noHBand="0" w:noVBand="0" w:val="0000"/>
      </w:tblPr>
      <w:tblGrid>
        <w:gridCol w:w="7920"/>
      </w:tblGrid>
      <w:tr>
        <w:tc>
          <w:tcPr/>
          <w:bookmarkStart w:id="63"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0.042</w:t>
                  </w:r>
                </w:p>
              </w:tc>
              <w:tc>
                <w:tcPr/>
                <w:p>
                  <w:pPr>
                    <w:pStyle w:val="Compact"/>
                    <w:jc w:val="left"/>
                    <w:jc w:val="center"/>
                  </w:pPr>
                  <w:r>
                    <w:t xml:space="preserve">[0.027, 0.058]</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0.215</w:t>
                  </w:r>
                </w:p>
              </w:tc>
              <w:tc>
                <w:tcPr/>
                <w:p>
                  <w:pPr>
                    <w:pStyle w:val="Compact"/>
                    <w:jc w:val="left"/>
                    <w:jc w:val="center"/>
                  </w:pPr>
                  <w:r>
                    <w:t xml:space="preserve">[0.057, 0.422]</w:t>
                  </w:r>
                </w:p>
              </w:tc>
              <w:tc>
                <w:tcPr/>
                <w:p>
                  <w:pPr>
                    <w:pStyle w:val="Compact"/>
                    <w:jc w:val="left"/>
                    <w:jc w:val="center"/>
                  </w:pPr>
                  <w:r>
                    <w:t xml:space="preserve">0.991</w:t>
                  </w:r>
                </w:p>
              </w:tc>
            </w:tr>
            <w:tr>
              <w:tc>
                <w:tcPr/>
                <w:p>
                  <w:pPr>
                    <w:pStyle w:val="Compact"/>
                    <w:jc w:val="left"/>
                    <w:jc w:val="center"/>
                  </w:pPr>
                  <w:r>
                    <w:t xml:space="preserve">above poverty vs. below poverty</w:t>
                  </w:r>
                </w:p>
              </w:tc>
              <w:tc>
                <w:tcPr/>
                <w:p>
                  <w:pPr>
                    <w:pStyle w:val="Compact"/>
                    <w:jc w:val="left"/>
                    <w:jc w:val="center"/>
                  </w:pPr>
                  <w:r>
                    <w:t xml:space="preserve">0.026</w:t>
                  </w:r>
                </w:p>
              </w:tc>
              <w:tc>
                <w:tcPr/>
                <w:p>
                  <w:pPr>
                    <w:pStyle w:val="Compact"/>
                    <w:jc w:val="left"/>
                    <w:jc w:val="center"/>
                  </w:pPr>
                  <w:r>
                    <w:t xml:space="preserve">[0.003, 0.051]</w:t>
                  </w:r>
                </w:p>
              </w:tc>
              <w:tc>
                <w:tcPr/>
                <w:p>
                  <w:pPr>
                    <w:pStyle w:val="Compact"/>
                    <w:jc w:val="left"/>
                    <w:jc w:val="center"/>
                  </w:pPr>
                  <w:r>
                    <w:t xml:space="preserve">0.966</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0.097</w:t>
                  </w:r>
                </w:p>
              </w:tc>
              <w:tc>
                <w:tcPr/>
                <w:p>
                  <w:pPr>
                    <w:pStyle w:val="Compact"/>
                    <w:jc w:val="left"/>
                    <w:jc w:val="center"/>
                  </w:pPr>
                  <w:r>
                    <w:t xml:space="preserve">[0.076, 0.119]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0.109</w:t>
                  </w:r>
                </w:p>
              </w:tc>
              <w:tc>
                <w:tcPr/>
                <w:p>
                  <w:pPr>
                    <w:pStyle w:val="Compact"/>
                    <w:jc w:val="left"/>
                    <w:jc w:val="center"/>
                  </w:pPr>
                  <w:r>
                    <w:t xml:space="preserve">[0.064, 0.16]</w:t>
                  </w:r>
                </w:p>
              </w:tc>
              <w:tc>
                <w:tcPr/>
                <w:p>
                  <w:pPr>
                    <w:pStyle w:val="Compact"/>
                    <w:jc w:val="left"/>
                    <w:jc w:val="center"/>
                  </w:pPr>
                  <w:r>
                    <w:t xml:space="preserve">1</w:t>
                  </w:r>
                </w:p>
              </w:tc>
            </w:tr>
            <w:tr>
              <w:tc>
                <w:tcPr/>
                <w:p>
                  <w:pPr>
                    <w:pStyle w:val="Compact"/>
                    <w:jc w:val="left"/>
                    <w:jc w:val="center"/>
                  </w:pPr>
                  <w:r>
                    <w:t xml:space="preserve">above poverty vs. below poverty</w:t>
                  </w:r>
                </w:p>
              </w:tc>
              <w:tc>
                <w:tcPr/>
                <w:p>
                  <w:pPr>
                    <w:pStyle w:val="Compact"/>
                    <w:jc w:val="left"/>
                    <w:jc w:val="center"/>
                  </w:pPr>
                  <w:r>
                    <w:t xml:space="preserve">0.057</w:t>
                  </w:r>
                </w:p>
              </w:tc>
              <w:tc>
                <w:tcPr/>
                <w:p>
                  <w:pPr>
                    <w:pStyle w:val="Compact"/>
                    <w:jc w:val="left"/>
                    <w:jc w:val="center"/>
                  </w:pPr>
                  <w:r>
                    <w:t xml:space="preserve">[0.025, 0.09]</w:t>
                  </w:r>
                </w:p>
              </w:tc>
              <w:tc>
                <w:tcPr/>
                <w:p>
                  <w:pPr>
                    <w:pStyle w:val="Compact"/>
                    <w:jc w:val="left"/>
                    <w:jc w:val="center"/>
                  </w:pPr>
                  <w:r>
                    <w:t xml:space="preserve">0.998</w:t>
                  </w:r>
                </w:p>
              </w:tc>
            </w:tr>
            <w:tr>
              <w:tc>
                <w:tcPr/>
                <w:p>
                  <w:pPr>
                    <w:pStyle w:val="Compact"/>
                    <w:jc w:val="left"/>
                    <w:jc w:val="center"/>
                  </w:pPr>
                  <w:r>
                    <w:t xml:space="preserve"> </w:t>
                  </w:r>
                  <w:r>
                    <w:t xml:space="preserve">Median auROC differences greater than 0 indicate the model, on average, performed better for the advantaged group (male, non-Hispanic White, and above poverty) compared to the non-advantaged group (female, not White, below poverty). Bayesian CI represents the range of values where there is a 95% probability that the true auROC difference lies within that range. Probability indicates the posterior probability that this difference is greater than 0 (i.e., the models are performing differently for fairness subgroups).</w:t>
                  </w:r>
                </w:p>
              </w:tc>
              <w:tc>
                <w:tcPr/>
                <w:p>
                  <w:pPr>
                    <w:pStyle w:val="Compact"/>
                  </w:pPr>
                </w:p>
              </w:tc>
              <w:tc>
                <w:tcPr/>
                <w:p>
                  <w:pPr>
                    <w:pStyle w:val="Compact"/>
                  </w:pPr>
                </w:p>
              </w:tc>
              <w:tc>
                <w:tcPr/>
                <w:p>
                  <w:pPr>
                    <w:pStyle w:val="Compact"/>
                  </w:pPr>
                </w:p>
              </w:tc>
            </w:tr>
          </w:tbl>
          <w:bookmarkEnd w:id="63"/>
          <w:p/>
        </w:tc>
      </w:tr>
    </w:tbl>
    <w:p>
      <w:pPr>
        <w:pStyle w:val="BodyText"/>
      </w:pPr>
      <w:r>
        <w:rPr>
          <w:vertAlign w:val="subscript"/>
        </w:rPr>
        <w:t xml:space="preserve">Source:</w:t>
      </w:r>
      <w:r>
        <w:rPr>
          <w:vertAlign w:val="subscript"/>
        </w:rPr>
        <w:t xml:space="preserve"> </w:t>
      </w:r>
      <w:hyperlink r:id="rId64">
        <w:r>
          <w:rPr>
            <w:rStyle w:val="Hyperlink"/>
            <w:vertAlign w:val="subscript"/>
          </w:rPr>
          <w:t xml:space="preserve">Make All Tables for Main Manuscript</w:t>
        </w:r>
      </w:hyperlink>
    </w:p>
    <w:bookmarkEnd w:id="65"/>
    <w:bookmarkStart w:id="71" w:name="feature-importance-1"/>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three globally important feature categories (i.e., highest mean |Shapley value|) for all models were past use, future efficacy, and craving. This was also consistent across demographic groups (plots of global feature importance by demographic group are availble for the no lag and 2-week lag models in the supplement). Panel A of</w:t>
      </w:r>
      <w:r>
        <w:t xml:space="preserve"> </w:t>
      </w:r>
      <w:hyperlink w:anchor="fig-3">
        <w:r>
          <w:rPr>
            <w:rStyle w:val="Hyperlink"/>
          </w:rPr>
          <w:t xml:space="preserve">Figure 3</w:t>
        </w:r>
      </w:hyperlink>
      <w:r>
        <w:t xml:space="preserve"> </w:t>
      </w:r>
      <w:r>
        <w:t xml:space="preserve">shows the relative ranking of feature categories for the no lag and 2-week lag models.</w:t>
      </w:r>
    </w:p>
    <w:p>
      <w:pPr>
        <w:pStyle w:val="BodyText"/>
      </w:pPr>
      <w:r>
        <w:t xml:space="preserve">Local feature importance is an indicator of how important a feature category is at a specific prediction timepoint (i.e., for a single individual on a specific day). Local importance can be used to map feature categories onto clinical interventions and recommendations (e.g., What does this individual need right now?). Panel B of</w:t>
      </w:r>
      <w:r>
        <w:t xml:space="preserve"> </w:t>
      </w:r>
      <w:hyperlink w:anchor="fig-3">
        <w:r>
          <w:rPr>
            <w:rStyle w:val="Hyperlink"/>
          </w:rPr>
          <w:t xml:space="preserve">Figure 3</w:t>
        </w:r>
      </w:hyperlink>
      <w:r>
        <w:t xml:space="preserve"> </w:t>
      </w:r>
      <w:r>
        <w:t xml:space="preserve">shows the range of local feature importance (minimum Shapley value and maximum Shapley value) for each EMA feature category for the no lag and 2-week lag models. This plot suggests that even feature categories with low global importance (e.g., past pleasant event) have a wide range of local importance values, suggesting that for some people at some moments in time these features are clinically important.</w:t>
      </w:r>
    </w:p>
    <w:tbl>
      <w:tblPr>
        <w:tblStyle w:val="Table"/>
        <w:tblW w:type="pct" w:w="5000"/>
        <w:tblLayout w:type="fixed"/>
        <w:tblLook w:firstRow="0" w:lastRow="0" w:firstColumn="0" w:lastColumn="0" w:noHBand="0" w:noVBand="0" w:val="0000"/>
      </w:tblPr>
      <w:tblGrid>
        <w:gridCol w:w="7920"/>
      </w:tblGrid>
      <w:tr>
        <w:tc>
          <w:tcPr/>
          <w:bookmarkStart w:id="69" w:name="fig-3"/>
          <w:p>
            <w:pPr>
              <w:pStyle w:val="Compact"/>
              <w:jc w:val="center"/>
            </w:pPr>
            <w:r>
              <w:drawing>
                <wp:inline>
                  <wp:extent cx="5334000" cy="3333750"/>
                  <wp:effectExtent b="0" l="0" r="0" t="0"/>
                  <wp:docPr descr="" title="" id="67" name="Picture"/>
                  <a:graphic>
                    <a:graphicData uri="http://schemas.openxmlformats.org/drawingml/2006/picture">
                      <pic:pic>
                        <pic:nvPicPr>
                          <pic:cNvPr descr="index_files/figure-docx/notebooks-mak_figures-fig-3-output-1.png" id="68" name="Picture"/>
                          <pic:cNvPicPr>
                            <a:picLocks noChangeArrowheads="1" noChangeAspect="1"/>
                          </pic:cNvPicPr>
                        </pic:nvPicPr>
                        <pic:blipFill>
                          <a:blip r:embed="rId66"/>
                          <a:stretch>
                            <a:fillRect/>
                          </a:stretch>
                        </pic:blipFill>
                        <pic:spPr bwMode="auto">
                          <a:xfrm>
                            <a:off x="0" y="0"/>
                            <a:ext cx="5334000" cy="33337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69"/>
        </w:tc>
      </w:tr>
    </w:tbl>
    <w:p>
      <w:pPr>
        <w:pStyle w:val="BodyText"/>
      </w:pPr>
      <w:r>
        <w:rPr>
          <w:vertAlign w:val="subscript"/>
        </w:rPr>
        <w:t xml:space="preserve">Source:</w:t>
      </w:r>
      <w:r>
        <w:rPr>
          <w:vertAlign w:val="subscript"/>
        </w:rPr>
        <w:t xml:space="preserve"> </w:t>
      </w:r>
      <w:hyperlink r:id="rId70">
        <w:r>
          <w:rPr>
            <w:rStyle w:val="Hyperlink"/>
            <w:vertAlign w:val="subscript"/>
          </w:rPr>
          <w:t xml:space="preserve">Make All Figures for Main Manuscript</w:t>
        </w:r>
      </w:hyperlink>
    </w:p>
    <w:bookmarkEnd w:id="71"/>
    <w:bookmarkStart w:id="72" w:name="discussion"/>
    <w:p>
      <w:pPr>
        <w:pStyle w:val="Heading2"/>
      </w:pPr>
      <w:r>
        <w:t xml:space="preserve">Discussion</w:t>
      </w:r>
    </w:p>
    <w:bookmarkEnd w:id="72"/>
    <w:bookmarkStart w:id="73" w:name="model-performance"/>
    <w:p>
      <w:pPr>
        <w:pStyle w:val="Heading2"/>
      </w:pPr>
      <w:r>
        <w:t xml:space="preserve">Model Performance</w:t>
      </w:r>
    </w:p>
    <w:p>
      <w:pPr>
        <w:pStyle w:val="FirstParagraph"/>
      </w:pPr>
      <w:r>
        <w:t xml:space="preserve">Our models performed exceptionally well. Our no lag models had a .90 median posterior probability for auROC. This model predicts the probability of an immediate (i.e., within 24 hours) lapse back to alcohol use. Our 2-week lagged model, our most lagged model, had a .84 median posterior probability for auROC, suggesting lagged models can be used to shift a 24-hour prediction window up to weeks out.</w:t>
      </w:r>
    </w:p>
    <w:p>
      <w:pPr>
        <w:pStyle w:val="BodyText"/>
      </w:pPr>
      <w:r>
        <w:t xml:space="preserve">Across all models (no lag, 1 day, 3 days, 1 week, and 2 weeks) we saw model performance decrease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change day-by-day, if not more frequently. As lag time increases, features become less proximal to the start of the prediction window. Still, we wish to emphasize that our lowest auROC (.84) is still quite good, and the benefit of advanced notice (i.e., 2 weeks) likely outweighs the cost to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When looking at global feature importance, or how important a feature category was to the model’s predictions, on average across all participants and all observations, the relative ordering of important features remained somewhat consistent across both our no lag and 2-week lag models. Past use, future efficacy, and craving were the top three features for both models. However the magnitude of their importance varied by lag time. For the 2-week lagged models, these top features were overall less important for the model’s predictions compared to the no lag model. This is consistent with the 2-week lagged model’s lower performance, compared to the no lag model.</w:t>
      </w:r>
    </w:p>
    <w:p>
      <w:pPr>
        <w:pStyle w:val="BodyText"/>
      </w:pPr>
      <w:r>
        <w:t xml:space="preserve">When looking at local feature importance, or how important a feature category is for an individual prediction timepoint for a single individual on a specific day, we saw a wide variation in possible values for both the no lag and 2-week lag models. A wide range of possible values suggests that even feature categories with low global importance (e.g., past pleasant event) are important risk-relevant factors for some people on some days.</w:t>
      </w:r>
    </w:p>
    <w:p>
      <w:pPr>
        <w:pStyle w:val="BodyText"/>
      </w:pPr>
      <w:r>
        <w:t xml:space="preserve">We believe our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This study provides initial support that immediate and lagged prediction models can be built with high accuracy using EMA for recovery monitoring. Furthermore, the high variance in importance of features for individual predictions is well suited for making tailored recovery support recommendations.</w:t>
      </w:r>
    </w:p>
    <w:p>
      <w:pPr>
        <w:pStyle w:val="BodyText"/>
      </w:pPr>
      <w:r>
        <w:t xml:space="preserve">Our no lag models can be used to guide individuals to take immediate actionable steps to maintain their recovery goals and support them in implementing these steps (e.g., pointing them to a specific module in an app). For example, recommending an urge surfing activity when someone’s immediate risk is driven by strong craving, recommending a guided relaxation video when someone is reporting recent stressful events, or encouraging individuals to reflect on recent past successes or reasons for choosing abstinence or moderation when self-efficacy is low.</w:t>
      </w:r>
    </w:p>
    <w:p>
      <w:pPr>
        <w:pStyle w:val="BodyText"/>
      </w:pPr>
      <w:r>
        <w:t xml:space="preserve">The 2-week lagged model provides individuals with advanced warning of their lapse risk. These models are well-suited to support recovery needs that cannot be addressed within an app, such as scheduling positive or pleasant activities, increasing social engagement, or attending a peer-led recovery meeting.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week model.</w:t>
      </w:r>
    </w:p>
    <w:bookmarkEnd w:id="73"/>
    <w:bookmarkStart w:id="74" w:name="model-fairness"/>
    <w:p>
      <w:pPr>
        <w:pStyle w:val="Heading2"/>
      </w:pPr>
      <w:r>
        <w:t xml:space="preserve">Model Fairness</w:t>
      </w:r>
    </w:p>
    <w:p>
      <w:pPr>
        <w:pStyle w:val="FirstParagraph"/>
      </w:pPr>
      <w:r>
        <w:t xml:space="preserve">In our previous study</w:t>
      </w:r>
      <w:r>
        <w:t xml:space="preserve"> </w:t>
      </w:r>
      <w:r>
        <w:t xml:space="preserve">(Wyant et al. 2024)</w:t>
      </w:r>
      <w:r>
        <w:t xml:space="preserve">, we failed to assess model fairness. In recent years, the machine learning field has begun to understand the critical importance of evaluating model fairness when algorithms are used to inform important decisions (e.g., healthcare services offered, eligibility for loans, early parole). Algorithms that perform favorably for only a single majority group could widen existing disparities in access to resources and important clinical outcomes. Therefore, we are committed to continuing to improve our understanding of and methods for evaluating model fairness. In this study, we assessed model fairness by comparing model performance across important subgroups with known disparities in substance use treatment access and/or outcomes - race/ethnicity (not White vs. non-Hispanic White), income (below poverty vs. above poverty), and sex at birth (female vs. male).</w:t>
      </w:r>
    </w:p>
    <w:p>
      <w:pPr>
        <w:pStyle w:val="BodyText"/>
      </w:pPr>
      <w:r>
        <w:t xml:space="preserve">All models performed worse for people who were not White, and for people who had an income below the poverty line. The largest contributing factor is likely the lack of diversity in our training data. Our sample was majority non-Hispanic White (</w:t>
      </w:r>
      <w:r>
        <w:rPr>
          <w:i/>
          <w:iCs/>
        </w:rPr>
        <w:t xml:space="preserve">N</w:t>
      </w:r>
      <w:r>
        <w:t xml:space="preserve">=131, 87%) with an average income of $34,000. As a result, even with our coarse combination of race/ethnicity, the not White group was severely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These data were collected from 2015-2017. Our group has since committed to making changes in recruitment strategies. We are currently working to collect data from a more diverse sample of individuals with alcohol use disorder to improve these models</w:t>
      </w:r>
      <w:r>
        <w:t xml:space="preserve"> </w:t>
      </w:r>
      <w:r>
        <w:t xml:space="preserve">(Wyant et al. in prep)</w:t>
      </w:r>
      <w:r>
        <w:t xml:space="preserv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non-advantaged group representation in the data (e.g., using synthetic minority oversampling technique). We also could adjust the penalty weights so that prediction errors for non-advantaged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can capitalize on time series data by building individual models for each participant using their own data. Individual models may help mitigate issues of unfairness, as the model will weigh the individual’s own data more heavily than group level estimates. In other words, how does lapse risk evolve over time for a specific individual.</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decades of relapse risk research. However, prior to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most substance abuse treatment research due to their childbearing potential</w:t>
      </w:r>
      <w:r>
        <w:t xml:space="preserve"> </w:t>
      </w:r>
      <w:r>
        <w:t xml:space="preserve">(Vannicelli and Nash 1984)</w:t>
      </w:r>
      <w:r>
        <w:t xml:space="preserve">. As a result, it is possible that these constructs more precisely describe relapse risk factors for men than for women. This could mean that more research is needed to identify relapse risk factors for women (e.g., interpersonal relationship problems</w:t>
      </w:r>
      <w:r>
        <w:t xml:space="preserve"> </w:t>
      </w:r>
      <w:r>
        <w:t xml:space="preserve">(Walitzer and Dearing 2006)</w:t>
      </w:r>
      <w:r>
        <w:t xml:space="preserve">, hormonal changes</w:t>
      </w:r>
      <w:r>
        <w:t xml:space="preserve"> </w:t>
      </w:r>
      <w:r>
        <w:t xml:space="preserve">(McHugh et al. 2018)</w:t>
      </w:r>
      <w:r>
        <w:t xml:space="preserve">), and other groups underrepresented in the literature more broadly.</w:t>
      </w:r>
    </w:p>
    <w:p>
      <w:pPr>
        <w:pStyle w:val="BodyText"/>
      </w:pPr>
      <w:r>
        <w:t xml:space="preserve">Additionally, data driven (bottom-up) approaches to creating features could be one way to remove some of the bias in domain driven (top-down) approaches. For example, using natural language processing on text message content could allow for new categories of features to emerge.</w:t>
      </w:r>
      <w:r>
        <w:t xml:space="preserve"> </w:t>
      </w:r>
    </w:p>
    <w:p>
      <w:pPr>
        <w:pStyle w:val="BodyText"/>
      </w:pPr>
      <w:r>
        <w:t xml:space="preserve">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result in individuals under-reporting lapses and/or risk factors, contributing to the gap in model performance. We saw a comparable, or slightly higher, percentage of lapse reports for disadvantaged compared to advantaged groups: race/ethnicity (6%, not White vs. 8%, non-Hispanic White), income (12%, below poverty vs. 7%, above poverty), sex at birth (9%, female vs. 7%, male). However, comparable lapse labels (i.e., reported lapses) does not necessarily equate comparable reporting (i.e., proportion of true lapses reported).</w:t>
      </w:r>
    </w:p>
    <w:bookmarkEnd w:id="74"/>
    <w:bookmarkStart w:id="75" w:name="X40ab624ebf83813907a18dba36edd4d1d14a553"/>
    <w:p>
      <w:pPr>
        <w:pStyle w:val="Heading2"/>
      </w:pPr>
      <w:r>
        <w:t xml:space="preserve">Additional Limitations and Future Directions</w:t>
      </w:r>
    </w:p>
    <w:p>
      <w:pPr>
        <w:pStyle w:val="FirstParagraph"/>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w:t>
      </w:r>
      <w:r>
        <w:t xml:space="preserve">(Pulick, Curtin, and Mintz under review)</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75"/>
    <w:bookmarkStart w:id="76"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76"/>
    <w:bookmarkStart w:id="154" w:name="references"/>
    <w:p>
      <w:pPr>
        <w:pStyle w:val="Heading2"/>
      </w:pPr>
      <w:r>
        <w:t xml:space="preserve">References</w:t>
      </w:r>
    </w:p>
    <w:bookmarkStart w:id="153" w:name="refs"/>
    <w:bookmarkStart w:id="78"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7">
        <w:r>
          <w:rPr>
            <w:rStyle w:val="Hyperlink"/>
          </w:rPr>
          <w:t xml:space="preserve">https://doi.org/10.1016/j.addbeh.2017.11.039</w:t>
        </w:r>
      </w:hyperlink>
      <w:r>
        <w:t xml:space="preserve">.</w:t>
      </w:r>
    </w:p>
    <w:bookmarkEnd w:id="78"/>
    <w:bookmarkStart w:id="80"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9">
        <w:r>
          <w:rPr>
            <w:rStyle w:val="Hyperlink"/>
          </w:rPr>
          <w:t xml:space="preserve">https://doi.org/10.1007/s10488-016-0718-5</w:t>
        </w:r>
      </w:hyperlink>
      <w:r>
        <w:t xml:space="preserve">.</w:t>
      </w:r>
    </w:p>
    <w:bookmarkEnd w:id="80"/>
    <w:bookmarkStart w:id="81"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81"/>
    <w:bookmarkStart w:id="83"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82">
        <w:r>
          <w:rPr>
            <w:rStyle w:val="Hyperlink"/>
          </w:rPr>
          <w:t xml:space="preserve">https://doi.org/10.1146/annurev.clinpsy.3.022806.091455</w:t>
        </w:r>
      </w:hyperlink>
      <w:r>
        <w:t xml:space="preserve">.</w:t>
      </w:r>
    </w:p>
    <w:bookmarkEnd w:id="83"/>
    <w:bookmarkStart w:id="85"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84">
        <w:r>
          <w:rPr>
            <w:rStyle w:val="Hyperlink"/>
          </w:rPr>
          <w:t xml:space="preserve">https://doi.org/10.21231/GNT1-HW21</w:t>
        </w:r>
      </w:hyperlink>
      <w:r>
        <w:t xml:space="preserve">.</w:t>
      </w:r>
    </w:p>
    <w:bookmarkEnd w:id="85"/>
    <w:bookmarkStart w:id="86"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86"/>
    <w:bookmarkStart w:id="88" w:name="ref-dennisManagingAddictionChronic2007"/>
    <w:p>
      <w:pPr>
        <w:pStyle w:val="Bibliography"/>
      </w:pPr>
      <w:r>
        <w:t xml:space="preserve">Dennis, Michael, and Christy K Scott. 2007.</w:t>
      </w:r>
      <w:r>
        <w:t xml:space="preserve"> </w:t>
      </w:r>
      <w:r>
        <w:t xml:space="preserve">“</w:t>
      </w:r>
      <w:hyperlink r:id="rId87">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88"/>
    <w:bookmarkStart w:id="89"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89"/>
    <w:bookmarkStart w:id="91"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90">
        <w:r>
          <w:rPr>
            <w:rStyle w:val="Hyperlink"/>
          </w:rPr>
          <w:t xml:space="preserve">https://doi.org/10.1016/j.brat.2019.103506</w:t>
        </w:r>
      </w:hyperlink>
      <w:r>
        <w:t xml:space="preserve">.</w:t>
      </w:r>
    </w:p>
    <w:bookmarkEnd w:id="91"/>
    <w:bookmarkStart w:id="92"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92"/>
    <w:bookmarkStart w:id="93"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93"/>
    <w:bookmarkStart w:id="95"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94">
        <w:r>
          <w:rPr>
            <w:rStyle w:val="Hyperlink"/>
          </w:rPr>
          <w:t xml:space="preserve">https://doi.org/10.1016/j.drugalcdep.2006.05.012</w:t>
        </w:r>
      </w:hyperlink>
      <w:r>
        <w:t xml:space="preserve">.</w:t>
      </w:r>
    </w:p>
    <w:bookmarkEnd w:id="95"/>
    <w:bookmarkStart w:id="96"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96"/>
    <w:bookmarkStart w:id="97"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7"/>
    <w:bookmarkStart w:id="98"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98"/>
    <w:bookmarkStart w:id="100"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99">
        <w:r>
          <w:rPr>
            <w:rStyle w:val="Hyperlink"/>
          </w:rPr>
          <w:t xml:space="preserve">https://doi.org/10/gfsjzg</w:t>
        </w:r>
      </w:hyperlink>
      <w:r>
        <w:t xml:space="preserve">.</w:t>
      </w:r>
    </w:p>
    <w:bookmarkEnd w:id="100"/>
    <w:bookmarkStart w:id="102"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01">
        <w:r>
          <w:rPr>
            <w:rStyle w:val="Hyperlink"/>
          </w:rPr>
          <w:t xml:space="preserve">https://doi.org/10.1001/jamanetworkopen.2020.5852</w:t>
        </w:r>
      </w:hyperlink>
      <w:r>
        <w:t xml:space="preserve">.</w:t>
      </w:r>
    </w:p>
    <w:bookmarkEnd w:id="102"/>
    <w:bookmarkStart w:id="104"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03">
        <w:r>
          <w:rPr>
            <w:rStyle w:val="Hyperlink"/>
          </w:rPr>
          <w:t xml:space="preserve">https://doi.org/10.1007/s11920-012-0296-5</w:t>
        </w:r>
      </w:hyperlink>
      <w:r>
        <w:t xml:space="preserve">.</w:t>
      </w:r>
    </w:p>
    <w:bookmarkEnd w:id="104"/>
    <w:bookmarkStart w:id="105"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05"/>
    <w:bookmarkStart w:id="107"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06">
        <w:r>
          <w:rPr>
            <w:rStyle w:val="Hyperlink"/>
          </w:rPr>
          <w:t xml:space="preserve">https://doi.org/10.1007/978-1-4614-6849-3</w:t>
        </w:r>
      </w:hyperlink>
      <w:r>
        <w:t xml:space="preserve">.</w:t>
      </w:r>
    </w:p>
    <w:bookmarkEnd w:id="107"/>
    <w:bookmarkStart w:id="108"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08"/>
    <w:bookmarkStart w:id="109"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09"/>
    <w:bookmarkStart w:id="110"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10"/>
    <w:bookmarkStart w:id="111"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11"/>
    <w:bookmarkStart w:id="113" w:name="ref-mchughSexGenderDifferences2018a"/>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Gender and</w:t>
      </w:r>
      <w:r>
        <w:t xml:space="preserve"> </w:t>
      </w:r>
      <w:r>
        <w:t xml:space="preserve">Mental Health</w:t>
      </w:r>
      <w:r>
        <w:t xml:space="preserve">, 66 (December): 12–23.</w:t>
      </w:r>
      <w:r>
        <w:t xml:space="preserve"> </w:t>
      </w:r>
      <w:hyperlink r:id="rId112">
        <w:r>
          <w:rPr>
            <w:rStyle w:val="Hyperlink"/>
          </w:rPr>
          <w:t xml:space="preserve">https://doi.org/10.1016/j.cpr.2017.10.012</w:t>
        </w:r>
      </w:hyperlink>
      <w:r>
        <w:t xml:space="preserve">.</w:t>
      </w:r>
    </w:p>
    <w:bookmarkEnd w:id="113"/>
    <w:bookmarkStart w:id="115"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14">
        <w:r>
          <w:rPr>
            <w:rStyle w:val="Hyperlink"/>
          </w:rPr>
          <w:t xml:space="preserve">https://doi.org/10.1001/jama.284.13.1689</w:t>
        </w:r>
      </w:hyperlink>
      <w:r>
        <w:t xml:space="preserve">.</w:t>
      </w:r>
    </w:p>
    <w:bookmarkEnd w:id="115"/>
    <w:bookmarkStart w:id="117"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16">
        <w:r>
          <w:rPr>
            <w:rStyle w:val="Hyperlink"/>
          </w:rPr>
          <w:t xml:space="preserve">https://doi.org/10.1016/j.drugalcdep.2021.108706</w:t>
        </w:r>
      </w:hyperlink>
      <w:r>
        <w:t xml:space="preserve">.</w:t>
      </w:r>
    </w:p>
    <w:bookmarkEnd w:id="117"/>
    <w:bookmarkStart w:id="119"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18">
        <w:r>
          <w:rPr>
            <w:rStyle w:val="Hyperlink"/>
          </w:rPr>
          <w:t xml:space="preserve">https://doi.org/10.1146/annurev-clinpsy-032816-044949</w:t>
        </w:r>
      </w:hyperlink>
      <w:r>
        <w:t xml:space="preserve">.</w:t>
      </w:r>
    </w:p>
    <w:bookmarkEnd w:id="119"/>
    <w:bookmarkStart w:id="121"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20">
        <w:r>
          <w:rPr>
            <w:rStyle w:val="Hyperlink"/>
          </w:rPr>
          <w:t xml:space="preserve">https://doi.org/10.2196/29563</w:t>
        </w:r>
      </w:hyperlink>
      <w:r>
        <w:t xml:space="preserve">.</w:t>
      </w:r>
    </w:p>
    <w:bookmarkEnd w:id="121"/>
    <w:bookmarkStart w:id="123"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22">
        <w:r>
          <w:rPr>
            <w:rStyle w:val="Hyperlink"/>
          </w:rPr>
          <w:t xml:space="preserve">https://doi.org/10.1016/j.jsat.2021.108710</w:t>
        </w:r>
      </w:hyperlink>
      <w:r>
        <w:t xml:space="preserve">.</w:t>
      </w:r>
    </w:p>
    <w:bookmarkEnd w:id="123"/>
    <w:bookmarkStart w:id="125"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24">
        <w:r>
          <w:rPr>
            <w:rStyle w:val="Hyperlink"/>
          </w:rPr>
          <w:t xml:space="preserve">https://doi.org/10.1016/j.drugalcdep.2019.05.017</w:t>
        </w:r>
      </w:hyperlink>
      <w:r>
        <w:t xml:space="preserve">.</w:t>
      </w:r>
    </w:p>
    <w:bookmarkEnd w:id="125"/>
    <w:bookmarkStart w:id="126" w:name="X5568dae9ed26820cf1c228b96eb0968c1eec288"/>
    <w:p>
      <w:pPr>
        <w:pStyle w:val="Bibliography"/>
      </w:pPr>
      <w:r>
        <w:t xml:space="preserve">Pulick, Eric, John J. Curtin, and Yonatan Mintz. under review.</w:t>
      </w:r>
      <w:r>
        <w:t xml:space="preserve"> </w:t>
      </w:r>
      <w:r>
        <w:t xml:space="preserve">“Idiographic Lapse Prediction with State Space Modeling:</w:t>
      </w:r>
      <w:r>
        <w:t xml:space="preserve"> </w:t>
      </w:r>
      <w:r>
        <w:t xml:space="preserve">Algorithm</w:t>
      </w:r>
      <w:r>
        <w:t xml:space="preserve"> </w:t>
      </w:r>
      <w:r>
        <w:t xml:space="preserve">Development and Validation,”</w:t>
      </w:r>
      <w:r>
        <w:t xml:space="preserve"> </w:t>
      </w:r>
      <w:r>
        <w:t xml:space="preserve">under review.</w:t>
      </w:r>
    </w:p>
    <w:bookmarkEnd w:id="126"/>
    <w:bookmarkStart w:id="127"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27"/>
    <w:bookmarkStart w:id="129"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28">
        <w:r>
          <w:rPr>
            <w:rStyle w:val="Hyperlink"/>
          </w:rPr>
          <w:t xml:space="preserve">https://doi.org/10.1111/add.13479</w:t>
        </w:r>
      </w:hyperlink>
      <w:r>
        <w:t xml:space="preserve">.</w:t>
      </w:r>
    </w:p>
    <w:bookmarkEnd w:id="129"/>
    <w:bookmarkStart w:id="131"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30">
        <w:r>
          <w:rPr>
            <w:rStyle w:val="Hyperlink"/>
          </w:rPr>
          <w:t xml:space="preserve">https://doi.org/10.1037/adb0000666</w:t>
        </w:r>
      </w:hyperlink>
      <w:r>
        <w:t xml:space="preserve">.</w:t>
      </w:r>
    </w:p>
    <w:bookmarkEnd w:id="131"/>
    <w:bookmarkStart w:id="133"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32">
        <w:r>
          <w:rPr>
            <w:rStyle w:val="Hyperlink"/>
          </w:rPr>
          <w:t xml:space="preserve">https://doi.org/10.1177/1178221820976988</w:t>
        </w:r>
      </w:hyperlink>
      <w:r>
        <w:t xml:space="preserve">.</w:t>
      </w:r>
    </w:p>
    <w:bookmarkEnd w:id="133"/>
    <w:bookmarkStart w:id="134"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34"/>
    <w:bookmarkStart w:id="135"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35"/>
    <w:bookmarkStart w:id="137"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36">
        <w:r>
          <w:rPr>
            <w:rStyle w:val="Hyperlink"/>
          </w:rPr>
          <w:t xml:space="preserve">https://doi.org/10.1111/j.1530-0277.1984.tb05523.x</w:t>
        </w:r>
      </w:hyperlink>
      <w:r>
        <w:t xml:space="preserve">.</w:t>
      </w:r>
    </w:p>
    <w:bookmarkEnd w:id="137"/>
    <w:bookmarkStart w:id="139" w:name="Xeb95c6b3117655df981d06efbd146872632c4fa"/>
    <w:p>
      <w:pPr>
        <w:pStyle w:val="Bibliography"/>
      </w:pPr>
      <w:r>
        <w:t xml:space="preserve">Walitzer, Kimberly S., and Ronda L. Dearing. 2006.</w:t>
      </w:r>
      <w:r>
        <w:t xml:space="preserve"> </w:t>
      </w:r>
      <w:r>
        <w:t xml:space="preserve">“Gender Differences in Alcohol and Substance Use Relapse.”</w:t>
      </w:r>
      <w:r>
        <w:t xml:space="preserve"> </w:t>
      </w:r>
      <w:r>
        <w:rPr>
          <w:i/>
          <w:iCs/>
        </w:rPr>
        <w:t xml:space="preserve">Clinical Psychology Review</w:t>
      </w:r>
      <w:r>
        <w:t xml:space="preserve">, Relapse in the addictive behaviors, 26 (2): 128–48.</w:t>
      </w:r>
      <w:r>
        <w:t xml:space="preserve"> </w:t>
      </w:r>
      <w:hyperlink r:id="rId138">
        <w:r>
          <w:rPr>
            <w:rStyle w:val="Hyperlink"/>
          </w:rPr>
          <w:t xml:space="preserve">https://doi.org/10.1016/j.cpr.2005.11.003</w:t>
        </w:r>
      </w:hyperlink>
      <w:r>
        <w:t xml:space="preserve">.</w:t>
      </w:r>
    </w:p>
    <w:bookmarkEnd w:id="139"/>
    <w:bookmarkStart w:id="141"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40">
        <w:r>
          <w:rPr>
            <w:rStyle w:val="Hyperlink"/>
          </w:rPr>
          <w:t xml:space="preserve">https://doi.org/10.1016/j.jsat.2021.108417</w:t>
        </w:r>
      </w:hyperlink>
      <w:r>
        <w:t xml:space="preserve">.</w:t>
      </w:r>
    </w:p>
    <w:bookmarkEnd w:id="141"/>
    <w:bookmarkStart w:id="143" w:name="X2d30c84041d97351f676569bf3de3da0c8a9d6d"/>
    <w:p>
      <w:pPr>
        <w:pStyle w:val="Bibliography"/>
      </w:pPr>
      <w:r>
        <w:t xml:space="preserve">WHO ASSIST Working Group. 2002.</w:t>
      </w:r>
      <w:r>
        <w:t xml:space="preserve"> </w:t>
      </w:r>
      <w:r>
        <w:t xml:space="preserve">“</w:t>
      </w:r>
      <w:hyperlink r:id="rId142">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43"/>
    <w:bookmarkStart w:id="145"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44">
        <w:r>
          <w:rPr>
            <w:rStyle w:val="Hyperlink"/>
          </w:rPr>
          <w:t xml:space="preserve">https://doi.org/10.1037/0003-066X.59.4.224</w:t>
        </w:r>
      </w:hyperlink>
      <w:r>
        <w:t xml:space="preserve">.</w:t>
      </w:r>
    </w:p>
    <w:bookmarkEnd w:id="145"/>
    <w:bookmarkStart w:id="147"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46">
        <w:r>
          <w:rPr>
            <w:rStyle w:val="Hyperlink"/>
          </w:rPr>
          <w:t xml:space="preserve">https://doi.org/10.1016/j.cpr.2007.01.002</w:t>
        </w:r>
      </w:hyperlink>
      <w:r>
        <w:t xml:space="preserve">.</w:t>
      </w:r>
    </w:p>
    <w:bookmarkEnd w:id="147"/>
    <w:bookmarkStart w:id="149"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48">
        <w:r>
          <w:rPr>
            <w:rStyle w:val="Hyperlink"/>
          </w:rPr>
          <w:t xml:space="preserve">https://doi.org/10.2196/41833</w:t>
        </w:r>
      </w:hyperlink>
      <w:r>
        <w:t xml:space="preserve">.</w:t>
      </w:r>
    </w:p>
    <w:bookmarkEnd w:id="149"/>
    <w:bookmarkStart w:id="151"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50">
        <w:r>
          <w:rPr>
            <w:rStyle w:val="Hyperlink"/>
          </w:rPr>
          <w:t xml:space="preserve">https://doi.org/10.31234/osf.io/cgsf7</w:t>
        </w:r>
      </w:hyperlink>
      <w:r>
        <w:t xml:space="preserve">.</w:t>
      </w:r>
    </w:p>
    <w:bookmarkEnd w:id="151"/>
    <w:bookmarkStart w:id="152" w:name="X3f67f11df296341e595ed74232696d3a94ce536"/>
    <w:p>
      <w:pPr>
        <w:pStyle w:val="Bibliography"/>
      </w:pPr>
      <w:r>
        <w:t xml:space="preserve">Wyant, Kendra, Sarah Sant’Ana, Claire Punturieri, Jiachen Yu, Gaylen Fronk, Rachel Kornfield, and John Curtin.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52"/>
    <w:bookmarkEnd w:id="153"/>
    <w:bookmarkEnd w:id="154"/>
    <w:bookmarkEnd w:id="1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 w:id="45">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non-advantaged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31" Target="media/rId31.png" /><Relationship Type="http://schemas.openxmlformats.org/officeDocument/2006/relationships/image" Id="rId54" Target="media/rId54.png" /><Relationship Type="http://schemas.openxmlformats.org/officeDocument/2006/relationships/hyperlink" Id="rId114" Target="https://doi.org/10.1001/jama.284.13.1689" TargetMode="External" /><Relationship Type="http://schemas.openxmlformats.org/officeDocument/2006/relationships/hyperlink" Id="rId101" Target="https://doi.org/10.1001/jamanetworkopen.2020.5852" TargetMode="External" /><Relationship Type="http://schemas.openxmlformats.org/officeDocument/2006/relationships/hyperlink" Id="rId106" Target="https://doi.org/10.1007/978-1-4614-6849-3" TargetMode="External" /><Relationship Type="http://schemas.openxmlformats.org/officeDocument/2006/relationships/hyperlink" Id="rId79" Target="https://doi.org/10.1007/s10488-016-0718-5" TargetMode="External" /><Relationship Type="http://schemas.openxmlformats.org/officeDocument/2006/relationships/hyperlink" Id="rId103" Target="https://doi.org/10.1007/s11920-012-0296-5" TargetMode="External" /><Relationship Type="http://schemas.openxmlformats.org/officeDocument/2006/relationships/hyperlink" Id="rId77" Target="https://doi.org/10.1016/j.addbeh.2017.11.039" TargetMode="External" /><Relationship Type="http://schemas.openxmlformats.org/officeDocument/2006/relationships/hyperlink" Id="rId90" Target="https://doi.org/10.1016/j.brat.2019.103506" TargetMode="External" /><Relationship Type="http://schemas.openxmlformats.org/officeDocument/2006/relationships/hyperlink" Id="rId138" Target="https://doi.org/10.1016/j.cpr.2005.11.003" TargetMode="External" /><Relationship Type="http://schemas.openxmlformats.org/officeDocument/2006/relationships/hyperlink" Id="rId146" Target="https://doi.org/10.1016/j.cpr.2007.01.002" TargetMode="External" /><Relationship Type="http://schemas.openxmlformats.org/officeDocument/2006/relationships/hyperlink" Id="rId112" Target="https://doi.org/10.1016/j.cpr.2017.10.012" TargetMode="External" /><Relationship Type="http://schemas.openxmlformats.org/officeDocument/2006/relationships/hyperlink" Id="rId94" Target="https://doi.org/10.1016/j.drugalcdep.2006.05.012" TargetMode="External" /><Relationship Type="http://schemas.openxmlformats.org/officeDocument/2006/relationships/hyperlink" Id="rId124" Target="https://doi.org/10.1016/j.drugalcdep.2019.05.017" TargetMode="External" /><Relationship Type="http://schemas.openxmlformats.org/officeDocument/2006/relationships/hyperlink" Id="rId116" Target="https://doi.org/10.1016/j.drugalcdep.2021.108706" TargetMode="External" /><Relationship Type="http://schemas.openxmlformats.org/officeDocument/2006/relationships/hyperlink" Id="rId140" Target="https://doi.org/10.1016/j.jsat.2021.108417" TargetMode="External" /><Relationship Type="http://schemas.openxmlformats.org/officeDocument/2006/relationships/hyperlink" Id="rId122" Target="https://doi.org/10.1016/j.jsat.2021.108710" TargetMode="External" /><Relationship Type="http://schemas.openxmlformats.org/officeDocument/2006/relationships/hyperlink" Id="rId144" Target="https://doi.org/10.1037/0003-066X.59.4.224" TargetMode="External" /><Relationship Type="http://schemas.openxmlformats.org/officeDocument/2006/relationships/hyperlink" Id="rId130" Target="https://doi.org/10.1037/adb0000666" TargetMode="External" /><Relationship Type="http://schemas.openxmlformats.org/officeDocument/2006/relationships/hyperlink" Id="rId128" Target="https://doi.org/10.1111/add.13479" TargetMode="External" /><Relationship Type="http://schemas.openxmlformats.org/officeDocument/2006/relationships/hyperlink" Id="rId136" Target="https://doi.org/10.1111/j.1530-0277.1984.tb05523.x" TargetMode="External" /><Relationship Type="http://schemas.openxmlformats.org/officeDocument/2006/relationships/hyperlink" Id="rId118" Target="https://doi.org/10.1146/annurev-clinpsy-032816-044949" TargetMode="External" /><Relationship Type="http://schemas.openxmlformats.org/officeDocument/2006/relationships/hyperlink" Id="rId82" Target="https://doi.org/10.1146/annurev.clinpsy.3.022806.091455" TargetMode="External" /><Relationship Type="http://schemas.openxmlformats.org/officeDocument/2006/relationships/hyperlink" Id="rId132" Target="https://doi.org/10.1177/1178221820976988" TargetMode="External" /><Relationship Type="http://schemas.openxmlformats.org/officeDocument/2006/relationships/hyperlink" Id="rId84" Target="https://doi.org/10.21231/GNT1-HW21" TargetMode="External" /><Relationship Type="http://schemas.openxmlformats.org/officeDocument/2006/relationships/hyperlink" Id="rId120" Target="https://doi.org/10.2196/29563" TargetMode="External" /><Relationship Type="http://schemas.openxmlformats.org/officeDocument/2006/relationships/hyperlink" Id="rId148" Target="https://doi.org/10.2196/41833" TargetMode="External" /><Relationship Type="http://schemas.openxmlformats.org/officeDocument/2006/relationships/hyperlink" Id="rId150" Target="https://doi.org/10.31234/osf.io/cgsf7" TargetMode="External" /><Relationship Type="http://schemas.openxmlformats.org/officeDocument/2006/relationships/hyperlink" Id="rId99"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0"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8" Target="https://jjcurtin.github.io/study_lag/notebooks/mak_figures-preview.html#cell-fig-pp"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64" Target="https://jjcurtin.github.io/study_lag/notebooks/mak_tables-preview.html#cell-tbl-fairness" TargetMode="External" /><Relationship Type="http://schemas.openxmlformats.org/officeDocument/2006/relationships/hyperlink" Id="rId61"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7" Target="https://www.ncbi.nlm.nih.gov/pmc/articles/PMC2797101" TargetMode="External" /><Relationship Type="http://schemas.openxmlformats.org/officeDocument/2006/relationships/hyperlink" Id="rId142"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14" Target="https://doi.org/10.1001/jama.284.13.1689" TargetMode="External" /><Relationship Type="http://schemas.openxmlformats.org/officeDocument/2006/relationships/hyperlink" Id="rId101" Target="https://doi.org/10.1001/jamanetworkopen.2020.5852" TargetMode="External" /><Relationship Type="http://schemas.openxmlformats.org/officeDocument/2006/relationships/hyperlink" Id="rId106" Target="https://doi.org/10.1007/978-1-4614-6849-3" TargetMode="External" /><Relationship Type="http://schemas.openxmlformats.org/officeDocument/2006/relationships/hyperlink" Id="rId79" Target="https://doi.org/10.1007/s10488-016-0718-5" TargetMode="External" /><Relationship Type="http://schemas.openxmlformats.org/officeDocument/2006/relationships/hyperlink" Id="rId103" Target="https://doi.org/10.1007/s11920-012-0296-5" TargetMode="External" /><Relationship Type="http://schemas.openxmlformats.org/officeDocument/2006/relationships/hyperlink" Id="rId77" Target="https://doi.org/10.1016/j.addbeh.2017.11.039" TargetMode="External" /><Relationship Type="http://schemas.openxmlformats.org/officeDocument/2006/relationships/hyperlink" Id="rId90" Target="https://doi.org/10.1016/j.brat.2019.103506" TargetMode="External" /><Relationship Type="http://schemas.openxmlformats.org/officeDocument/2006/relationships/hyperlink" Id="rId138" Target="https://doi.org/10.1016/j.cpr.2005.11.003" TargetMode="External" /><Relationship Type="http://schemas.openxmlformats.org/officeDocument/2006/relationships/hyperlink" Id="rId146" Target="https://doi.org/10.1016/j.cpr.2007.01.002" TargetMode="External" /><Relationship Type="http://schemas.openxmlformats.org/officeDocument/2006/relationships/hyperlink" Id="rId112" Target="https://doi.org/10.1016/j.cpr.2017.10.012" TargetMode="External" /><Relationship Type="http://schemas.openxmlformats.org/officeDocument/2006/relationships/hyperlink" Id="rId94" Target="https://doi.org/10.1016/j.drugalcdep.2006.05.012" TargetMode="External" /><Relationship Type="http://schemas.openxmlformats.org/officeDocument/2006/relationships/hyperlink" Id="rId124" Target="https://doi.org/10.1016/j.drugalcdep.2019.05.017" TargetMode="External" /><Relationship Type="http://schemas.openxmlformats.org/officeDocument/2006/relationships/hyperlink" Id="rId116" Target="https://doi.org/10.1016/j.drugalcdep.2021.108706" TargetMode="External" /><Relationship Type="http://schemas.openxmlformats.org/officeDocument/2006/relationships/hyperlink" Id="rId140" Target="https://doi.org/10.1016/j.jsat.2021.108417" TargetMode="External" /><Relationship Type="http://schemas.openxmlformats.org/officeDocument/2006/relationships/hyperlink" Id="rId122" Target="https://doi.org/10.1016/j.jsat.2021.108710" TargetMode="External" /><Relationship Type="http://schemas.openxmlformats.org/officeDocument/2006/relationships/hyperlink" Id="rId144" Target="https://doi.org/10.1037/0003-066X.59.4.224" TargetMode="External" /><Relationship Type="http://schemas.openxmlformats.org/officeDocument/2006/relationships/hyperlink" Id="rId130" Target="https://doi.org/10.1037/adb0000666" TargetMode="External" /><Relationship Type="http://schemas.openxmlformats.org/officeDocument/2006/relationships/hyperlink" Id="rId128" Target="https://doi.org/10.1111/add.13479" TargetMode="External" /><Relationship Type="http://schemas.openxmlformats.org/officeDocument/2006/relationships/hyperlink" Id="rId136" Target="https://doi.org/10.1111/j.1530-0277.1984.tb05523.x" TargetMode="External" /><Relationship Type="http://schemas.openxmlformats.org/officeDocument/2006/relationships/hyperlink" Id="rId118" Target="https://doi.org/10.1146/annurev-clinpsy-032816-044949" TargetMode="External" /><Relationship Type="http://schemas.openxmlformats.org/officeDocument/2006/relationships/hyperlink" Id="rId82" Target="https://doi.org/10.1146/annurev.clinpsy.3.022806.091455" TargetMode="External" /><Relationship Type="http://schemas.openxmlformats.org/officeDocument/2006/relationships/hyperlink" Id="rId132" Target="https://doi.org/10.1177/1178221820976988" TargetMode="External" /><Relationship Type="http://schemas.openxmlformats.org/officeDocument/2006/relationships/hyperlink" Id="rId84" Target="https://doi.org/10.21231/GNT1-HW21" TargetMode="External" /><Relationship Type="http://schemas.openxmlformats.org/officeDocument/2006/relationships/hyperlink" Id="rId120" Target="https://doi.org/10.2196/29563" TargetMode="External" /><Relationship Type="http://schemas.openxmlformats.org/officeDocument/2006/relationships/hyperlink" Id="rId148" Target="https://doi.org/10.2196/41833" TargetMode="External" /><Relationship Type="http://schemas.openxmlformats.org/officeDocument/2006/relationships/hyperlink" Id="rId150" Target="https://doi.org/10.31234/osf.io/cgsf7" TargetMode="External" /><Relationship Type="http://schemas.openxmlformats.org/officeDocument/2006/relationships/hyperlink" Id="rId99"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0"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8" Target="https://jjcurtin.github.io/study_lag/notebooks/mak_figures-preview.html#cell-fig-pp"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64" Target="https://jjcurtin.github.io/study_lag/notebooks/mak_tables-preview.html#cell-tbl-fairness" TargetMode="External" /><Relationship Type="http://schemas.openxmlformats.org/officeDocument/2006/relationships/hyperlink" Id="rId61"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7" Target="https://www.ncbi.nlm.nih.gov/pmc/articles/PMC2797101" TargetMode="External" /><Relationship Type="http://schemas.openxmlformats.org/officeDocument/2006/relationships/hyperlink" Id="rId142"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Day Alcohol Use for Adaptive and Personalized Continuing Care</dc:title>
  <dc:creator>Kendra Wyant; Gaylen E. Fronk; Jiachen Yu; John J. Curtin</dc:creator>
  <cp:keywords>Substance use disorders, Precision mental health</cp:keywords>
  <dcterms:created xsi:type="dcterms:W3CDTF">2025-04-03T14:56:29Z</dcterms:created>
  <dcterms:modified xsi:type="dcterms:W3CDTF">2025-04-03T14:56:29Z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non-advantaged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2025-04-03</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