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Use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2025-01-27</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.97).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problematic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and Curtin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In all of these instances, patients would benefit from advanced warning about changes in their lapse probability and the associated risks that contribute to these changes. Our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49"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5"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One hundred fifty one participants were included in our analyses. We used data from all participants included in our previous study (see</w:t>
      </w:r>
      <w:r>
        <w:t xml:space="preserve"> </w:t>
      </w:r>
      <w:r>
        <w:t xml:space="preserve">(Wyant et al. 2024)</w:t>
      </w:r>
      <w:r>
        <w:t xml:space="preserve"> </w:t>
      </w:r>
      <w:r>
        <w:t xml:space="preserve">for enrollment and disposition information).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 AUD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p>
    <w:bookmarkEnd w:id="25"/>
    <w:bookmarkStart w:id="26"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6"/>
    <w:bookmarkStart w:id="29" w:name="measures"/>
    <w:p>
      <w:pPr>
        <w:pStyle w:val="Heading2"/>
      </w:pPr>
      <w:r>
        <w:t xml:space="preserve">Measures</w:t>
      </w:r>
    </w:p>
    <w:bookmarkStart w:id="27"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7"/>
    <w:bookmarkStart w:id="28" w:name="individual-characteristics"/>
    <w:p>
      <w:pPr>
        <w:pStyle w:val="Heading3"/>
      </w:pPr>
      <w:r>
        <w:t xml:space="preserve">Individual Characteristics</w:t>
      </w:r>
    </w:p>
    <w:p>
      <w:pPr>
        <w:pStyle w:val="FirstParagraph"/>
      </w:pPr>
      <w:r>
        <w:t xml:space="preserve">We collected self-report information about demographics (age, sex, race, ethnicity, education, marital status, employment, and income) and AUD symptom count to characterize our sample. Demographic information was also included as features in our models and a subset (sex, race, ethnicity, and income) used for model fairness analyses.</w:t>
      </w:r>
    </w:p>
    <w:p>
      <w:pPr>
        <w:pStyle w:val="BodyText"/>
      </w:pPr>
      <w:r>
        <w:t xml:space="preserve">As part of the aims of the parent project we collected many other trait and state measures throughout the study. A complete list of all measures can be found on our study’s OSF page.</w:t>
      </w:r>
    </w:p>
    <w:bookmarkEnd w:id="28"/>
    <w:bookmarkEnd w:id="29"/>
    <w:bookmarkStart w:id="48"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5" w:name="predictions"/>
    <w:p>
      <w:pPr>
        <w:pStyle w:val="Heading3"/>
      </w:pPr>
      <w:r>
        <w:t xml:space="preserve">Predictions</w:t>
      </w:r>
    </w:p>
    <w:p>
      <w:pPr>
        <w:pStyle w:val="FirstParagraph"/>
      </w:pPr>
      <w:r>
        <w:t xml:space="preserve">A</w:t>
      </w:r>
      <w:r>
        <w:t xml:space="preserve"> </w:t>
      </w:r>
      <w:r>
        <w:rPr>
          <w:i/>
          <w:iCs/>
        </w:rPr>
        <w:t xml:space="preserve">prediction time point</w:t>
      </w:r>
      <w:r>
        <w:t xml:space="preserve"> </w:t>
      </w:r>
      <w:r>
        <w:t xml:space="preserve">is the hour at which our model calculated a predicted probability of a lapse. All available data up until, but not including, the prediction time point (i.e., the scoring epoch) was used to generate these predictions (see Feature Engineering section). Prediction time points were updated hourly (</w:t>
      </w:r>
      <w:hyperlink w:anchor="fig-methods">
        <w:r>
          <w:rPr>
            <w:rStyle w:val="Hyperlink"/>
          </w:rPr>
          <w:t xml:space="preserve">Figure 1</w:t>
        </w:r>
      </w:hyperlink>
      <w:r>
        <w:t xml:space="preserve">, Panel A). The first prediction time point for each participant was 24 hours from midnight on their study start date. This ensured at least 24 hours of past EMAs for future lapse prediction at these first time points. Subsequent prediction time points for each participant repeatedly rolled hour-by-hour until the end of their study participation.</w:t>
      </w:r>
    </w:p>
    <w:p>
      <w:pPr>
        <w:pStyle w:val="BodyText"/>
      </w:pPr>
      <w:r>
        <w:t xml:space="preserve">The</w:t>
      </w:r>
      <w:r>
        <w:t xml:space="preserve"> </w:t>
      </w:r>
      <w:r>
        <w:rPr>
          <w:i/>
          <w:iCs/>
        </w:rPr>
        <w:t xml:space="preserve">prediction window</w:t>
      </w:r>
      <w:r>
        <w:t xml:space="preserve"> </w:t>
      </w:r>
      <w:r>
        <w:t xml:space="preserve">is the window of time in which a lapse might occur. The prediction window width for all models was 24 hours (i.e., models predicted the probability of a lapse occurring within a 24-hour window). Prediction windows rolled forward hour-by-hour with the prediction time point (</w:t>
      </w:r>
      <w:hyperlink w:anchor="fig-methods">
        <w:r>
          <w:rPr>
            <w:rStyle w:val="Hyperlink"/>
          </w:rPr>
          <w:t xml:space="preserve">Figure 1</w:t>
        </w:r>
      </w:hyperlink>
      <w:r>
        <w:t xml:space="preserve">, Panel B).</w:t>
      </w:r>
    </w:p>
    <w:p>
      <w:pPr>
        <w:pStyle w:val="BodyText"/>
      </w:pPr>
      <w:r>
        <w:t xml:space="preserve">Finally, there were five possible</w:t>
      </w:r>
      <w:r>
        <w:t xml:space="preserve"> </w:t>
      </w:r>
      <w:r>
        <w:rPr>
          <w:i/>
          <w:iCs/>
        </w:rPr>
        <w:t xml:space="preserve">lag times</w:t>
      </w:r>
      <w:r>
        <w:t xml:space="preserve"> </w:t>
      </w:r>
      <w:r>
        <w:t xml:space="preserve">between the prediction time point and start of the prediction window. A prediction window either started immediately after the prediction time point (no lag) or was lagged by 1 day, 3 days, 1 week, or 2 weeks (</w:t>
      </w:r>
      <w:hyperlink w:anchor="fig-methods">
        <w:r>
          <w:rPr>
            <w:rStyle w:val="Hyperlink"/>
          </w:rPr>
          <w:t xml:space="preserve">Figure 1</w:t>
        </w:r>
      </w:hyperlink>
      <w:r>
        <w:t xml:space="preserve">, Panel B).</w:t>
      </w:r>
    </w:p>
    <w:p>
      <w:pPr>
        <w:pStyle w:val="BodyText"/>
      </w:pPr>
      <w:r>
        <w:t xml:space="preserve">Therefore, our models provided hour-by-hour probabilities of an alcohol lapse in the next 24 hours pushed out up to 2 weeks into the future. For example, for a participant on their 30th day on study, the model would use all 30 days of data and make predictions about alcohol use starting at 5 different times (immediately, 1 day from now, 3 days from now, 1 week from now, and 2 weeks from now).</w:t>
      </w:r>
    </w:p>
    <w:tbl>
      <w:tblPr>
        <w:tblStyle w:val="Table"/>
        <w:tblW w:type="pct" w:w="5000"/>
        <w:tblLayout w:type="fixed"/>
        <w:tblLook w:firstRow="0" w:lastRow="0" w:firstColumn="0" w:lastColumn="0" w:noHBand="0" w:noVBand="0" w:val="0000"/>
      </w:tblPr>
      <w:tblGrid>
        <w:gridCol w:w="7920"/>
      </w:tblGrid>
      <w:tr>
        <w:tc>
          <w:tcPr/>
          <w:bookmarkStart w:id="33" w:name="fig-methods"/>
          <w:p>
            <w:pPr>
              <w:pStyle w:val="Compact"/>
              <w:jc w:val="center"/>
            </w:pPr>
            <w:r>
              <w:drawing>
                <wp:inline>
                  <wp:extent cx="5334000" cy="4307372"/>
                  <wp:effectExtent b="0" l="0" r="0" t="0"/>
                  <wp:docPr descr="" title="" id="31" name="Picture"/>
                  <a:graphic>
                    <a:graphicData uri="http://schemas.openxmlformats.org/drawingml/2006/picture">
                      <pic:pic>
                        <pic:nvPicPr>
                          <pic:cNvPr descr="index_files/figure-docx/notebooks-mak_figures-fig-methods-output-1.png" id="32" name="Picture"/>
                          <pic:cNvPicPr>
                            <a:picLocks noChangeArrowheads="1" noChangeAspect="1"/>
                          </pic:cNvPicPr>
                        </pic:nvPicPr>
                        <pic:blipFill>
                          <a:blip r:embed="rId30"/>
                          <a:stretch>
                            <a:fillRect/>
                          </a:stretch>
                        </pic:blipFill>
                        <pic:spPr bwMode="auto">
                          <a:xfrm>
                            <a:off x="0" y="0"/>
                            <a:ext cx="5334000" cy="43073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 points at which our model calculated a predicted probability of a lapse. All available data up until, but not including, the prediction time point was used to generate these predictions. Features were created for varying scoring epochs before the prediction time point (i.e., 12, 24, 48, 72, and 168 hours). Prediction time points were updated hourly. Panel B shows how the prediction window (i.e., window in which a lapse might occur) rolls forward hour-by-hour with the prediction time point. The prediction window width for all models was one day (24 hours). Additionally, there were five possible lag times between the prediction time point and start of the prediction window. A prediction window either started immediately after the prediction time point (no lag) or was lagged by 1 day, 3 days, 1 week, or 2 weeks.</w:t>
            </w:r>
          </w:p>
          <w:bookmarkEnd w:id="33"/>
        </w:tc>
      </w:tr>
    </w:tbl>
    <w:p>
      <w:pPr>
        <w:pStyle w:val="BodyText"/>
      </w:pPr>
      <w:r>
        <w:rPr>
          <w:vertAlign w:val="subscript"/>
        </w:rPr>
        <w:t xml:space="preserve">Source:</w:t>
      </w:r>
      <w:r>
        <w:rPr>
          <w:vertAlign w:val="subscript"/>
        </w:rPr>
        <w:t xml:space="preserve"> </w:t>
      </w:r>
      <w:hyperlink r:id="rId34">
        <w:r>
          <w:rPr>
            <w:rStyle w:val="Hyperlink"/>
            <w:vertAlign w:val="subscript"/>
          </w:rPr>
          <w:t xml:space="preserve">Make All Figures for Main Manuscript</w:t>
        </w:r>
      </w:hyperlink>
    </w:p>
    <w:bookmarkEnd w:id="35"/>
    <w:bookmarkStart w:id="37"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6"/>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7"/>
    <w:bookmarkStart w:id="38" w:name="feature-engineering"/>
    <w:p>
      <w:pPr>
        <w:pStyle w:val="Heading3"/>
      </w:pPr>
      <w:r>
        <w:t xml:space="preserve">Feature Engineering</w:t>
      </w:r>
    </w:p>
    <w:p>
      <w:pPr>
        <w:pStyle w:val="FirstParagraph"/>
      </w:pPr>
      <w:r>
        <w:t xml:space="preserve">Features were calculated using only data collected before each prediction time point to ensure our models were making true future predictions. For our no lag models the prediction time point was at the start of prediction window, so all data prior to the start of the prediction window was included. For our lagged models, the prediction time 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and personal income, and dummy-coded features for sex, race/ethnicity, marital status, education, and employment.</w:t>
      </w:r>
    </w:p>
    <w:p>
      <w:pPr>
        <w:numPr>
          <w:ilvl w:val="0"/>
          <w:numId w:val="1002"/>
        </w:numPr>
      </w:pPr>
      <w:r>
        <w:rPr>
          <w:i/>
          <w:iCs/>
        </w:rPr>
        <w:t xml:space="preserve">Previous EMA responses</w:t>
      </w:r>
      <w:r>
        <w:t xml:space="preserve">: We created raw EMA and change features for varying scoring epochs (i.e., 12, 24, 48, 72, and 168 hours) before the prediction time point for all EMA items. Raw features included min, max, and median scores for each EMA item across all EMAs in each epoch for that participant. We calculated change features by subtracting the participants’ overall mean score for each EMA item (using all EMAs collected before the start of the prediction window) from the associated raw feature.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8"/>
    <w:bookmarkStart w:id="47" w:name="model-training-and-evaluation"/>
    <w:p>
      <w:pPr>
        <w:pStyle w:val="Heading3"/>
      </w:pPr>
      <w:r>
        <w:t xml:space="preserve">Model Training and Evaluation</w:t>
      </w:r>
    </w:p>
    <w:bookmarkStart w:id="39"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39"/>
    <w:bookmarkStart w:id="40"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0"/>
    <w:bookmarkStart w:id="42"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1"/>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all five models. To evaluate our models’ overall performance we report the median posterior probability for auROC and Bayesian CIs. This represents our best estimate for the magnitude of the auROC parameter for each model. If the confidence intervals do not contain .5 (chance performance), this suggests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2"/>
    <w:bookmarkStart w:id="45" w:name="fairness-analyses"/>
    <w:p>
      <w:pPr>
        <w:pStyle w:val="Heading4"/>
      </w:pPr>
      <w:r>
        <w:t xml:space="preserve">Fairness Analyses</w:t>
      </w:r>
    </w:p>
    <w:p>
      <w:pPr>
        <w:pStyle w:val="FirstParagraph"/>
      </w:pPr>
      <w:r>
        <w:t xml:space="preserve">We calculated the median posterior probability and 95% Bayesian CI for auROC for each model separately by race and ethnicity (not White vs. non-Hispanic White), income (below poverty vs. above poverty</w:t>
      </w:r>
      <w:r>
        <w:rPr>
          <w:rStyle w:val="FootnoteReference"/>
        </w:rPr>
        <w:footnoteReference w:id="43"/>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4"/>
      </w:r>
    </w:p>
    <w:bookmarkEnd w:id="45"/>
    <w:bookmarkStart w:id="46"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6"/>
    <w:bookmarkEnd w:id="47"/>
    <w:bookmarkEnd w:id="48"/>
    <w:bookmarkEnd w:id="49"/>
    <w:bookmarkStart w:id="135" w:name="results"/>
    <w:p>
      <w:pPr>
        <w:pStyle w:val="Heading1"/>
      </w:pPr>
      <w:r>
        <w:t xml:space="preserve">Results</w:t>
      </w:r>
    </w:p>
    <w:bookmarkStart w:id="52"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lapse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0" w:name="tbl-demohtml"/>
          <w:p>
            <w:pPr>
              <w:jc w:val="center"/>
            </w:pPr>
            <w:pPr>
              <w:jc w:val="start"/>
              <w:spacing w:before="200"/>
              <w:pStyle w:val="ImageCaption"/>
            </w:pPr>
            <w:r>
              <w:t xml:space="preserve">Table 1: Demographic and Lapse Characteristics</w:t>
            </w:r>
          </w:p>
          <w:tbl>
            <w:tblPr>
              <w:tblStyle w:val="Table"/>
              <w:tblW w:type="pct" w:w="4894"/>
              <w:tblLayout w:type="fixed"/>
              <w:tblLook w:firstRow="1" w:lastRow="0" w:firstColumn="0" w:lastColumn="0" w:noHBand="0" w:noVBand="0" w:val="0020"/>
            </w:tblPr>
            <w:tblGrid>
              <w:gridCol w:w="3622"/>
              <w:gridCol w:w="505"/>
              <w:gridCol w:w="589"/>
              <w:gridCol w:w="926"/>
              <w:gridCol w:w="926"/>
              <w:gridCol w:w="1179"/>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w:t>
                  </w:r>
                  <w:r>
                    <w:t xml:space="preserve"> </w:t>
                  </w:r>
                  <w:r>
                    <w:t xml:space="preserve">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w:t>
                  </w:r>
                  <w:r>
                    <w:t xml:space="preserve"> </w:t>
                  </w:r>
                  <w:r>
                    <w:t xml:space="preserve">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50"/>
          <w:p/>
        </w:tc>
      </w:tr>
    </w:tbl>
    <w:p>
      <w:pPr>
        <w:pStyle w:val="BodyText"/>
      </w:pPr>
      <w:r>
        <w:rPr>
          <w:vertAlign w:val="subscript"/>
        </w:rPr>
        <w:t xml:space="preserve">Source:</w:t>
      </w:r>
      <w:r>
        <w:rPr>
          <w:vertAlign w:val="subscript"/>
        </w:rPr>
        <w:t xml:space="preserve"> </w:t>
      </w:r>
      <w:hyperlink r:id="rId51">
        <w:r>
          <w:rPr>
            <w:rStyle w:val="Hyperlink"/>
            <w:vertAlign w:val="subscript"/>
          </w:rPr>
          <w:t xml:space="preserve">Make All Tables for Main Manuscript</w:t>
        </w:r>
      </w:hyperlink>
    </w:p>
    <w:bookmarkEnd w:id="52"/>
    <w:bookmarkStart w:id="53" w:name="model-evaluation"/>
    <w:p>
      <w:pPr>
        <w:pStyle w:val="Heading2"/>
      </w:pPr>
      <w:r>
        <w:t xml:space="preserve">Model Evaluation</w:t>
      </w:r>
    </w:p>
    <w:p>
      <w:pPr>
        <w:pStyle w:val="FirstParagraph"/>
      </w:pPr>
      <w:r>
        <w:t xml:space="preserve">Histograms of the full posterior probability distributions for auROC for each model are available in the supplement. The median auROCs from these posterior distributions were 0.90 (no lag), 0.88 (1-day lag), 0.87 (3-day hour lag), 0.86 (1-week lag), and 0.84 (2-week lag). These values represent our best estimates for the magnitude of the auROC parameter for each model. The 95% Bayesian CI for the auROCs for these models were relatively narrow and did not contain 0.5: no lag [0.88-0.92], 1-day lag [0.86-0.90], 3-day lag [0.85-0.89], 1-week lag [0.84-0.88], 2-week lag [0.81-0.86].</w:t>
      </w:r>
    </w:p>
    <w:bookmarkEnd w:id="53"/>
    <w:bookmarkStart w:id="56" w:name="model-comparisons"/>
    <w:p>
      <w:pPr>
        <w:pStyle w:val="Heading2"/>
      </w:pPr>
      <w:r>
        <w:t xml:space="preserve">Model Comparisons</w:t>
      </w:r>
    </w:p>
    <w:p>
      <w:pPr>
        <w:pStyle w:val="FirstParagraph"/>
      </w:pPr>
      <w:hyperlink w:anchor="tbl-contrast">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There was strong evidence (probabilities &gt; .98) that the lagged models performed worse than the baseline (no lag) model, with average drops in auROC ranging from 0.02-0.06, and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54" w:name="tbl-contrast"/>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0.052]</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[0.053, 0.073]</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0.999</w:t>
                  </w:r>
                </w:p>
              </w:tc>
            </w:tr>
            <w:tr>
              <w:tc>
                <w:tcPr/>
                <w:p>
                  <w:pPr>
                    <w:pStyle w:val="Compact"/>
                    <w:jc w:val="left"/>
                    <w:jc w:val="center"/>
                  </w:pPr>
                  <w:r>
                    <w:t xml:space="preserve">3 days vs. 1 week</w:t>
                  </w:r>
                </w:p>
              </w:tc>
              <w:tc>
                <w:tcPr/>
                <w:p>
                  <w:pPr>
                    <w:pStyle w:val="Compact"/>
                    <w:jc w:val="left"/>
                    <w:jc w:val="center"/>
                  </w:pPr>
                  <w:r>
                    <w:t xml:space="preserve">0.011</w:t>
                  </w:r>
                </w:p>
              </w:tc>
              <w:tc>
                <w:tcPr/>
                <w:p>
                  <w:pPr>
                    <w:pStyle w:val="Compact"/>
                    <w:jc w:val="left"/>
                    <w:jc w:val="center"/>
                  </w:pPr>
                  <w:r>
                    <w:t xml:space="preserve">[0.003, 0.018]</w:t>
                  </w:r>
                </w:p>
              </w:tc>
              <w:tc>
                <w:tcPr/>
                <w:p>
                  <w:pPr>
                    <w:pStyle w:val="Compact"/>
                    <w:jc w:val="left"/>
                    <w:jc w:val="center"/>
                  </w:pPr>
                  <w:r>
                    <w:t xml:space="preserve">0.989</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[0.011, 0.029]</w:t>
                  </w:r>
                </w:p>
              </w:tc>
              <w:tc>
                <w:tcPr/>
                <w:p>
                  <w:pPr>
                    <w:pStyle w:val="Compact"/>
                    <w:jc w:val="left"/>
                    <w:jc w:val="center"/>
                  </w:pPr>
                  <w:r>
                    <w:t xml:space="preserve">1</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[0.027,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0.215</w:t>
                  </w:r>
                </w:p>
              </w:tc>
              <w:tc>
                <w:tcPr/>
                <w:p>
                  <w:pPr>
                    <w:pStyle w:val="Compact"/>
                    <w:jc w:val="left"/>
                    <w:jc w:val="center"/>
                  </w:pPr>
                  <w:r>
                    <w:t xml:space="preserve">[0.057, 0.422]</w:t>
                  </w:r>
                </w:p>
              </w:tc>
              <w:tc>
                <w:tcPr/>
                <w:p>
                  <w:pPr>
                    <w:pStyle w:val="Compact"/>
                    <w:jc w:val="left"/>
                    <w:jc w:val="center"/>
                  </w:pPr>
                  <w:r>
                    <w:t xml:space="preserve">0.991</w:t>
                  </w:r>
                </w:p>
              </w:tc>
            </w:tr>
            <w:tr>
              <w:tc>
                <w:tcPr/>
                <w:p>
                  <w:pPr>
                    <w:pStyle w:val="Compact"/>
                    <w:jc w:val="left"/>
                    <w:jc w:val="center"/>
                  </w:pPr>
                  <w:r>
                    <w:t xml:space="preserve">above poverty vs. below poverty</w:t>
                  </w:r>
                </w:p>
              </w:tc>
              <w:tc>
                <w:tcPr/>
                <w:p>
                  <w:pPr>
                    <w:pStyle w:val="Compact"/>
                    <w:jc w:val="left"/>
                    <w:jc w:val="center"/>
                  </w:pPr>
                  <w:r>
                    <w:t xml:space="preserve">0.042</w:t>
                  </w:r>
                </w:p>
              </w:tc>
              <w:tc>
                <w:tcPr/>
                <w:p>
                  <w:pPr>
                    <w:pStyle w:val="Compact"/>
                    <w:jc w:val="left"/>
                    <w:jc w:val="center"/>
                  </w:pPr>
                  <w:r>
                    <w:t xml:space="preserve">[0.007, 0.078]</w:t>
                  </w:r>
                </w:p>
              </w:tc>
              <w:tc>
                <w:tcPr/>
                <w:p>
                  <w:pPr>
                    <w:pStyle w:val="Compact"/>
                    <w:jc w:val="left"/>
                    <w:jc w:val="center"/>
                  </w:pPr>
                  <w:r>
                    <w:t xml:space="preserve">0.978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0.097</w:t>
                  </w:r>
                </w:p>
              </w:tc>
              <w:tc>
                <w:tcPr/>
                <w:p>
                  <w:pPr>
                    <w:pStyle w:val="Compact"/>
                    <w:jc w:val="left"/>
                    <w:jc w:val="center"/>
                  </w:pPr>
                  <w:r>
                    <w:t xml:space="preserve">[0.076, 0.119]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0.109</w:t>
                  </w:r>
                </w:p>
              </w:tc>
              <w:tc>
                <w:tcPr/>
                <w:p>
                  <w:pPr>
                    <w:pStyle w:val="Compact"/>
                    <w:jc w:val="left"/>
                    <w:jc w:val="center"/>
                  </w:pPr>
                  <w:r>
                    <w:t xml:space="preserve">[0.064, 0.16]</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0.114</w:t>
                  </w:r>
                </w:p>
              </w:tc>
              <w:tc>
                <w:tcPr/>
                <w:p>
                  <w:pPr>
                    <w:pStyle w:val="Compact"/>
                    <w:jc w:val="left"/>
                    <w:jc w:val="center"/>
                  </w:pPr>
                  <w:r>
                    <w:t xml:space="preserve">[0.067, 0.162]</w:t>
                  </w:r>
                </w:p>
              </w:tc>
              <w:tc>
                <w:tcPr/>
                <w:p>
                  <w:pPr>
                    <w:pStyle w:val="Compact"/>
                    <w:jc w:val="left"/>
                    <w:jc w:val="center"/>
                  </w:pPr>
                  <w:r>
                    <w:t xml:space="preserve">1</w:t>
                  </w:r>
                </w:p>
              </w:tc>
            </w:tr>
          </w:tbl>
          <w:bookmarkEnd w:id="54"/>
          <w:p/>
        </w:tc>
      </w:tr>
    </w:tbl>
    <w:p>
      <w:pPr>
        <w:pStyle w:val="BodyText"/>
      </w:pPr>
      <w:r>
        <w:rPr>
          <w:vertAlign w:val="subscript"/>
        </w:rPr>
        <w:t xml:space="preserve">Source:</w:t>
      </w:r>
      <w:r>
        <w:rPr>
          <w:vertAlign w:val="subscript"/>
        </w:rPr>
        <w:t xml:space="preserve"> </w:t>
      </w:r>
      <w:hyperlink r:id="rId55">
        <w:r>
          <w:rPr>
            <w:rStyle w:val="Hyperlink"/>
            <w:vertAlign w:val="subscript"/>
          </w:rPr>
          <w:t xml:space="preserve">Make All Tables for Main Manuscript</w:t>
        </w:r>
      </w:hyperlink>
    </w:p>
    <w:bookmarkEnd w:id="56"/>
    <w:bookmarkStart w:id="57" w:name="fairness-analyses-1"/>
    <w:p>
      <w:pPr>
        <w:pStyle w:val="Heading2"/>
      </w:pPr>
      <w:r>
        <w:t xml:space="preserve">Fairness Analyses</w:t>
      </w:r>
    </w:p>
    <w:p>
      <w:pPr>
        <w:pStyle w:val="FirstParagraph"/>
      </w:pPr>
      <w:hyperlink w:anchor="tbl-contrast">
        <w:r>
          <w:rPr>
            <w:rStyle w:val="Hyperlink"/>
          </w:rPr>
          <w:t xml:space="preserve">Table 2</w:t>
        </w:r>
      </w:hyperlink>
      <w:r>
        <w:t xml:space="preserve"> </w:t>
      </w:r>
      <w:r>
        <w:t xml:space="preserve">presents the median difference in auROC, 95% Bayesian CI, and posterior probability that that the auROC difference was greater than 0 for our no lag and 2-week lag models for the three fairness contrasts: race/ethnicity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18 vs. above poverty;</w:t>
      </w:r>
      <w:r>
        <w:t xml:space="preserve"> </w:t>
      </w:r>
      <w:r>
        <w:rPr>
          <w:i/>
          <w:iCs/>
        </w:rPr>
        <w:t xml:space="preserve">N</w:t>
      </w:r>
      <w:r>
        <w:t xml:space="preserve"> </w:t>
      </w:r>
      <w:r>
        <w:t xml:space="preserve">= 133). Individual Bayesian fairness contrasts for all five models are available in the supplement. There was strong evidence (probabilities &gt; .97) that our models performed better for the advantaged groups (White, male, above poverty) compared to the disadvantaged groups (not-White, female, below poverty). On average there was a median decrease in auROC of 0.15 (range 0.11-0.27) for participants who were not White compared to non-Hispanic White participants. On average there was a median decrease in auROC of 0.05 (range 0.04-0.10) for female participants compared to male participants. On average there was a median decrease in auROC of 0.06 (range 0.04-0.11) for participants below the federal poverty line compared to participants above the federal poverty line.</w:t>
      </w:r>
    </w:p>
    <w:bookmarkEnd w:id="57"/>
    <w:bookmarkStart w:id="63" w:name="feature-importance-1"/>
    <w:p>
      <w:pPr>
        <w:pStyle w:val="Heading2"/>
      </w:pPr>
      <w:r>
        <w:t xml:space="preserve">Feature Importance</w:t>
      </w:r>
    </w:p>
    <w:p>
      <w:pPr>
        <w:pStyle w:val="FirstParagraph"/>
      </w:pPr>
      <w:r>
        <w:t xml:space="preserve">The top three globally important (i.e., highest mean |Shapley value|) feature categories for all models were past use, future efficacy, and craving. This was also consistent across demographic groups (plots of global feature importance by demographic group are availble for the no lag and two week lag models in the supplement). Panel A of</w:t>
      </w:r>
      <w:r>
        <w:t xml:space="preserve"> </w:t>
      </w:r>
      <w:hyperlink w:anchor="fig-3">
        <w:r>
          <w:rPr>
            <w:rStyle w:val="Hyperlink"/>
          </w:rPr>
          <w:t xml:space="preserve">Figure 2</w:t>
        </w:r>
      </w:hyperlink>
      <w:r>
        <w:t xml:space="preserve"> </w:t>
      </w:r>
      <w:r>
        <w:t xml:space="preserve">shows the relative ranking of feature categories for the no lag and 2-week lag models. Global feature importance plots for all 5 modes is included in the supplement. In the supplement we also provide global feature importance plots for the no lag and 2-week lag model separately by fairness contrast. Panel B of</w:t>
      </w:r>
      <w:r>
        <w:t xml:space="preserve"> </w:t>
      </w:r>
      <w:hyperlink w:anchor="fig-3">
        <w:r>
          <w:rPr>
            <w:rStyle w:val="Hyperlink"/>
          </w:rPr>
          <w:t xml:space="preserve">Figure 2</w:t>
        </w:r>
      </w:hyperlink>
      <w:r>
        <w:t xml:space="preserve"> </w:t>
      </w:r>
      <w:r>
        <w:t xml:space="preserve">shows the variation (min and max) in local feature importance for each EMA item for the no lag and 2-week lag models.</w:t>
      </w:r>
    </w:p>
    <w:tbl>
      <w:tblPr>
        <w:tblStyle w:val="Table"/>
        <w:tblW w:type="pct" w:w="5000"/>
        <w:tblLayout w:type="fixed"/>
        <w:tblLook w:firstRow="0" w:lastRow="0" w:firstColumn="0" w:lastColumn="0" w:noHBand="0" w:noVBand="0" w:val="0000"/>
      </w:tblPr>
      <w:tblGrid>
        <w:gridCol w:w="7920"/>
      </w:tblGrid>
      <w:tr>
        <w:tc>
          <w:tcPr/>
          <w:bookmarkStart w:id="61" w:name="fig-3"/>
          <w:p>
            <w:pPr>
              <w:pStyle w:val="Compact"/>
              <w:jc w:val="center"/>
            </w:pPr>
            <w:r>
              <w:drawing>
                <wp:inline>
                  <wp:extent cx="5334000" cy="3333749"/>
                  <wp:effectExtent b="0" l="0" r="0" t="0"/>
                  <wp:docPr descr="" title="" id="59" name="Picture"/>
                  <a:graphic>
                    <a:graphicData uri="http://schemas.openxmlformats.org/drawingml/2006/picture">
                      <pic:pic>
                        <pic:nvPicPr>
                          <pic:cNvPr descr="index_files/figure-docx/notebooks-mak_figures-fig-3-output-1.png" id="60" name="Picture"/>
                          <pic:cNvPicPr>
                            <a:picLocks noChangeArrowheads="1" noChangeAspect="1"/>
                          </pic:cNvPicPr>
                        </pic:nvPicPr>
                        <pic:blipFill>
                          <a:blip r:embed="rId58"/>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61"/>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Figures for Main Manuscript</w:t>
        </w:r>
      </w:hyperlink>
    </w:p>
    <w:bookmarkEnd w:id="63"/>
    <w:bookmarkStart w:id="64" w:name="discussion"/>
    <w:p>
      <w:pPr>
        <w:pStyle w:val="Heading2"/>
      </w:pPr>
      <w:r>
        <w:t xml:space="preserve">Discussion</w:t>
      </w:r>
    </w:p>
    <w:bookmarkEnd w:id="64"/>
    <w:bookmarkStart w:id="65" w:name="model-performance"/>
    <w:p>
      <w:pPr>
        <w:pStyle w:val="Heading2"/>
      </w:pPr>
      <w:r>
        <w:t xml:space="preserve">Model Performance</w:t>
      </w:r>
    </w:p>
    <w:p>
      <w:pPr>
        <w:pStyle w:val="FirstParagraph"/>
      </w:pPr>
      <w:r>
        <w:t xml:space="preserve">Our models performed exceptionally well with median posterior probabilities for auROCs of .84 - .90.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(.84) is still excellent, and the benefit of advanced notice likely outweighs the cost to performance.</w:t>
      </w:r>
    </w:p>
    <w:p>
      <w:pPr>
        <w:pStyle w:val="BodyText"/>
      </w:pPr>
      <w:r>
        <w:t xml:space="preserve">The relative ordering of important features remained somewhat consistent across models. Past use, future efficacy, and craving were the top three features for all models. However the magnitude of their importance varried somewhat by lag time. Additionally, for the two-week model future risky situations emerged as an important feature, whereas with the no lag model past stressful events were more important.</w:t>
      </w:r>
      <w:r>
        <w:t xml:space="preserve"> </w:t>
      </w:r>
    </w:p>
    <w:bookmarkEnd w:id="65"/>
    <w:bookmarkStart w:id="66"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66"/>
    <w:bookmarkStart w:id="67" w:name="X40ab624ebf83813907a18dba36edd4d1d14a553"/>
    <w:p>
      <w:pPr>
        <w:pStyle w:val="Heading2"/>
      </w:pPr>
      <w:r>
        <w:t xml:space="preserve">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This study demonstrated lagged models can be used to shift the 24-hour prediction window up to weeks out. This lag provides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and Curtin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67"/>
    <w:bookmarkStart w:id="68"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68"/>
    <w:bookmarkStart w:id="134" w:name="references"/>
    <w:p>
      <w:pPr>
        <w:pStyle w:val="Heading2"/>
      </w:pPr>
      <w:r>
        <w:t xml:space="preserve">References</w:t>
      </w:r>
    </w:p>
    <w:bookmarkStart w:id="133" w:name="refs"/>
    <w:bookmarkStart w:id="70"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69">
        <w:r>
          <w:rPr>
            <w:rStyle w:val="Hyperlink"/>
          </w:rPr>
          <w:t xml:space="preserve">https://doi.org/10.1016/j.addbeh.2017.11.039</w:t>
        </w:r>
      </w:hyperlink>
      <w:r>
        <w:t xml:space="preserve">.</w:t>
      </w:r>
    </w:p>
    <w:bookmarkEnd w:id="70"/>
    <w:bookmarkStart w:id="72"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1">
        <w:r>
          <w:rPr>
            <w:rStyle w:val="Hyperlink"/>
          </w:rPr>
          <w:t xml:space="preserve">https://doi.org/10.1007/s10488-016-0718-5</w:t>
        </w:r>
      </w:hyperlink>
      <w:r>
        <w:t xml:space="preserve">.</w:t>
      </w:r>
    </w:p>
    <w:bookmarkEnd w:id="72"/>
    <w:bookmarkStart w:id="73"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73"/>
    <w:bookmarkStart w:id="75"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74">
        <w:r>
          <w:rPr>
            <w:rStyle w:val="Hyperlink"/>
          </w:rPr>
          <w:t xml:space="preserve">https://doi.org/10.1146/annurev.clinpsy.3.022806.091455</w:t>
        </w:r>
      </w:hyperlink>
      <w:r>
        <w:t xml:space="preserve">.</w:t>
      </w:r>
    </w:p>
    <w:bookmarkEnd w:id="75"/>
    <w:bookmarkStart w:id="77"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76">
        <w:r>
          <w:rPr>
            <w:rStyle w:val="Hyperlink"/>
          </w:rPr>
          <w:t xml:space="preserve">https://doi.org/10.21231/GNT1-HW21</w:t>
        </w:r>
      </w:hyperlink>
      <w:r>
        <w:t xml:space="preserve">.</w:t>
      </w:r>
    </w:p>
    <w:bookmarkEnd w:id="77"/>
    <w:bookmarkStart w:id="78"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78"/>
    <w:bookmarkStart w:id="80"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79">
        <w:r>
          <w:rPr>
            <w:rStyle w:val="Hyperlink"/>
          </w:rPr>
          <w:t xml:space="preserve">https://doi.org/10.1016/j.jsat.2013.08.004</w:t>
        </w:r>
      </w:hyperlink>
      <w:r>
        <w:t xml:space="preserve">.</w:t>
      </w:r>
    </w:p>
    <w:bookmarkEnd w:id="80"/>
    <w:bookmarkStart w:id="82" w:name="ref-dennisManagingAddictionChronic2007"/>
    <w:p>
      <w:pPr>
        <w:pStyle w:val="Bibliography"/>
      </w:pPr>
      <w:r>
        <w:t xml:space="preserve">Dennis, Michael, and Christy K Scott. 2007.</w:t>
      </w:r>
      <w:r>
        <w:t xml:space="preserve"> </w:t>
      </w:r>
      <w:r>
        <w:t xml:space="preserve">“</w:t>
      </w:r>
      <w:hyperlink r:id="rId81">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82"/>
    <w:bookmarkStart w:id="84"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83">
        <w:r>
          <w:rPr>
            <w:rStyle w:val="Hyperlink"/>
          </w:rPr>
          <w:t xml:space="preserve">https://doi.org/10.1016/j.brat.2019.103506</w:t>
        </w:r>
      </w:hyperlink>
      <w:r>
        <w:t xml:space="preserve">.</w:t>
      </w:r>
    </w:p>
    <w:bookmarkEnd w:id="84"/>
    <w:bookmarkStart w:id="85"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85"/>
    <w:bookmarkStart w:id="86"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86"/>
    <w:bookmarkStart w:id="88"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87">
        <w:r>
          <w:rPr>
            <w:rStyle w:val="Hyperlink"/>
          </w:rPr>
          <w:t xml:space="preserve">https://doi.org/10.1016/j.drugalcdep.2006.05.012</w:t>
        </w:r>
      </w:hyperlink>
      <w:r>
        <w:t xml:space="preserve">.</w:t>
      </w:r>
    </w:p>
    <w:bookmarkEnd w:id="88"/>
    <w:bookmarkStart w:id="89"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89"/>
    <w:bookmarkStart w:id="90"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0"/>
    <w:bookmarkStart w:id="91"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91"/>
    <w:bookmarkStart w:id="93"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92">
        <w:r>
          <w:rPr>
            <w:rStyle w:val="Hyperlink"/>
          </w:rPr>
          <w:t xml:space="preserve">https://doi.org/10/gfsjzg</w:t>
        </w:r>
      </w:hyperlink>
      <w:r>
        <w:t xml:space="preserve">.</w:t>
      </w:r>
    </w:p>
    <w:bookmarkEnd w:id="93"/>
    <w:bookmarkStart w:id="95"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94">
        <w:r>
          <w:rPr>
            <w:rStyle w:val="Hyperlink"/>
          </w:rPr>
          <w:t xml:space="preserve">https://doi.org/10.1001/jamanetworkopen.2020.5852</w:t>
        </w:r>
      </w:hyperlink>
      <w:r>
        <w:t xml:space="preserve">.</w:t>
      </w:r>
    </w:p>
    <w:bookmarkEnd w:id="95"/>
    <w:bookmarkStart w:id="97"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96">
        <w:r>
          <w:rPr>
            <w:rStyle w:val="Hyperlink"/>
          </w:rPr>
          <w:t xml:space="preserve">https://doi.org/10.1007/s11920-012-0296-5</w:t>
        </w:r>
      </w:hyperlink>
      <w:r>
        <w:t xml:space="preserve">.</w:t>
      </w:r>
    </w:p>
    <w:bookmarkEnd w:id="97"/>
    <w:bookmarkStart w:id="98"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98"/>
    <w:bookmarkStart w:id="100"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99">
        <w:r>
          <w:rPr>
            <w:rStyle w:val="Hyperlink"/>
          </w:rPr>
          <w:t xml:space="preserve">https://doi.org/10.1007/978-1-4614-6849-3</w:t>
        </w:r>
      </w:hyperlink>
      <w:r>
        <w:t xml:space="preserve">.</w:t>
      </w:r>
    </w:p>
    <w:bookmarkEnd w:id="100"/>
    <w:bookmarkStart w:id="101"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01"/>
    <w:bookmarkStart w:id="102"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02"/>
    <w:bookmarkStart w:id="103"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03"/>
    <w:bookmarkStart w:id="105"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04">
        <w:r>
          <w:rPr>
            <w:rStyle w:val="Hyperlink"/>
          </w:rPr>
          <w:t xml:space="preserve">https://doi.org/10.1001/jama.284.13.1689</w:t>
        </w:r>
      </w:hyperlink>
      <w:r>
        <w:t xml:space="preserve">.</w:t>
      </w:r>
    </w:p>
    <w:bookmarkEnd w:id="105"/>
    <w:bookmarkStart w:id="107"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06">
        <w:r>
          <w:rPr>
            <w:rStyle w:val="Hyperlink"/>
          </w:rPr>
          <w:t xml:space="preserve">https://doi.org/10.1146/annurev-clinpsy-032816-044949</w:t>
        </w:r>
      </w:hyperlink>
      <w:r>
        <w:t xml:space="preserve">.</w:t>
      </w:r>
    </w:p>
    <w:bookmarkEnd w:id="107"/>
    <w:bookmarkStart w:id="109"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08">
        <w:r>
          <w:rPr>
            <w:rStyle w:val="Hyperlink"/>
          </w:rPr>
          <w:t xml:space="preserve">https://doi.org/10.2196/29563</w:t>
        </w:r>
      </w:hyperlink>
      <w:r>
        <w:t xml:space="preserve">.</w:t>
      </w:r>
    </w:p>
    <w:bookmarkEnd w:id="109"/>
    <w:bookmarkStart w:id="111"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10">
        <w:r>
          <w:rPr>
            <w:rStyle w:val="Hyperlink"/>
          </w:rPr>
          <w:t xml:space="preserve">https://doi.org/10.1016/j.jsat.2021.108710</w:t>
        </w:r>
      </w:hyperlink>
      <w:r>
        <w:t xml:space="preserve">.</w:t>
      </w:r>
    </w:p>
    <w:bookmarkEnd w:id="111"/>
    <w:bookmarkStart w:id="113"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12">
        <w:r>
          <w:rPr>
            <w:rStyle w:val="Hyperlink"/>
          </w:rPr>
          <w:t xml:space="preserve">https://doi.org/10.1016/j.drugalcdep.2019.05.017</w:t>
        </w:r>
      </w:hyperlink>
      <w:r>
        <w:t xml:space="preserve">.</w:t>
      </w:r>
    </w:p>
    <w:bookmarkEnd w:id="113"/>
    <w:bookmarkStart w:id="114"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14"/>
    <w:bookmarkStart w:id="116"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15">
        <w:r>
          <w:rPr>
            <w:rStyle w:val="Hyperlink"/>
          </w:rPr>
          <w:t xml:space="preserve">https://doi.org/10.1111/add.13479</w:t>
        </w:r>
      </w:hyperlink>
      <w:r>
        <w:t xml:space="preserve">.</w:t>
      </w:r>
    </w:p>
    <w:bookmarkEnd w:id="116"/>
    <w:bookmarkStart w:id="118"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17">
        <w:r>
          <w:rPr>
            <w:rStyle w:val="Hyperlink"/>
          </w:rPr>
          <w:t xml:space="preserve">https://doi.org/10.1037/adb0000666</w:t>
        </w:r>
      </w:hyperlink>
      <w:r>
        <w:t xml:space="preserve">.</w:t>
      </w:r>
    </w:p>
    <w:bookmarkEnd w:id="118"/>
    <w:bookmarkStart w:id="120"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19">
        <w:r>
          <w:rPr>
            <w:rStyle w:val="Hyperlink"/>
          </w:rPr>
          <w:t xml:space="preserve">https://doi.org/10.1177/1178221820976988</w:t>
        </w:r>
      </w:hyperlink>
      <w:r>
        <w:t xml:space="preserve">.</w:t>
      </w:r>
    </w:p>
    <w:bookmarkEnd w:id="120"/>
    <w:bookmarkStart w:id="121"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21"/>
    <w:bookmarkStart w:id="123"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22">
        <w:r>
          <w:rPr>
            <w:rStyle w:val="Hyperlink"/>
          </w:rPr>
          <w:t xml:space="preserve">https://doi.org/10.1016/j.jsat.2021.108417</w:t>
        </w:r>
      </w:hyperlink>
      <w:r>
        <w:t xml:space="preserve">.</w:t>
      </w:r>
    </w:p>
    <w:bookmarkEnd w:id="123"/>
    <w:bookmarkStart w:id="125"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24">
        <w:r>
          <w:rPr>
            <w:rStyle w:val="Hyperlink"/>
          </w:rPr>
          <w:t xml:space="preserve">https://doi.org/10.1037/0003-066X.59.4.224</w:t>
        </w:r>
      </w:hyperlink>
      <w:r>
        <w:t xml:space="preserve">.</w:t>
      </w:r>
    </w:p>
    <w:bookmarkEnd w:id="125"/>
    <w:bookmarkStart w:id="127"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26">
        <w:r>
          <w:rPr>
            <w:rStyle w:val="Hyperlink"/>
          </w:rPr>
          <w:t xml:space="preserve">https://doi.org/10.1016/j.cpr.2007.01.002</w:t>
        </w:r>
      </w:hyperlink>
      <w:r>
        <w:t xml:space="preserve">.</w:t>
      </w:r>
    </w:p>
    <w:bookmarkEnd w:id="127"/>
    <w:bookmarkStart w:id="128" w:name="X3f67f11df296341e595ed74232696d3a94ce536"/>
    <w:p>
      <w:pPr>
        <w:pStyle w:val="Bibliography"/>
      </w:pPr>
      <w:r>
        <w:t xml:space="preserve">Wyant, Kendra,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28"/>
    <w:bookmarkStart w:id="130"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29">
        <w:r>
          <w:rPr>
            <w:rStyle w:val="Hyperlink"/>
          </w:rPr>
          <w:t xml:space="preserve">https://doi.org/10.2196/41833</w:t>
        </w:r>
      </w:hyperlink>
      <w:r>
        <w:t xml:space="preserve">.</w:t>
      </w:r>
    </w:p>
    <w:bookmarkEnd w:id="130"/>
    <w:bookmarkStart w:id="132"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31">
        <w:r>
          <w:rPr>
            <w:rStyle w:val="Hyperlink"/>
          </w:rPr>
          <w:t xml:space="preserve">https://doi.org/10.31234/osf.io/cgsf7</w:t>
        </w:r>
      </w:hyperlink>
      <w:r>
        <w:t xml:space="preserve">.</w:t>
      </w:r>
    </w:p>
    <w:bookmarkEnd w:id="132"/>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1">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3">
    <w:p>
      <w:pPr>
        <w:pStyle w:val="FootnoteText"/>
      </w:pPr>
      <w:r>
        <w:rPr>
          <w:rStyle w:val="FootnoteReference"/>
        </w:rPr>
        <w:footnoteRef/>
      </w:r>
      <w:r>
        <w:t xml:space="preserve"> </w:t>
      </w:r>
      <w:r>
        <w:t xml:space="preserve">The poverty cutoff was defined from the 2024 federal poverty line for the 48 continguous United States. Participants at or below $1560 annual income were categorized as below poverty.</w:t>
      </w:r>
    </w:p>
  </w:footnote>
  <w:footnote w:id="44">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30" Target="media/rId30.png" /><Relationship Type="http://schemas.openxmlformats.org/officeDocument/2006/relationships/hyperlink" Id="rId104" Target="https://doi.org/10.1001/jama.284.13.1689" TargetMode="External" /><Relationship Type="http://schemas.openxmlformats.org/officeDocument/2006/relationships/hyperlink" Id="rId94" Target="https://doi.org/10.1001/jamanetworkopen.2020.5852" TargetMode="External" /><Relationship Type="http://schemas.openxmlformats.org/officeDocument/2006/relationships/hyperlink" Id="rId99" Target="https://doi.org/10.1007/978-1-4614-6849-3" TargetMode="External" /><Relationship Type="http://schemas.openxmlformats.org/officeDocument/2006/relationships/hyperlink" Id="rId71" Target="https://doi.org/10.1007/s10488-016-0718-5" TargetMode="External" /><Relationship Type="http://schemas.openxmlformats.org/officeDocument/2006/relationships/hyperlink" Id="rId96" Target="https://doi.org/10.1007/s11920-012-0296-5" TargetMode="External" /><Relationship Type="http://schemas.openxmlformats.org/officeDocument/2006/relationships/hyperlink" Id="rId69" Target="https://doi.org/10.1016/j.addbeh.2017.11.039" TargetMode="External" /><Relationship Type="http://schemas.openxmlformats.org/officeDocument/2006/relationships/hyperlink" Id="rId83" Target="https://doi.org/10.1016/j.brat.2019.103506" TargetMode="External" /><Relationship Type="http://schemas.openxmlformats.org/officeDocument/2006/relationships/hyperlink" Id="rId126" Target="https://doi.org/10.1016/j.cpr.2007.01.002" TargetMode="External" /><Relationship Type="http://schemas.openxmlformats.org/officeDocument/2006/relationships/hyperlink" Id="rId87" Target="https://doi.org/10.1016/j.drugalcdep.2006.05.012" TargetMode="External" /><Relationship Type="http://schemas.openxmlformats.org/officeDocument/2006/relationships/hyperlink" Id="rId112" Target="https://doi.org/10.1016/j.drugalcdep.2019.05.017" TargetMode="External" /><Relationship Type="http://schemas.openxmlformats.org/officeDocument/2006/relationships/hyperlink" Id="rId79" Target="https://doi.org/10.1016/j.jsat.2013.08.004" TargetMode="External" /><Relationship Type="http://schemas.openxmlformats.org/officeDocument/2006/relationships/hyperlink" Id="rId122" Target="https://doi.org/10.1016/j.jsat.2021.108417" TargetMode="External" /><Relationship Type="http://schemas.openxmlformats.org/officeDocument/2006/relationships/hyperlink" Id="rId110" Target="https://doi.org/10.1016/j.jsat.2021.108710" TargetMode="External" /><Relationship Type="http://schemas.openxmlformats.org/officeDocument/2006/relationships/hyperlink" Id="rId124" Target="https://doi.org/10.1037/0003-066X.59.4.224" TargetMode="External" /><Relationship Type="http://schemas.openxmlformats.org/officeDocument/2006/relationships/hyperlink" Id="rId117" Target="https://doi.org/10.1037/adb0000666" TargetMode="External" /><Relationship Type="http://schemas.openxmlformats.org/officeDocument/2006/relationships/hyperlink" Id="rId115" Target="https://doi.org/10.1111/add.13479" TargetMode="External" /><Relationship Type="http://schemas.openxmlformats.org/officeDocument/2006/relationships/hyperlink" Id="rId106" Target="https://doi.org/10.1146/annurev-clinpsy-032816-044949" TargetMode="External" /><Relationship Type="http://schemas.openxmlformats.org/officeDocument/2006/relationships/hyperlink" Id="rId74" Target="https://doi.org/10.1146/annurev.clinpsy.3.022806.091455" TargetMode="External" /><Relationship Type="http://schemas.openxmlformats.org/officeDocument/2006/relationships/hyperlink" Id="rId119" Target="https://doi.org/10.1177/1178221820976988" TargetMode="External" /><Relationship Type="http://schemas.openxmlformats.org/officeDocument/2006/relationships/hyperlink" Id="rId76" Target="https://doi.org/10.21231/GNT1-HW21" TargetMode="External" /><Relationship Type="http://schemas.openxmlformats.org/officeDocument/2006/relationships/hyperlink" Id="rId108" Target="https://doi.org/10.2196/29563" TargetMode="External" /><Relationship Type="http://schemas.openxmlformats.org/officeDocument/2006/relationships/hyperlink" Id="rId129" Target="https://doi.org/10.2196/41833" TargetMode="External" /><Relationship Type="http://schemas.openxmlformats.org/officeDocument/2006/relationships/hyperlink" Id="rId131" Target="https://doi.org/10.31234/osf.io/cgsf7" TargetMode="External" /><Relationship Type="http://schemas.openxmlformats.org/officeDocument/2006/relationships/hyperlink" Id="rId92"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62" Target="https://jjcurtin.github.io/study_lag/notebooks\mak_figures-preview.html#cell-fig-3" TargetMode="External" /><Relationship Type="http://schemas.openxmlformats.org/officeDocument/2006/relationships/hyperlink" Id="rId34" Target="https://jjcurtin.github.io/study_lag/notebooks\mak_figures-preview.html#cell-fig-methods" TargetMode="External" /><Relationship Type="http://schemas.openxmlformats.org/officeDocument/2006/relationships/hyperlink" Id="rId55" Target="https://jjcurtin.github.io/study_lag/notebooks\mak_tables-preview.html#cell-tbl-contrast" TargetMode="External" /><Relationship Type="http://schemas.openxmlformats.org/officeDocument/2006/relationships/hyperlink" Id="rId51" Target="https://jjcurtin.github.io/study_lag/notebooks\mak_tables-preview.html#cell-tbl-demohtml" TargetMode="External" /><Relationship Type="http://schemas.openxmlformats.org/officeDocument/2006/relationships/hyperlink" Id="rId22" Target="https://osf.io/xta67/" TargetMode="External" /><Relationship Type="http://schemas.openxmlformats.org/officeDocument/2006/relationships/hyperlink" Id="rId81" Target="https://www.ncbi.nlm.nih.gov/pmc/articles/PMC2797101" TargetMode="External" /></Relationships>
</file>

<file path=word/_rels/footnotes.xml.rels><?xml version="1.0" encoding="UTF-8"?><Relationships xmlns="http://schemas.openxmlformats.org/package/2006/relationships"><Relationship Type="http://schemas.openxmlformats.org/officeDocument/2006/relationships/hyperlink" Id="rId104" Target="https://doi.org/10.1001/jama.284.13.1689" TargetMode="External" /><Relationship Type="http://schemas.openxmlformats.org/officeDocument/2006/relationships/hyperlink" Id="rId94" Target="https://doi.org/10.1001/jamanetworkopen.2020.5852" TargetMode="External" /><Relationship Type="http://schemas.openxmlformats.org/officeDocument/2006/relationships/hyperlink" Id="rId99" Target="https://doi.org/10.1007/978-1-4614-6849-3" TargetMode="External" /><Relationship Type="http://schemas.openxmlformats.org/officeDocument/2006/relationships/hyperlink" Id="rId71" Target="https://doi.org/10.1007/s10488-016-0718-5" TargetMode="External" /><Relationship Type="http://schemas.openxmlformats.org/officeDocument/2006/relationships/hyperlink" Id="rId96" Target="https://doi.org/10.1007/s11920-012-0296-5" TargetMode="External" /><Relationship Type="http://schemas.openxmlformats.org/officeDocument/2006/relationships/hyperlink" Id="rId69" Target="https://doi.org/10.1016/j.addbeh.2017.11.039" TargetMode="External" /><Relationship Type="http://schemas.openxmlformats.org/officeDocument/2006/relationships/hyperlink" Id="rId83" Target="https://doi.org/10.1016/j.brat.2019.103506" TargetMode="External" /><Relationship Type="http://schemas.openxmlformats.org/officeDocument/2006/relationships/hyperlink" Id="rId126" Target="https://doi.org/10.1016/j.cpr.2007.01.002" TargetMode="External" /><Relationship Type="http://schemas.openxmlformats.org/officeDocument/2006/relationships/hyperlink" Id="rId87" Target="https://doi.org/10.1016/j.drugalcdep.2006.05.012" TargetMode="External" /><Relationship Type="http://schemas.openxmlformats.org/officeDocument/2006/relationships/hyperlink" Id="rId112" Target="https://doi.org/10.1016/j.drugalcdep.2019.05.017" TargetMode="External" /><Relationship Type="http://schemas.openxmlformats.org/officeDocument/2006/relationships/hyperlink" Id="rId79" Target="https://doi.org/10.1016/j.jsat.2013.08.004" TargetMode="External" /><Relationship Type="http://schemas.openxmlformats.org/officeDocument/2006/relationships/hyperlink" Id="rId122" Target="https://doi.org/10.1016/j.jsat.2021.108417" TargetMode="External" /><Relationship Type="http://schemas.openxmlformats.org/officeDocument/2006/relationships/hyperlink" Id="rId110" Target="https://doi.org/10.1016/j.jsat.2021.108710" TargetMode="External" /><Relationship Type="http://schemas.openxmlformats.org/officeDocument/2006/relationships/hyperlink" Id="rId124" Target="https://doi.org/10.1037/0003-066X.59.4.224" TargetMode="External" /><Relationship Type="http://schemas.openxmlformats.org/officeDocument/2006/relationships/hyperlink" Id="rId117" Target="https://doi.org/10.1037/adb0000666" TargetMode="External" /><Relationship Type="http://schemas.openxmlformats.org/officeDocument/2006/relationships/hyperlink" Id="rId115" Target="https://doi.org/10.1111/add.13479" TargetMode="External" /><Relationship Type="http://schemas.openxmlformats.org/officeDocument/2006/relationships/hyperlink" Id="rId106" Target="https://doi.org/10.1146/annurev-clinpsy-032816-044949" TargetMode="External" /><Relationship Type="http://schemas.openxmlformats.org/officeDocument/2006/relationships/hyperlink" Id="rId74" Target="https://doi.org/10.1146/annurev.clinpsy.3.022806.091455" TargetMode="External" /><Relationship Type="http://schemas.openxmlformats.org/officeDocument/2006/relationships/hyperlink" Id="rId119" Target="https://doi.org/10.1177/1178221820976988" TargetMode="External" /><Relationship Type="http://schemas.openxmlformats.org/officeDocument/2006/relationships/hyperlink" Id="rId76" Target="https://doi.org/10.21231/GNT1-HW21" TargetMode="External" /><Relationship Type="http://schemas.openxmlformats.org/officeDocument/2006/relationships/hyperlink" Id="rId108" Target="https://doi.org/10.2196/29563" TargetMode="External" /><Relationship Type="http://schemas.openxmlformats.org/officeDocument/2006/relationships/hyperlink" Id="rId129" Target="https://doi.org/10.2196/41833" TargetMode="External" /><Relationship Type="http://schemas.openxmlformats.org/officeDocument/2006/relationships/hyperlink" Id="rId131" Target="https://doi.org/10.31234/osf.io/cgsf7" TargetMode="External" /><Relationship Type="http://schemas.openxmlformats.org/officeDocument/2006/relationships/hyperlink" Id="rId92"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62" Target="https://jjcurtin.github.io/study_lag/notebooks\mak_figures-preview.html#cell-fig-3" TargetMode="External" /><Relationship Type="http://schemas.openxmlformats.org/officeDocument/2006/relationships/hyperlink" Id="rId34" Target="https://jjcurtin.github.io/study_lag/notebooks\mak_figures-preview.html#cell-fig-methods" TargetMode="External" /><Relationship Type="http://schemas.openxmlformats.org/officeDocument/2006/relationships/hyperlink" Id="rId55" Target="https://jjcurtin.github.io/study_lag/notebooks\mak_tables-preview.html#cell-tbl-contrast" TargetMode="External" /><Relationship Type="http://schemas.openxmlformats.org/officeDocument/2006/relationships/hyperlink" Id="rId51" Target="https://jjcurtin.github.io/study_lag/notebooks\mak_tables-preview.html#cell-tbl-demohtml" TargetMode="External" /><Relationship Type="http://schemas.openxmlformats.org/officeDocument/2006/relationships/hyperlink" Id="rId22" Target="https://osf.io/xta67/" TargetMode="External" /><Relationship Type="http://schemas.openxmlformats.org/officeDocument/2006/relationships/hyperlink" Id="rId81" Target="https://www.ncbi.nlm.nih.gov/pmc/articles/PMC27971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Use for Adaptive and Personalized Continuing Care</dc:title>
  <dc:creator>Kendra Wyant; Gaylen E. Fronk; Jiachen Yu; John J. Curtin</dc:creator>
  <cp:keywords>Substance use disorders, Precision mental health</cp:keywords>
  <dcterms:created xsi:type="dcterms:W3CDTF">2025-01-28T01:08:35Z</dcterms:created>
  <dcterms:modified xsi:type="dcterms:W3CDTF">2025-01-28T01:08:35Z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.97).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2025-01-27</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