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63.png" ContentType="image/png"/>
  <Override PartName="/word/media/rId31.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2025-10-29</w:t>
      </w:r>
    </w:p>
    <w:p>
      <w:pPr>
        <w:pStyle w:val="AbstractTitle"/>
      </w:pPr>
      <w:r>
        <w:t xml:space="preserve">Abstract</w:t>
      </w:r>
    </w:p>
    <w:p>
      <w:pPr>
        <w:pStyle w:val="Abstract"/>
      </w:pPr>
      <w:r>
        <w:t xml:space="preserve">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[1,2]</w:t>
      </w:r>
      <w:r>
        <w:t xml:space="preserve">, substantial co-morbidity with other physical and mental health problems</w:t>
      </w:r>
      <w:r>
        <w:t xml:space="preserve"> </w:t>
      </w:r>
      <w:r>
        <w:t xml:space="preserve">[2,3]</w:t>
      </w:r>
      <w:r>
        <w:t xml:space="preserve">, and an increased risk of mortality</w:t>
      </w:r>
      <w:r>
        <w:t xml:space="preserve"> </w:t>
      </w:r>
      <w:r>
        <w:t xml:space="preserve">[4,5]</w:t>
      </w:r>
      <w:r>
        <w:t xml:space="preserve">. Too few individuals receive medications or clinician-delivered interventions to help them initially achieve abstinence and/or reduce harms associated with their use</w:t>
      </w:r>
      <w:r>
        <w:t xml:space="preserve"> </w:t>
      </w:r>
      <w:r>
        <w:t xml:space="preserve">[3]</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[6]</w:t>
      </w:r>
      <w:r>
        <w:t xml:space="preserve">. Yet, continuing care for SUDs is largely lacking despite ample evidence that SUDs are chronic, relapsing conditions</w:t>
      </w:r>
      <w:r>
        <w:t xml:space="preserve"> </w:t>
      </w:r>
      <w:r>
        <w:t xml:space="preserve">[3,7,8]</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[9,10]</w:t>
      </w:r>
      <w:r>
        <w:t xml:space="preserve">. Critically, the risk factors that instigate lapses during recovery are individualized, numerous, dynamic, interactive, and non-linear</w:t>
      </w:r>
      <w:r>
        <w:t xml:space="preserve"> </w:t>
      </w:r>
      <w:r>
        <w:t xml:space="preserve">[11,12]</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[13–15]</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[16]</w:t>
      </w:r>
      <w:r>
        <w:t xml:space="preserve"> </w:t>
      </w:r>
      <w:r>
        <w:t xml:space="preserve">and machine learning</w:t>
      </w:r>
      <w:r>
        <w:t xml:space="preserve"> </w:t>
      </w:r>
      <w:r>
        <w:t xml:space="preserve">[17]</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subjective experiences (e.g., craving, affect, stress, motivation, self-efficacy) that are targets for change in evidence-based approaches for relapse prevention</w:t>
      </w:r>
      <w:r>
        <w:t xml:space="preserve"> </w:t>
      </w:r>
      <w:r>
        <w:t xml:space="preserve">[9,10,18]</w:t>
      </w:r>
      <w:r>
        <w:t xml:space="preserve">. Furthermore, individuals with SUDs have found EMA to be acceptable for sustained measurement for up to a year with relatively high compliance</w:t>
      </w:r>
      <w:r>
        <w:t xml:space="preserve"> </w:t>
      </w:r>
      <w:r>
        <w:t xml:space="preserve">[19,20]</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[21]</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[22]</w:t>
      </w:r>
      <w:r>
        <w:t xml:space="preserve">) now allow us to probe these models to understand which risk features contribute most strongly to a lapse prediction for a specific individual at a specific moment in time. Interventions, supports, and/or suggested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[21,23,24]</w:t>
      </w:r>
      <w:r>
        <w:t xml:space="preserve">. This research is important because it rigorously required strict temporal ordering necessary for true prediction, with features measured before alcohol use outcomes. These studies also used resampling methods (e.g., cross-validation) that prioritize model generalizability to increase the likelihood these models will perform well with new people. Perhaps most importantly,</w:t>
      </w:r>
      <w:r>
        <w:t xml:space="preserve"> </w:t>
      </w:r>
      <w:r>
        <w:t xml:space="preserve">[21]</w:t>
      </w:r>
      <w:r>
        <w:t xml:space="preserve"> </w:t>
      </w:r>
      <w:r>
        <w:t xml:space="preserve">demonstrated that machine learning models using EMA can provide predictions with very high temporal precision at clinically implementable levels of performance. Specifically, we developed models that predict lapses in the immediate future (i.e., the next day and even the next hour) with areas under the receiver operating characteristic curve (auROCs) of 0.91 and 0.93, respectively.</w:t>
      </w:r>
    </w:p>
    <w:p>
      <w:pPr>
        <w:pStyle w:val="BodyText"/>
      </w:pPr>
      <w:r>
        <w:t xml:space="preserve">[21]</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then be provided. For example, if predicted lapse probability is high due to frequent craving, the individual could be reminded about the benefits of urge surfing or distracting activities during brief periods when cravings arise. Conversely, guided relaxation techniques could be recommended if lapse probability is high due to recent past and anticipated stressors that day. Patients could also be assisted to implement any of these recommendations using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 (AUD)</w:t>
      </w:r>
      <w:r>
        <w:t xml:space="preserve"> </w:t>
      </w:r>
      <w:r>
        <w:t xml:space="preserve">[25]</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implementation.</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[26,27]</w:t>
      </w:r>
      <w:r>
        <w:t xml:space="preserve">, income</w:t>
      </w:r>
      <w:r>
        <w:t xml:space="preserve"> </w:t>
      </w:r>
      <w:r>
        <w:t xml:space="preserve">[28]</w:t>
      </w:r>
      <w:r>
        <w:t xml:space="preserve"> </w:t>
      </w:r>
      <w:r>
        <w:t xml:space="preserve">and sex at birth</w:t>
      </w:r>
      <w:r>
        <w:t xml:space="preserve"> </w:t>
      </w:r>
      <w:r>
        <w:t xml:space="preserve">[27,29]</w:t>
      </w:r>
      <w:r>
        <w:t xml:space="preserve">. Finally, we calculated Shapley values for feature categories defined by EMA items to better understand how these models generate predictions and how these features can be used to tailor personalized supports.</w:t>
      </w:r>
    </w:p>
    <w:bookmarkEnd w:id="21"/>
    <w:bookmarkStart w:id="47" w:name="methods"/>
    <w:p>
      <w:pPr>
        <w:pStyle w:val="Heading1"/>
      </w:pPr>
      <w:r>
        <w:t xml:space="preserve">Methods</w:t>
      </w:r>
    </w:p>
    <w:bookmarkStart w:id="24" w:name="transparency"/>
    <w:p>
      <w:pPr>
        <w:pStyle w:val="Heading2"/>
      </w:pPr>
      <w:r>
        <w:t xml:space="preserve">Transparency</w:t>
      </w:r>
    </w:p>
    <w:p>
      <w:pPr>
        <w:pStyle w:val="FirstParagraph"/>
      </w:pPr>
      <w:r>
        <w:t xml:space="preserve">We adhere to research transparency principles that are crucial for robust and replicable science. We preregistered our data analytic strategy. We reported all data exclusions. Our data, questionnaires, preregistration, and other study materials are publicly available on our OSF page (</w:t>
      </w:r>
      <w:hyperlink r:id="rId22">
        <w:r>
          <w:rPr>
            <w:rStyle w:val="Hyperlink"/>
          </w:rPr>
          <w:t xml:space="preserve">https://osf.io/xta67/</w:t>
        </w:r>
      </w:hyperlink>
      <w:r>
        <w:t xml:space="preserve">).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5" w:name="participants"/>
    <w:p>
      <w:pPr>
        <w:pStyle w:val="Heading2"/>
      </w:pPr>
      <w:r>
        <w:t xml:space="preserve">Participants</w:t>
      </w:r>
    </w:p>
    <w:p>
      <w:pPr>
        <w:pStyle w:val="FirstParagraph"/>
      </w:pPr>
      <w:r>
        <w:t xml:space="preserve">We recruited 192 participants in early recovery from AUD in Madison, Wisconsin, USA for a 3-month longitudinal study. This sample size was determined based on traditional power analysis methods for logistic regression</w:t>
      </w:r>
      <w:r>
        <w:t xml:space="preserve"> </w:t>
      </w:r>
      <w:r>
        <w:t xml:space="preserve">[30]</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 (Defined as scores &gt;2.2 or 2.8, respectively, on the psychosis or paranoia scales of the Symptom Checklist–90</w:t>
      </w:r>
      <w:r>
        <w:t xml:space="preserve"> </w:t>
      </w:r>
      <w:r>
        <w:t xml:space="preserve">[31]</w:t>
      </w:r>
      <w:r>
        <w:t xml:space="preserve">)</w:t>
      </w:r>
    </w:p>
    <w:p>
      <w:pPr>
        <w:pStyle w:val="BodyText"/>
      </w:pPr>
      <w:r>
        <w:t xml:space="preserve">Of the 192 eligible participants,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5"/>
    <w:bookmarkStart w:id="26"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6"/>
    <w:bookmarkStart w:id="27" w:name="ethics"/>
    <w:p>
      <w:pPr>
        <w:pStyle w:val="Heading2"/>
      </w:pPr>
      <w:r>
        <w:t xml:space="preserve">Ethics</w:t>
      </w:r>
    </w:p>
    <w:p>
      <w:pPr>
        <w:pStyle w:val="FirstParagraph"/>
      </w:pPr>
      <w:r>
        <w:t xml:space="preserve">All procedures were approved by the University of Wisconsin-Madison Institutional Review Board (Study #2015-0780) and carried out in accordance with the principles of the Declaration of Helsinki. All participants provided written informed consent.</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reviewed the meaning of each question with a member of the research team during their intake visit to ensure consistent question interpretation.</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 On the first EMA each day, participants also rated anticipated risky situations, stressful events,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[32]</w:t>
      </w:r>
      <w:r>
        <w:t xml:space="preserve">, and presence of psychological symptoms</w:t>
      </w:r>
      <w:r>
        <w:t xml:space="preserve"> </w:t>
      </w:r>
      <w:r>
        <w:t xml:space="preserve">[31]</w:t>
      </w:r>
      <w:r>
        <w:t xml:space="preserve"> </w:t>
      </w:r>
      <w:r>
        <w:t xml:space="preserve">to characterize our sample. DSM-5 AUD symptom count and presence of psychological symptoms were also used to determine eligibility. Demographics were included as features in our models. A subset of these variables (sex at birth, race, ethnicity, and income) were used for model fairness analyses, as they have documented disparities in treatment access and outcomes. 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46" w:name="data-analytic-strategy"/>
    <w:p>
      <w:pPr>
        <w:pStyle w:val="Heading2"/>
      </w:pPr>
      <w:r>
        <w:t xml:space="preserve">Data Analytic Strategy</w:t>
      </w:r>
    </w:p>
    <w:p>
      <w:pPr>
        <w:pStyle w:val="FirstParagraph"/>
      </w:pPr>
      <w:r>
        <w:t xml:space="preserve">Data preprocessing, modeling, and Bayesian analyses were done in R (version 4.4.2) using the tidymodels ecosystem</w:t>
      </w:r>
      <w:r>
        <w:t xml:space="preserve"> </w:t>
      </w:r>
      <w:r>
        <w:t xml:space="preserve">[33–35]</w:t>
      </w:r>
      <w:r>
        <w:t xml:space="preserve">. Models were trained and evaluated using high-throughput computing resources provided by the University of Wisconsin Center for High Throughput Computing</w:t>
      </w:r>
      <w:r>
        <w:t xml:space="preserve"> </w:t>
      </w:r>
      <w:r>
        <w:t xml:space="preserve">[36]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24-hour periods starting at midnight that day, or 24-hour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7" w:name="labels"/>
    <w:p>
      <w:pPr>
        <w:pStyle w:val="Heading3"/>
      </w:pPr>
      <w:r>
        <w:t xml:space="preserve">Labels</w:t>
      </w:r>
    </w:p>
    <w:p>
      <w:pPr>
        <w:pStyle w:val="FirstParagraph"/>
      </w:pPr>
      <w:r>
        <w:t xml:space="preserve">The start and end dates and times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 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p>
      <w:pPr>
        <w:pStyle w:val="BodyText"/>
      </w:pPr>
      <w:r>
        <w:t xml:space="preserve">This method produced totals of: 274,179 labels for the baseline (no lag) model; 270,911 labels for the 1-day lagged model; 264,362 labels for the 3-day lagged model; 251,458 labels for the 1-week lagged model; and 228,420 labels for the 2-week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the no lag model, the prediction timepoint was at the start of prediction window, so all data prior to the start of the prediction window were included. For the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at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non-White and/or Hispanic), marital status (married vs. not married vs. other), education (high school or less vs. some college vs. college degree), and employment status (employed vs. unemployed).</w:t>
      </w:r>
    </w:p>
    <w:p>
      <w:pPr>
        <w:numPr>
          <w:ilvl w:val="0"/>
          <w:numId w:val="1002"/>
        </w:numPr>
      </w:pPr>
      <w:r>
        <w:rPr>
          <w:i/>
          <w:iCs/>
        </w:rPr>
        <w:t xml:space="preserve">Previous EMA responses</w:t>
      </w:r>
      <w:r>
        <w:t xml:space="preserve">: We calculated raw and change features using EMAs in varying feature scoring epochs (i.e., 12, 24, 48, 72, and 168 hours) before the prediction timepoint for all EMA items. Raw features included min, max, and median scores for each EMA item across all EMAs in each epoch for a given participant. We calculated change features by subtracting each participant’s baseline mean score for each EMA item from their raw feature. These baseline mean scores were calculated using all of a participant’s EMAs collected from the start of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Features had missing values if the participant did not respond to the relevant EMA question during the associated scoring epoch. The proportion of missing values across features and models was low (median = .02, range = 0 - .13). We imputed missing data using median imputation for numeric features and mode imputation for nominal features. We selected coarse median/mode methods for handling missing data due to the computational costs associated with more advanced forms of imputation (e.g., KNN imputation, multiple imputation). Importantly, our imputation calculations are done using only held-in data and can be applied to any new observation.</w:t>
      </w:r>
    </w:p>
    <w:p>
      <w:pPr>
        <w:pStyle w:val="BodyText"/>
      </w:pPr>
      <w:r>
        <w:t xml:space="preserve">Other generic feature engineering steps included removing zero and near-zero variance features as determined from held-in data. A sample feature engineering script (i.e., tidymodels recipe) containing all feature engineering steps is available on our OSF study page.</w:t>
      </w:r>
    </w:p>
    <w:bookmarkEnd w:id="38"/>
    <w:bookmarkStart w:id="39" w:name="model-configurations"/>
    <w:p>
      <w:pPr>
        <w:pStyle w:val="Heading3"/>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[37]</w:t>
      </w:r>
      <w:r>
        <w:t xml:space="preserve">. Candidate model configurations differed across sensible values for key hyperparameters. Configurations also differed on outcome resampling method (i.e., no resampling and up-sampling and down-sampling of the outcome using majority/no lapse to minority/lapse ratios ranging from 5:1 to 1:1).</w:t>
      </w:r>
    </w:p>
    <w:bookmarkEnd w:id="39"/>
    <w:bookmarkStart w:id="40" w:name="cross-validation"/>
    <w:p>
      <w:pPr>
        <w:pStyle w:val="Heading3"/>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1" w:name="bayesian-model"/>
    <w:p>
      <w:pPr>
        <w:pStyle w:val="Heading3"/>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[38,39]</w:t>
      </w:r>
      <w:r>
        <w:t xml:space="preserve">, we used the rstanarm default autoscaled, weakly informative, data-dependent priors that take into account the order of magnitude of the variables to provide some regularization to stabilize computation and avoid over-fitting.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 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1"/>
    <w:bookmarkStart w:id="42" w:name="fairness-analyses"/>
    <w:p>
      <w:pPr>
        <w:pStyle w:val="Heading3"/>
      </w:pPr>
      <w:r>
        <w:t xml:space="preserve">Fairness Analyses</w:t>
      </w:r>
    </w:p>
    <w:p>
      <w:pPr>
        <w:pStyle w:val="FirstParagraph"/>
      </w:pPr>
      <w:r>
        <w:t xml:space="preserve">Using the same 30 held-out test sets, we calculated the median posterior probability and 95% Bayesian CI for auROC for each model separately by race/ethnicity (non-White and/or Hispanic vs. non-Hispanic White), income (below poverty line vs. above poverty line, and sex at birth (female vs. male). We used course race/ethnicity groupings due to the limited diversity of these demographics in our sample. The poverty cutoff was defined from the 2024 federal poverty line for the 48 contiguous United States. Participants at or below $15,060 annual income were categorized as below poverty.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2"/>
    <w:bookmarkStart w:id="43"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End w:id="43"/>
    <w:bookmarkStart w:id="44" w:name="model-calibration"/>
    <w:p>
      <w:pPr>
        <w:pStyle w:val="Heading3"/>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[40]</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4"/>
    <w:bookmarkStart w:id="45" w:name="global-feature-importance"/>
    <w:p>
      <w:pPr>
        <w:pStyle w:val="Heading3"/>
      </w:pPr>
      <w:r>
        <w:t xml:space="preserve">Global Feature Importance</w:t>
      </w:r>
    </w:p>
    <w:p>
      <w:pPr>
        <w:pStyle w:val="FirstParagraph"/>
      </w:pPr>
      <w:r>
        <w:t xml:space="preserve">We used the same single 5-fold cross-validation procedure to calculate raw Shapley values for observations in our held-out folds. Raw Shapley values index the importance of any feature (or set/category of features as described below) to any single prediction for a specific observation (i.e., for a specific 24-hour window for a specific participant), which indicates the</w:t>
      </w:r>
      <w:r>
        <w:t xml:space="preserve"> </w:t>
      </w:r>
      <w:r>
        <w:t xml:space="preserve">“local importance”</w:t>
      </w:r>
      <w:r>
        <w:t xml:space="preserve"> </w:t>
      </w:r>
      <w:r>
        <w:t xml:space="preserve">of that feature</w:t>
      </w:r>
      <w:r>
        <w:t xml:space="preserve"> </w:t>
      </w:r>
      <w:r>
        <w:t xml:space="preserve">[22]</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5"/>
    <w:bookmarkEnd w:id="46"/>
    <w:bookmarkEnd w:id="47"/>
    <w:bookmarkStart w:id="75" w:name="results"/>
    <w:p>
      <w:pPr>
        <w:pStyle w:val="Heading1"/>
      </w:pPr>
      <w:r>
        <w:t xml:space="preserve">Results</w:t>
      </w:r>
    </w:p>
    <w:bookmarkStart w:id="50"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48"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8"/>
          <w:p/>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All Tables for Main Manuscript</w:t>
        </w:r>
      </w:hyperlink>
    </w:p>
    <w:bookmarkEnd w:id="50"/>
    <w:bookmarkStart w:id="56"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[0.85-0.88], 2-week lag [0.83-0.87].</w:t>
      </w:r>
    </w:p>
    <w:tbl>
      <w:tblPr>
        <w:tblStyle w:val="Table"/>
        <w:tblW w:type="pct" w:w="5000"/>
        <w:tblLayout w:type="fixed"/>
        <w:tblLook w:firstRow="0" w:lastRow="0" w:firstColumn="0" w:lastColumn="0" w:noHBand="0" w:noVBand="0" w:val="0000"/>
      </w:tblPr>
      <w:tblGrid>
        <w:gridCol w:w="7920"/>
      </w:tblGrid>
      <w:tr>
        <w:tc>
          <w:tcPr/>
          <w:bookmarkStart w:id="54" w:name="fig-pp"/>
          <w:p>
            <w:pPr>
              <w:pStyle w:val="Compact"/>
              <w:jc w:val="center"/>
            </w:pPr>
            <w:r>
              <w:drawing>
                <wp:inline>
                  <wp:extent cx="5334000" cy="5334000"/>
                  <wp:effectExtent b="0" l="0" r="0" t="0"/>
                  <wp:docPr descr="" title="" id="52" name="Picture"/>
                  <a:graphic>
                    <a:graphicData uri="http://schemas.openxmlformats.org/drawingml/2006/picture">
                      <pic:pic>
                        <pic:nvPicPr>
                          <pic:cNvPr descr="index_files/figure-docx/notebooks-mak_figures-fig-pp-output-1.png" id="53"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12,000 posterior samples (4 chains × 3,000 samples) from a Bayesian hierarchical generalized linear model. Horizontal lines depict 95% Bayesian credible intervals (CI) and vertical solid lines depict median posterior probability for auROC. Vertical dashed line represents expected performance from a random classifier (.5 auROC).</w:t>
            </w:r>
          </w:p>
          <w:bookmarkEnd w:id="54"/>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All Figures for Main Manuscript</w:t>
        </w:r>
      </w:hyperlink>
    </w:p>
    <w:bookmarkEnd w:id="56"/>
    <w:bookmarkStart w:id="59"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smaller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7" w:name="tbl-model"/>
          <w:p>
            <w:pPr>
              <w:jc w:val="center"/>
            </w:pPr>
            <w:pPr>
              <w:jc w:val="start"/>
              <w:spacing w:before="200"/>
              <w:pStyle w:val="ImageCaption"/>
            </w:pPr>
            <w:r>
              <w:t xml:space="preserve">Table 2: Median difference in auROC, 95% Bayesian credible interval (CI), and posterior probability that that the auROC difference was smaller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1-day vs. No lag</w:t>
                  </w:r>
                </w:p>
              </w:tc>
              <w:tc>
                <w:tcPr/>
                <w:p>
                  <w:pPr>
                    <w:pStyle w:val="Compact"/>
                    <w:jc w:val="left"/>
                    <w:jc w:val="center"/>
                  </w:pPr>
                  <w:r>
                    <w:t xml:space="preserve">-0.021</w:t>
                  </w:r>
                </w:p>
              </w:tc>
              <w:tc>
                <w:tcPr/>
                <w:p>
                  <w:pPr>
                    <w:pStyle w:val="Compact"/>
                    <w:jc w:val="left"/>
                    <w:jc w:val="center"/>
                  </w:pPr>
                  <w:r>
                    <w:t xml:space="preserve">[-0.025, -0.017]</w:t>
                  </w:r>
                </w:p>
              </w:tc>
              <w:tc>
                <w:tcPr/>
                <w:p>
                  <w:pPr>
                    <w:pStyle w:val="Compact"/>
                    <w:jc w:val="left"/>
                    <w:jc w:val="center"/>
                  </w:pPr>
                  <w:r>
                    <w:t xml:space="preserve">1</w:t>
                  </w:r>
                </w:p>
              </w:tc>
            </w:tr>
            <w:tr>
              <w:tc>
                <w:tcPr/>
                <w:p>
                  <w:pPr>
                    <w:pStyle w:val="Compact"/>
                    <w:jc w:val="left"/>
                    <w:jc w:val="center"/>
                  </w:pPr>
                  <w:r>
                    <w:t xml:space="preserve">3-day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1</w:t>
                  </w:r>
                </w:p>
              </w:tc>
            </w:tr>
            <w:tr>
              <w:tc>
                <w:tcPr/>
                <w:p>
                  <w:pPr>
                    <w:pStyle w:val="Compact"/>
                    <w:jc w:val="left"/>
                    <w:jc w:val="center"/>
                  </w:pPr>
                  <w:r>
                    <w:t xml:space="preserve">1-week vs. No lag</w:t>
                  </w:r>
                </w:p>
              </w:tc>
              <w:tc>
                <w:tcPr/>
                <w:p>
                  <w:pPr>
                    <w:pStyle w:val="Compact"/>
                    <w:jc w:val="left"/>
                    <w:jc w:val="center"/>
                  </w:pPr>
                  <w:r>
                    <w:t xml:space="preserve">-0.042</w:t>
                  </w:r>
                </w:p>
              </w:tc>
              <w:tc>
                <w:tcPr/>
                <w:p>
                  <w:pPr>
                    <w:pStyle w:val="Compact"/>
                    <w:jc w:val="left"/>
                    <w:jc w:val="center"/>
                  </w:pPr>
                  <w:r>
                    <w:t xml:space="preserve">[-0.048, -0.037]</w:t>
                  </w:r>
                </w:p>
              </w:tc>
              <w:tc>
                <w:tcPr/>
                <w:p>
                  <w:pPr>
                    <w:pStyle w:val="Compact"/>
                    <w:jc w:val="left"/>
                    <w:jc w:val="center"/>
                  </w:pPr>
                  <w:r>
                    <w:t xml:space="preserve">1</w:t>
                  </w:r>
                </w:p>
              </w:tc>
            </w:tr>
            <w:tr>
              <w:tc>
                <w:tcPr/>
                <w:p>
                  <w:pPr>
                    <w:pStyle w:val="Compact"/>
                    <w:jc w:val="left"/>
                    <w:jc w:val="center"/>
                  </w:pPr>
                  <w:r>
                    <w:t xml:space="preserve">2-week vs. No lag</w:t>
                  </w:r>
                </w:p>
              </w:tc>
              <w:tc>
                <w:tcPr/>
                <w:p>
                  <w:pPr>
                    <w:pStyle w:val="Compact"/>
                    <w:jc w:val="left"/>
                    <w:jc w:val="center"/>
                  </w:pPr>
                  <w:r>
                    <w:t xml:space="preserve">-0.062</w:t>
                  </w:r>
                </w:p>
              </w:tc>
              <w:tc>
                <w:tcPr/>
                <w:p>
                  <w:pPr>
                    <w:pStyle w:val="Compact"/>
                    <w:jc w:val="left"/>
                    <w:jc w:val="center"/>
                  </w:pPr>
                  <w:r>
                    <w:t xml:space="preserve">[-0.07, -0.056]</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3-day vs. 1-day</w:t>
                  </w:r>
                </w:p>
              </w:tc>
              <w:tc>
                <w:tcPr/>
                <w:p>
                  <w:pPr>
                    <w:pStyle w:val="Compact"/>
                    <w:jc w:val="left"/>
                    <w:jc w:val="center"/>
                  </w:pPr>
                  <w:r>
                    <w:t xml:space="preserve">-0.009</w:t>
                  </w:r>
                </w:p>
              </w:tc>
              <w:tc>
                <w:tcPr/>
                <w:p>
                  <w:pPr>
                    <w:pStyle w:val="Compact"/>
                    <w:jc w:val="left"/>
                    <w:jc w:val="center"/>
                  </w:pPr>
                  <w:r>
                    <w:t xml:space="preserve">[-0.013, -0.005]</w:t>
                  </w:r>
                </w:p>
              </w:tc>
              <w:tc>
                <w:tcPr/>
                <w:p>
                  <w:pPr>
                    <w:pStyle w:val="Compact"/>
                    <w:jc w:val="left"/>
                    <w:jc w:val="center"/>
                  </w:pPr>
                  <w:r>
                    <w:t xml:space="preserve">1</w:t>
                  </w:r>
                </w:p>
              </w:tc>
            </w:tr>
            <w:tr>
              <w:tc>
                <w:tcPr/>
                <w:p>
                  <w:pPr>
                    <w:pStyle w:val="Compact"/>
                    <w:jc w:val="left"/>
                    <w:jc w:val="center"/>
                  </w:pPr>
                  <w:r>
                    <w:t xml:space="preserve">1-week vs. 3-day</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1</w:t>
                  </w:r>
                </w:p>
              </w:tc>
            </w:tr>
            <w:tr>
              <w:tc>
                <w:tcPr/>
                <w:p>
                  <w:pPr>
                    <w:pStyle w:val="Compact"/>
                    <w:jc w:val="left"/>
                    <w:jc w:val="center"/>
                  </w:pPr>
                  <w:r>
                    <w:t xml:space="preserve">2-week vs. 1-week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1</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c>
                <w:tcPr/>
                <w:p>
                  <w:pPr>
                    <w:pStyle w:val="Compact"/>
                  </w:pPr>
                </w:p>
              </w:tc>
              <w:tc>
                <w:tcPr/>
                <w:p>
                  <w:pPr>
                    <w:pStyle w:val="Compact"/>
                  </w:pPr>
                </w:p>
              </w:tc>
              <w:tc>
                <w:tcPr/>
                <w:p>
                  <w:pPr>
                    <w:pStyle w:val="Compact"/>
                  </w:pPr>
                </w:p>
              </w:tc>
            </w:tr>
          </w:tbl>
          <w:bookmarkEnd w:id="57"/>
          <w:p/>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Tables for Main Manuscript</w:t>
        </w:r>
      </w:hyperlink>
    </w:p>
    <w:bookmarkEnd w:id="59"/>
    <w:bookmarkStart w:id="62"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smaller than 0 for the three fairness contrasts: race/ethnicity (non-White and/or Hispanic;</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 line;</w:t>
      </w:r>
      <w:r>
        <w:t xml:space="preserve"> </w:t>
      </w:r>
      <w:r>
        <w:rPr>
          <w:i/>
          <w:iCs/>
        </w:rPr>
        <w:t xml:space="preserve">N</w:t>
      </w:r>
      <w:r>
        <w:t xml:space="preserve"> </w:t>
      </w:r>
      <w:r>
        <w:t xml:space="preserve">= 49 vs. above poverty line;</w:t>
      </w:r>
      <w:r>
        <w:t xml:space="preserve"> </w:t>
      </w:r>
      <w:r>
        <w:rPr>
          <w:i/>
          <w:iCs/>
        </w:rPr>
        <w:t xml:space="preserve">N</w:t>
      </w:r>
      <w:r>
        <w:t xml:space="preserve"> </w:t>
      </w:r>
      <w:r>
        <w:t xml:space="preserve">= 102). Median auROC differences less than 0 indicate the model, on average, performed worse for the non-advantaged group (female, non-White and/or Hispanic, below poverty line) compared to the advantaged group (male, non-Hispanic White, and above poverty line).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non-White and/or Hispanic compared to participants who were non-Hispanic White.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non-White and/or Hispanic vs. 8%, non-Hispanic White), income (12%, below poverty line vs. 7%, above poverty line), sex at birth (9%, female vs. 7%, male).</w:t>
      </w:r>
    </w:p>
    <w:tbl>
      <w:tblPr>
        <w:tblStyle w:val="Table"/>
        <w:tblW w:type="pct" w:w="5000"/>
        <w:tblLayout w:type="fixed"/>
        <w:tblLook w:firstRow="0" w:lastRow="0" w:firstColumn="0" w:lastColumn="0" w:noHBand="0" w:noVBand="0" w:val="0000"/>
      </w:tblPr>
      <w:tblGrid>
        <w:gridCol w:w="7920"/>
      </w:tblGrid>
      <w:tr>
        <w:tc>
          <w:tcPr/>
          <w:bookmarkStart w:id="60" w:name="tbl-fairness"/>
          <w:p>
            <w:pPr>
              <w:jc w:val="center"/>
            </w:pPr>
            <w:pPr>
              <w:jc w:val="start"/>
              <w:spacing w:before="200"/>
              <w:pStyle w:val="ImageCaption"/>
            </w:pPr>
            <w:r>
              <w:t xml:space="preserve">Table 3: Median difference in auROC, 95% Bayesian credible interval (CI), and posterior probability that that the auROC difference was smaller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0.999</w:t>
                  </w:r>
                </w:p>
              </w:tc>
            </w:tr>
            <w:tr>
              <w:tc>
                <w:tcPr/>
                <w:p>
                  <w:pPr>
                    <w:pStyle w:val="Compact"/>
                    <w:jc w:val="left"/>
                    <w:jc w:val="center"/>
                  </w:pPr>
                  <w:r>
                    <w:t xml:space="preserve">below poverty line vs. above poverty line</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0.998</w:t>
                  </w:r>
                </w:p>
              </w:tc>
            </w:tr>
            <w:tr>
              <w:tc>
                <w:tcPr/>
                <w:p>
                  <w:pPr>
                    <w:pStyle w:val="Compact"/>
                    <w:jc w:val="left"/>
                    <w:jc w:val="center"/>
                  </w:pPr>
                  <w:r>
                    <w:t xml:space="preserve">below poverty line vs. above poverty line</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0.98</w:t>
                  </w:r>
                </w:p>
              </w:tc>
            </w:tr>
            <w:tr>
              <w:tc>
                <w:tcPr/>
                <w:p>
                  <w:pPr>
                    <w:pStyle w:val="Compact"/>
                    <w:jc w:val="left"/>
                    <w:jc w:val="center"/>
                  </w:pPr>
                  <w:r>
                    <w:t xml:space="preserve"> </w:t>
                  </w:r>
                  <w:r>
                    <w:t xml:space="preserve">Median auROC differences less than 0 indicate the model, on average, performed worse for the disadvantaged group (female, non-White and/or Hispanic, income below poverty line) compared to the advantaged group (male, non-Hispanic White, income above poverty line).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8"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of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66" w:name="fig-cal"/>
          <w:p>
            <w:pPr>
              <w:pStyle w:val="Compact"/>
              <w:jc w:val="center"/>
            </w:pPr>
            <w:r>
              <w:drawing>
                <wp:inline>
                  <wp:extent cx="5334000" cy="5334000"/>
                  <wp:effectExtent b="0" l="0" r="0" t="0"/>
                  <wp:docPr descr="" title="" id="64" name="Picture"/>
                  <a:graphic>
                    <a:graphicData uri="http://schemas.openxmlformats.org/drawingml/2006/picture">
                      <pic:pic>
                        <pic:nvPicPr>
                          <pic:cNvPr descr="index_files/figure-docx/notebooks-mak_figures-fig-cal-output-1.png" id="65"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probabilities are depicted as pink dashed curves. The grey histogram along the bottom of the plot represents the proportion of raw probabilities in each bin.</w:t>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Make All Figures for Main Manuscript</w:t>
        </w:r>
      </w:hyperlink>
    </w:p>
    <w:bookmarkEnd w:id="68"/>
    <w:bookmarkStart w:id="74"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2" w:name="fig-4"/>
          <w:p>
            <w:pPr>
              <w:pStyle w:val="Compact"/>
              <w:jc w:val="center"/>
            </w:pPr>
            <w:r>
              <w:drawing>
                <wp:inline>
                  <wp:extent cx="5334000" cy="3333749"/>
                  <wp:effectExtent b="0" l="0" r="0" t="0"/>
                  <wp:docPr descr="" title="" id="70" name="Picture"/>
                  <a:graphic>
                    <a:graphicData uri="http://schemas.openxmlformats.org/drawingml/2006/picture">
                      <pic:pic>
                        <pic:nvPicPr>
                          <pic:cNvPr descr="index_files/figure-docx/notebooks-mak_figures-fig-4-output-1.png" id="71" name="Picture"/>
                          <pic:cNvPicPr>
                            <a:picLocks noChangeArrowheads="1" noChangeAspect="1"/>
                          </pic:cNvPicPr>
                        </pic:nvPicPr>
                        <pic:blipFill>
                          <a:blip r:embed="rId6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2"/>
        </w:tc>
      </w:tr>
    </w:tbl>
    <w:p>
      <w:pPr>
        <w:pStyle w:val="BodyText"/>
      </w:pPr>
      <w:r>
        <w:rPr>
          <w:vertAlign w:val="subscript"/>
        </w:rPr>
        <w:t xml:space="preserve">Source:</w:t>
      </w:r>
      <w:r>
        <w:rPr>
          <w:vertAlign w:val="subscript"/>
        </w:rPr>
        <w:t xml:space="preserve"> </w:t>
      </w:r>
      <w:hyperlink r:id="rId73">
        <w:r>
          <w:rPr>
            <w:rStyle w:val="Hyperlink"/>
            <w:vertAlign w:val="subscript"/>
          </w:rPr>
          <w:t xml:space="preserve">Make All Figures for Main Manuscript</w:t>
        </w:r>
      </w:hyperlink>
    </w:p>
    <w:bookmarkEnd w:id="74"/>
    <w:bookmarkEnd w:id="75"/>
    <w:bookmarkStart w:id="84" w:name="discussion"/>
    <w:p>
      <w:pPr>
        <w:pStyle w:val="Heading1"/>
      </w:pPr>
      <w:r>
        <w:t xml:space="preserve">Discussion</w:t>
      </w:r>
    </w:p>
    <w:bookmarkStart w:id="76" w:name="model-evaluation-and-comparisons"/>
    <w:p>
      <w:pPr>
        <w:pStyle w:val="Heading2"/>
      </w:pPr>
      <w:r>
        <w:t xml:space="preserve">Model Evaluation and Comparisons</w:t>
      </w:r>
    </w:p>
    <w:p>
      <w:pPr>
        <w:pStyle w:val="FirstParagraph"/>
      </w:pPr>
      <w:r>
        <w:t xml:space="preserve">All the models that we evaluated performed exceptionally well. The no lag model, which predicts the probability of an immediate (i.e., within 24 hours) lapse back to alcohol use, had a .91 median posterior probability for auROC.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be noted that both the no lag and 2-week lagged models can be combined in a complementary fashion that allows both for highly accurate immediate lapse prediction and advanced warning about future lapse risk.</w:t>
      </w:r>
    </w:p>
    <w:bookmarkEnd w:id="76"/>
    <w:bookmarkStart w:id="77"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[41]</w:t>
      </w:r>
      <w:r>
        <w:t xml:space="preserve">. In this study, we assessed model fairness by comparing model performance across important subgroups with known disparities in substance use treatment access and/or outcomes - race/ethnicity (non-White and/or Hispanic vs. non-Hispanic White), income (below poverty line vs. above poverty line), and sex at birth (female vs. male).</w:t>
      </w:r>
    </w:p>
    <w:p>
      <w:pPr>
        <w:pStyle w:val="BodyText"/>
      </w:pPr>
      <w:r>
        <w:t xml:space="preserve">All models performed worse for people who were non-White and/or Hispanic, and for people who had an income below the poverty line. These findings should be interpreted cautiously given the lack of diversity in our training data. Participants of color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 Nevertheless, these findings are concerning and the fact that we do not have adequate sample sizes for these comparisons highlight a large limitation of our study.</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[25]</w:t>
      </w:r>
      <w:r>
        <w:t xml:space="preserve">. In a separate project, we developed a national recruitment method that enabled us to recruit for racial, ethnic and income diversity while also focusing on much needed diversity across geographic location (e.g., rural vs. urban;</w:t>
      </w:r>
      <w:r>
        <w:t xml:space="preserve"> </w:t>
      </w:r>
      <w:r>
        <w:t xml:space="preserve">[20]</w:t>
      </w:r>
      <w:r>
        <w:t xml:space="preserve">). We expect geographic diversity in the training data may also be crucial to develop fair models because the features that predict lapse in urban and suburban settings may differ from those that predict lapse in rural environments. If rural participants are not used to train models, the implementation of these models may compound existing disparities in SUD treatment in these communities</w:t>
      </w:r>
      <w:r>
        <w:t xml:space="preserve"> </w:t>
      </w:r>
      <w:r>
        <w:t xml:space="preserve">[42,43]</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[44–47]</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[48]</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[49]</w:t>
      </w:r>
      <w:r>
        <w:t xml:space="preserve"> </w:t>
      </w:r>
      <w:r>
        <w:t xml:space="preserve">that mandated the inclusion of minorities and women in research, women were mostly excluded from substance use treatment research due to their childbearing potential</w:t>
      </w:r>
      <w:r>
        <w:t xml:space="preserve"> </w:t>
      </w:r>
      <w:r>
        <w:t xml:space="preserve">[50]</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[51]</w:t>
      </w:r>
      <w:r>
        <w:t xml:space="preserve">, hormonal changes</w:t>
      </w:r>
      <w:r>
        <w:t xml:space="preserve"> </w:t>
      </w:r>
      <w:r>
        <w:t xml:space="preserve">[52]</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[53–55]</w:t>
      </w:r>
      <w:r>
        <w:t xml:space="preserve">) to text messages and other social media activity by our participants to engineer features that may predict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[56]</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[57]</w:t>
      </w:r>
      <w:r>
        <w:t xml:space="preserve">) may feel less trusting in disclosing substance use</w:t>
      </w:r>
      <w:r>
        <w:t xml:space="preserve"> </w:t>
      </w:r>
      <w:r>
        <w:t xml:space="preserve">[58]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77"/>
    <w:bookmarkStart w:id="80" w:name="model-characterization-1"/>
    <w:p>
      <w:pPr>
        <w:pStyle w:val="Heading2"/>
      </w:pPr>
      <w:r>
        <w:t xml:space="preserve">Model Characterization</w:t>
      </w:r>
    </w:p>
    <w:bookmarkStart w:id="78"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lapse event rates. Well-calibrated probabilities indicate that the predicted probability aligns closely with the true likelihood of an outcome (i.e., a lapse). Our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necessarily be problematic. Research suggests that people often struggle to interpret probabilistic feedback, especially when it’s provided in raw numerical form</w:t>
      </w:r>
      <w:r>
        <w:t xml:space="preserve"> </w:t>
      </w:r>
      <w:r>
        <w:t xml:space="preserve">[59–61]</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78"/>
    <w:bookmarkStart w:id="79"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[9]</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[11]</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on lapses back to use may be delayed. It may be that persistent exposure to risks is necessary to undermine an abstinence goal and lead to return to alcohol use. Alternatively or additionally, people may also be better able to anticipate future risky situations (e.g., vacations, anniversaries of significant dates) than future acute stressors or even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[9,10,62]</w:t>
      </w:r>
      <w:r>
        <w:t xml:space="preserve"> </w:t>
      </w:r>
      <w:r>
        <w:t xml:space="preserve">and represent targets for intervention in many existing treatments</w:t>
      </w:r>
      <w:r>
        <w:t xml:space="preserve"> </w:t>
      </w:r>
      <w:r>
        <w:t xml:space="preserve">[18,63–65]</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[56]</w:t>
      </w:r>
      <w:r>
        <w:t xml:space="preserve">. Alternatively, we may need to more carefully consider the nuanced roles that these constructs play (e.g., within the context of individual coping strategies, social support or environmental factors) in the return to alcohol use during recovery</w:t>
      </w:r>
      <w:r>
        <w:t xml:space="preserve"> </w:t>
      </w:r>
      <w:r>
        <w:t xml:space="preserve">[66]</w:t>
      </w:r>
      <w:r>
        <w:t xml:space="preserve">.</w:t>
      </w:r>
    </w:p>
    <w:bookmarkEnd w:id="79"/>
    <w:bookmarkEnd w:id="80"/>
    <w:bookmarkStart w:id="81"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an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The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an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[25]</w:t>
      </w:r>
      <w:r>
        <w:t xml:space="preserve">.</w:t>
      </w:r>
    </w:p>
    <w:p>
      <w:pPr>
        <w:pStyle w:val="BodyText"/>
      </w:pPr>
      <w:r>
        <w:t xml:space="preserve">For a system using lagged models, we can imagine that lags longer than two weeks (i.e., more advanced warning) would be better still. In the present study, we could not train models with lags longer than two weeks because participants only provided lapse reports for up to three months. With the 2-week lagged model, we had approximately 17% fewer labeled observations for training because the first two weeks (out of 12 weeks) of labels for each participant were discarded. This data loss may be one factor that contributed to the decreases in model performance with increases in lag time and we believed that greater data loss (e.g., 25% for a 3-week lag) would not be tenable. We have recently completed data collection on a NIDA funded project where participants provided EMA and other sensed data for up to 12 months</w:t>
      </w:r>
      <w:r>
        <w:t xml:space="preserve"> </w:t>
      </w:r>
      <w:r>
        <w:t xml:space="preserve">[20]</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While the number of observations are large and support the complexity of a machine learning pipeline, we are limited by the number of participants. Successful machine learning models must generalize well to new data. Our analyses only speak to how well our models generalize to a mostly homogenous sample of 151 participants. We made the most efficient use of our sample (i.e., using nested cross-validation to maximize the amount of data used for both selection and evaluation); however, there is reason to worry about the generalizability to other populations, such as individuals living in rural locations and members of other diverse groups not adequately represented in our training data.</w:t>
      </w:r>
    </w:p>
    <w:p>
      <w:pPr>
        <w:pStyle w:val="BodyText"/>
      </w:pPr>
      <w:r>
        <w:t xml:space="preserve">Additionally, 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[19,see also 67]</w:t>
      </w:r>
      <w:r>
        <w:t xml:space="preserve">. However, frequent daily surveys may become too burdensome within an RMSS intended for use over many, many months to years for long-term continuing care. We have begun to address this concern by training no lag models with fewer EMAs (1x daily) and have found comparable performance</w:t>
      </w:r>
      <w:r>
        <w:t xml:space="preserve"> </w:t>
      </w:r>
      <w:r>
        <w:t xml:space="preserve">[48]</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w:t>
      </w:r>
      <w:r>
        <w:t xml:space="preserve"> </w:t>
      </w:r>
      <w:r>
        <w:t xml:space="preserve">[68]</w:t>
      </w:r>
      <w:r>
        <w:t xml:space="preserve">.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(e.g., census data, alcohol outlet density)</w:t>
      </w:r>
      <w:r>
        <w:t xml:space="preserve"> </w:t>
      </w:r>
      <w:r>
        <w:t xml:space="preserve">[69,70]</w:t>
      </w:r>
      <w:r>
        <w:t xml:space="preserve"> </w:t>
      </w:r>
      <w:r>
        <w:t xml:space="preserve">or collected from the user directly (e.g., self-evaluated riskiness of a given location)</w:t>
      </w:r>
      <w:r>
        <w:t xml:space="preserve"> </w:t>
      </w:r>
      <w:r>
        <w:t xml:space="preserve">[20]</w:t>
      </w:r>
      <w:r>
        <w:t xml:space="preserve">.</w:t>
      </w:r>
    </w:p>
    <w:bookmarkEnd w:id="81"/>
    <w:bookmarkStart w:id="82"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enable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Perhaps most important, model fairness must be improved by decreasing disparities in performance for less privileged groups. We remain optimistic about the potential to implement these models within a smart RMSS because these barriers, while challenging, are surmountable.</w:t>
      </w:r>
    </w:p>
    <w:bookmarkEnd w:id="82"/>
    <w:bookmarkStart w:id="83" w:name="acknowledgments"/>
    <w:p>
      <w:pPr>
        <w:pStyle w:val="Heading2"/>
      </w:pPr>
      <w:r>
        <w:t xml:space="preserve">Acknowledgments</w:t>
      </w:r>
    </w:p>
    <w:p>
      <w:pPr>
        <w:pStyle w:val="FirstParagraph"/>
      </w:pPr>
      <w:r>
        <w:t xml:space="preserve">This research was supported by grants from the National Institute on Alcohol Abuse and Alcoholism (NIAAA; R01 AA024391 to John J. Curtin) and the National Institute on Drug Abuse (NIDA; R01 DA047315 to John J. Curtin). The authors wish to thank Susan E. Wanta for her role as the project administrator.</w:t>
      </w:r>
    </w:p>
    <w:bookmarkEnd w:id="83"/>
    <w:bookmarkEnd w:id="84"/>
    <w:bookmarkStart w:id="204" w:name="references"/>
    <w:p>
      <w:pPr>
        <w:pStyle w:val="Heading1"/>
      </w:pPr>
      <w:r>
        <w:t xml:space="preserve">References</w:t>
      </w:r>
    </w:p>
    <w:bookmarkStart w:id="203" w:name="refs"/>
    <w:bookmarkStart w:id="86" w:name="ref-mclellanDrugDependenceChronic2000"/>
    <w:p>
      <w:pPr>
        <w:pStyle w:val="Bibliography"/>
      </w:pPr>
      <w:r>
        <w:t xml:space="preserve">1.</w:t>
      </w:r>
      <w:r>
        <w:t xml:space="preserve"> </w:t>
      </w:r>
      <w:r>
        <w:t xml:space="preserve">	</w:t>
      </w:r>
      <w:r>
        <w:t xml:space="preserve">McLellan AT, Lewis DC, O’Brien CP, Kleber HD. Drug dependence, a chronic medical illness: Implications for treatment, insurance, and outcomes evaluation. JAMA. 2000;284: 1689–1695. doi:</w:t>
      </w:r>
      <w:hyperlink r:id="rId85">
        <w:r>
          <w:rPr>
            <w:rStyle w:val="Hyperlink"/>
          </w:rPr>
          <w:t xml:space="preserve">10.1001/jama.284.13.1689</w:t>
        </w:r>
      </w:hyperlink>
    </w:p>
    <w:bookmarkEnd w:id="86"/>
    <w:bookmarkStart w:id="88" w:name="ref-dennisManagingAddictionChronic2007"/>
    <w:p>
      <w:pPr>
        <w:pStyle w:val="Bibliography"/>
      </w:pPr>
      <w:r>
        <w:t xml:space="preserve">2.</w:t>
      </w:r>
      <w:r>
        <w:t xml:space="preserve"> </w:t>
      </w:r>
      <w:r>
        <w:t xml:space="preserve">	</w:t>
      </w:r>
      <w:r>
        <w:t xml:space="preserve">Dennis M, Scott CK.</w:t>
      </w:r>
      <w:r>
        <w:t xml:space="preserve"> </w:t>
      </w:r>
      <w:hyperlink r:id="rId87">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 Addiction Science &amp; Clinical Practice. 2007;4: 45–55.</w:t>
      </w:r>
      <w:r>
        <w:t xml:space="preserve"> </w:t>
      </w:r>
    </w:p>
    <w:bookmarkEnd w:id="88"/>
    <w:bookmarkStart w:id="89" w:name="X49615488ccbe1cc080620555246c804ab34d103"/>
    <w:p>
      <w:pPr>
        <w:pStyle w:val="Bibliography"/>
      </w:pPr>
      <w:r>
        <w:t xml:space="preserve">3.</w:t>
      </w:r>
      <w:r>
        <w:t xml:space="preserve"> </w:t>
      </w:r>
      <w:r>
        <w:t xml:space="preserve">	</w:t>
      </w:r>
      <w:r>
        <w:t xml:space="preserve">Substance Abuse and Mental Health Services Administration. 2023</w:t>
      </w:r>
      <w:r>
        <w:t xml:space="preserve"> </w:t>
      </w:r>
      <w:r>
        <w:t xml:space="preserve">NSDUH Detailed Tables</w:t>
      </w:r>
      <w:r>
        <w:t xml:space="preserve"> </w:t>
      </w:r>
      <w:r>
        <w:t xml:space="preserve"> </w:t>
      </w:r>
      <w:r>
        <w:t xml:space="preserve">CBHSQ Data</w:t>
      </w:r>
      <w:r>
        <w:t xml:space="preserve">. https://www.samhsa.gov/data/report/2023-nsduh-detailed-tables;</w:t>
      </w:r>
      <w:r>
        <w:t xml:space="preserve"> </w:t>
      </w:r>
    </w:p>
    <w:bookmarkEnd w:id="89"/>
    <w:bookmarkStart w:id="90" w:name="ref-hedegaardDrugOverdoseDeaths2021"/>
    <w:p>
      <w:pPr>
        <w:pStyle w:val="Bibliography"/>
      </w:pPr>
      <w:r>
        <w:t xml:space="preserve">4.</w:t>
      </w:r>
      <w:r>
        <w:t xml:space="preserve"> </w:t>
      </w:r>
      <w:r>
        <w:t xml:space="preserve">	</w:t>
      </w:r>
      <w:r>
        <w:t xml:space="preserve">Hedegaard H, Miniño AM, Spencer MR, Warner M. Drug overdose deaths in the</w:t>
      </w:r>
      <w:r>
        <w:t xml:space="preserve"> </w:t>
      </w:r>
      <w:r>
        <w:t xml:space="preserve">United States</w:t>
      </w:r>
      <w:r>
        <w:t xml:space="preserve">, 1999–2020. 2021.</w:t>
      </w:r>
      <w:r>
        <w:t xml:space="preserve"> </w:t>
      </w:r>
    </w:p>
    <w:bookmarkEnd w:id="90"/>
    <w:bookmarkStart w:id="91" w:name="X21d9bc577093464d5d051ef6477b67710b39313"/>
    <w:p>
      <w:pPr>
        <w:pStyle w:val="Bibliography"/>
      </w:pPr>
      <w:r>
        <w:t xml:space="preserve">5.</w:t>
      </w:r>
      <w:r>
        <w:t xml:space="preserve"> </w:t>
      </w:r>
      <w:r>
        <w:t xml:space="preserve">	</w:t>
      </w:r>
      <w:r>
        <w:t xml:space="preserve">Centers for Disease Control and Prevention (CDC). 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 2022 Alcohol Related Disease Impact (ARDI) Application Website. https://nccd.cdc.gov/DPH_ARDI/Default/Default.aspx;</w:t>
      </w:r>
      <w:r>
        <w:t xml:space="preserve"> </w:t>
      </w:r>
    </w:p>
    <w:bookmarkEnd w:id="91"/>
    <w:bookmarkStart w:id="93" w:name="ref-wagnerImprovingChronicIllness2001"/>
    <w:p>
      <w:pPr>
        <w:pStyle w:val="Bibliography"/>
      </w:pPr>
      <w:r>
        <w:t xml:space="preserve">6.</w:t>
      </w:r>
      <w:r>
        <w:t xml:space="preserve"> </w:t>
      </w:r>
      <w:r>
        <w:t xml:space="preserve">	</w:t>
      </w:r>
      <w:r>
        <w:t xml:space="preserve">Wagner EH, Austin BT, Davis C, Hindmarsh M, Schaefer J, Bonomi A. Improving</w:t>
      </w:r>
      <w:r>
        <w:t xml:space="preserve"> </w:t>
      </w:r>
      <w:r>
        <w:t xml:space="preserve">Chronic Illness Care</w:t>
      </w:r>
      <w:r>
        <w:t xml:space="preserve">:</w:t>
      </w:r>
      <w:r>
        <w:t xml:space="preserve"> </w:t>
      </w:r>
      <w:r>
        <w:t xml:space="preserve">Translating Evidence Into Action</w:t>
      </w:r>
      <w:r>
        <w:t xml:space="preserve">. Health Affairs. 2001;20: 64–78. doi:</w:t>
      </w:r>
      <w:hyperlink r:id="rId92">
        <w:r>
          <w:rPr>
            <w:rStyle w:val="Hyperlink"/>
          </w:rPr>
          <w:t xml:space="preserve">10.1377/hlthaff.20.6.64</w:t>
        </w:r>
      </w:hyperlink>
    </w:p>
    <w:bookmarkEnd w:id="93"/>
    <w:bookmarkStart w:id="95" w:name="X01387e434119cf09c116d0feeabab9f278d40e3"/>
    <w:p>
      <w:pPr>
        <w:pStyle w:val="Bibliography"/>
      </w:pPr>
      <w:r>
        <w:t xml:space="preserve">7.</w:t>
      </w:r>
      <w:r>
        <w:t xml:space="preserve"> </w:t>
      </w:r>
      <w:r>
        <w:t xml:space="preserve">	</w:t>
      </w:r>
      <w:r>
        <w:t xml:space="preserve">Stanojlović M, Davidson L. 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 Substance Abuse: Research and Treatment. 2021;15: 1178221820976988. doi:</w:t>
      </w:r>
      <w:hyperlink r:id="rId94">
        <w:r>
          <w:rPr>
            <w:rStyle w:val="Hyperlink"/>
          </w:rPr>
          <w:t xml:space="preserve">10.1177/1178221820976988</w:t>
        </w:r>
      </w:hyperlink>
    </w:p>
    <w:bookmarkEnd w:id="95"/>
    <w:bookmarkStart w:id="97" w:name="ref-sociasAdoptingCascadeCare2016"/>
    <w:p>
      <w:pPr>
        <w:pStyle w:val="Bibliography"/>
      </w:pPr>
      <w:r>
        <w:t xml:space="preserve">8.</w:t>
      </w:r>
      <w:r>
        <w:t xml:space="preserve"> </w:t>
      </w:r>
      <w:r>
        <w:t xml:space="preserve">	</w:t>
      </w:r>
      <w:r>
        <w:t xml:space="preserve">Socías ME, Volkow N, Wood E. Adopting the</w:t>
      </w:r>
      <w:r>
        <w:t xml:space="preserve"> </w:t>
      </w:r>
      <w:r>
        <w:t xml:space="preserve">“cascade of care”</w:t>
      </w:r>
      <w:r>
        <w:t xml:space="preserve"> </w:t>
      </w:r>
      <w:r>
        <w:t xml:space="preserve">framework: An opportunity to close the implementation gap in addiction care? Addiction. 2016;111: 2079–2081. doi:</w:t>
      </w:r>
      <w:hyperlink r:id="rId96">
        <w:r>
          <w:rPr>
            <w:rStyle w:val="Hyperlink"/>
          </w:rPr>
          <w:t xml:space="preserve">10.1111/add.13479</w:t>
        </w:r>
      </w:hyperlink>
    </w:p>
    <w:bookmarkEnd w:id="97"/>
    <w:bookmarkStart w:id="98" w:name="X0900e084d2d8751b94683f82b04534ea811d54e"/>
    <w:p>
      <w:pPr>
        <w:pStyle w:val="Bibliography"/>
      </w:pPr>
      <w:r>
        <w:t xml:space="preserve">9.</w:t>
      </w:r>
      <w:r>
        <w:t xml:space="preserve"> </w:t>
      </w:r>
      <w:r>
        <w:t xml:space="preserve">	</w:t>
      </w:r>
      <w:r>
        <w:t xml:space="preserve">Marlatt GA, Gordon JR, editors. Relapse</w:t>
      </w:r>
      <w:r>
        <w:t xml:space="preserve"> </w:t>
      </w:r>
      <w:r>
        <w:t xml:space="preserve">Prevention</w:t>
      </w:r>
      <w:r>
        <w:t xml:space="preserve">:</w:t>
      </w:r>
      <w:r>
        <w:t xml:space="preserve"> </w:t>
      </w:r>
      <w:r>
        <w:t xml:space="preserve">Maintenance Strategies</w:t>
      </w:r>
      <w:r>
        <w:t xml:space="preserve"> </w:t>
      </w:r>
      <w:r>
        <w:t xml:space="preserve">in the</w:t>
      </w:r>
      <w:r>
        <w:t xml:space="preserve"> </w:t>
      </w:r>
      <w:r>
        <w:t xml:space="preserve">Treatment</w:t>
      </w:r>
      <w:r>
        <w:t xml:space="preserve"> </w:t>
      </w:r>
      <w:r>
        <w:t xml:space="preserve">of</w:t>
      </w:r>
      <w:r>
        <w:t xml:space="preserve"> </w:t>
      </w:r>
      <w:r>
        <w:t xml:space="preserve">Addictive Behaviors</w:t>
      </w:r>
      <w:r>
        <w:t xml:space="preserve">. First edition. New York: The Guilford Press; 1985.</w:t>
      </w:r>
      <w:r>
        <w:t xml:space="preserve"> </w:t>
      </w:r>
    </w:p>
    <w:bookmarkEnd w:id="98"/>
    <w:bookmarkStart w:id="100" w:name="X4446e184b7dd55a61fd406499f32542fdcf24b5"/>
    <w:p>
      <w:pPr>
        <w:pStyle w:val="Bibliography"/>
      </w:pPr>
      <w:r>
        <w:t xml:space="preserve">10.</w:t>
      </w:r>
      <w:r>
        <w:t xml:space="preserve"> </w:t>
      </w:r>
      <w:r>
        <w:t xml:space="preserve">	</w:t>
      </w:r>
      <w:r>
        <w:t xml:space="preserve">Witkiewitz K, Marlatt GA. Relapse prevention for alcohol and drug problems:</w:t>
      </w:r>
      <w:r>
        <w:t xml:space="preserve"> </w:t>
      </w:r>
      <w:r>
        <w:t xml:space="preserve">That</w:t>
      </w:r>
      <w:r>
        <w:t xml:space="preserve"> </w:t>
      </w:r>
      <w:r>
        <w:t xml:space="preserve">was zen, this is tao. American Psychologist. 2004;59: 224–235. doi:</w:t>
      </w:r>
      <w:hyperlink r:id="rId99">
        <w:r>
          <w:rPr>
            <w:rStyle w:val="Hyperlink"/>
          </w:rPr>
          <w:t xml:space="preserve">10.1037/0003-066X.59.4.224</w:t>
        </w:r>
      </w:hyperlink>
    </w:p>
    <w:bookmarkEnd w:id="100"/>
    <w:bookmarkStart w:id="102" w:name="X254a0f87701f835b5365990b3eba45be7dca59c"/>
    <w:p>
      <w:pPr>
        <w:pStyle w:val="Bibliography"/>
      </w:pPr>
      <w:r>
        <w:t xml:space="preserve">11.</w:t>
      </w:r>
      <w:r>
        <w:t xml:space="preserve"> </w:t>
      </w:r>
      <w:r>
        <w:t xml:space="preserve">	</w:t>
      </w:r>
      <w:r>
        <w:t xml:space="preserve">Witkiewitz K, Marlatt GA. Modeling the complexity of post-treatment drinking:</w:t>
      </w:r>
      <w:r>
        <w:t xml:space="preserve"> </w:t>
      </w:r>
      <w:r>
        <w:t xml:space="preserve">It</w:t>
      </w:r>
      <w:r>
        <w:t xml:space="preserve">’s a rocky road to relapse. Clinical Psychology Review. 2007;27: 724–738. doi:</w:t>
      </w:r>
      <w:hyperlink r:id="rId101">
        <w:r>
          <w:rPr>
            <w:rStyle w:val="Hyperlink"/>
          </w:rPr>
          <w:t xml:space="preserve">10.1016/j.cpr.2007.01.002</w:t>
        </w:r>
      </w:hyperlink>
    </w:p>
    <w:bookmarkEnd w:id="102"/>
    <w:bookmarkStart w:id="104" w:name="ref-brandonRelapseRelapsePrevention2007"/>
    <w:p>
      <w:pPr>
        <w:pStyle w:val="Bibliography"/>
      </w:pPr>
      <w:r>
        <w:t xml:space="preserve">12.</w:t>
      </w:r>
      <w:r>
        <w:t xml:space="preserve"> </w:t>
      </w:r>
      <w:r>
        <w:t xml:space="preserve">	</w:t>
      </w:r>
      <w:r>
        <w:t xml:space="preserve">Brandon TH, Vidrine JI, Litvin EB. Relapse and relapse prevention. Annual Review of Clinical Psychology. 2007;3: 257–284. doi:</w:t>
      </w:r>
      <w:hyperlink r:id="rId103">
        <w:r>
          <w:rPr>
            <w:rStyle w:val="Hyperlink"/>
          </w:rPr>
          <w:t xml:space="preserve">10.1146/annurev.clinpsy.3.022806.091455</w:t>
        </w:r>
      </w:hyperlink>
    </w:p>
    <w:bookmarkEnd w:id="104"/>
    <w:bookmarkStart w:id="106" w:name="ref-bickmanAchievingPrecisionMental2016"/>
    <w:p>
      <w:pPr>
        <w:pStyle w:val="Bibliography"/>
      </w:pPr>
      <w:r>
        <w:t xml:space="preserve">13.</w:t>
      </w:r>
      <w:r>
        <w:t xml:space="preserve"> </w:t>
      </w:r>
      <w:r>
        <w:t xml:space="preserve">	</w:t>
      </w:r>
      <w:r>
        <w:t xml:space="preserve">Bickman L, Lyon AR, Wolpert M. 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 Administration and Policy in Mental Health and Mental Health Services Research. 2016;43: 271–276. doi:</w:t>
      </w:r>
      <w:hyperlink r:id="rId105">
        <w:r>
          <w:rPr>
            <w:rStyle w:val="Hyperlink"/>
          </w:rPr>
          <w:t xml:space="preserve">10.1007/s10488-016-0718-5</w:t>
        </w:r>
      </w:hyperlink>
    </w:p>
    <w:bookmarkEnd w:id="106"/>
    <w:bookmarkStart w:id="108" w:name="ref-derubeisHistoryCurrentStatus2019"/>
    <w:p>
      <w:pPr>
        <w:pStyle w:val="Bibliography"/>
      </w:pPr>
      <w:r>
        <w:t xml:space="preserve">14.</w:t>
      </w:r>
      <w:r>
        <w:t xml:space="preserve"> </w:t>
      </w:r>
      <w:r>
        <w:t xml:space="preserve">	</w:t>
      </w:r>
      <w:r>
        <w:t xml:space="preserve">DeRubeis RJ. The history, current status, and possible future of precision mental health. Behaviour Research and Therapy. 2019;123: 103506. doi:</w:t>
      </w:r>
      <w:hyperlink r:id="rId107">
        <w:r>
          <w:rPr>
            <w:rStyle w:val="Hyperlink"/>
          </w:rPr>
          <w:t xml:space="preserve">10.1016/j.brat.2019.103506</w:t>
        </w:r>
      </w:hyperlink>
    </w:p>
    <w:bookmarkEnd w:id="108"/>
    <w:bookmarkStart w:id="110" w:name="X79dffb24bc183d6bf6fe142dbf048fe8e5a5dd0"/>
    <w:p>
      <w:pPr>
        <w:pStyle w:val="Bibliography"/>
      </w:pPr>
      <w:r>
        <w:t xml:space="preserve">15.</w:t>
      </w:r>
      <w:r>
        <w:t xml:space="preserve"> </w:t>
      </w:r>
      <w:r>
        <w:t xml:space="preserve">	</w:t>
      </w:r>
      <w:r>
        <w:t xml:space="preserve">Kranzler HR, McKay JR. Personalized</w:t>
      </w:r>
      <w:r>
        <w:t xml:space="preserve"> </w:t>
      </w:r>
      <w:r>
        <w:t xml:space="preserve">Treatment</w:t>
      </w:r>
      <w:r>
        <w:t xml:space="preserve"> </w:t>
      </w:r>
      <w:r>
        <w:t xml:space="preserve">of</w:t>
      </w:r>
      <w:r>
        <w:t xml:space="preserve"> </w:t>
      </w:r>
      <w:r>
        <w:t xml:space="preserve">Alcohol Dependence</w:t>
      </w:r>
      <w:r>
        <w:t xml:space="preserve">. Current Psychiatry Reports. 2012;14: 486–493. doi:</w:t>
      </w:r>
      <w:hyperlink r:id="rId109">
        <w:r>
          <w:rPr>
            <w:rStyle w:val="Hyperlink"/>
          </w:rPr>
          <w:t xml:space="preserve">10.1007/s11920-012-0296-5</w:t>
        </w:r>
      </w:hyperlink>
    </w:p>
    <w:bookmarkEnd w:id="110"/>
    <w:bookmarkStart w:id="112" w:name="ref-mohrPersonalSensingUnderstanding2017"/>
    <w:p>
      <w:pPr>
        <w:pStyle w:val="Bibliography"/>
      </w:pPr>
      <w:r>
        <w:t xml:space="preserve">16.</w:t>
      </w:r>
      <w:r>
        <w:t xml:space="preserve"> </w:t>
      </w:r>
      <w:r>
        <w:t xml:space="preserve">	</w:t>
      </w:r>
      <w:r>
        <w:t xml:space="preserve">Mohr DC, Zhang M, Schueller SM.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 Annual Review of Clinical Psychology. 2017;13: 23–47. doi:</w:t>
      </w:r>
      <w:hyperlink r:id="rId111">
        <w:r>
          <w:rPr>
            <w:rStyle w:val="Hyperlink"/>
          </w:rPr>
          <w:t xml:space="preserve">10.1146/annurev-clinpsy-032816-044949</w:t>
        </w:r>
      </w:hyperlink>
    </w:p>
    <w:bookmarkEnd w:id="112"/>
    <w:bookmarkStart w:id="113" w:name="X76c131a5b0a374a6ad1e33cf8e2c0563392269f"/>
    <w:p>
      <w:pPr>
        <w:pStyle w:val="Bibliography"/>
      </w:pPr>
      <w:r>
        <w:t xml:space="preserve">17.</w:t>
      </w:r>
      <w:r>
        <w:t xml:space="preserve"> </w:t>
      </w:r>
      <w:r>
        <w:t xml:space="preserve">	</w:t>
      </w:r>
      <w:r>
        <w:t xml:space="preserve">Hastie T, Tibshirani R, Friedman JH. The elements of statistical learning: Data mining, inference, and prediction. 2nd ed. New York, NY: Springer; 2009.</w:t>
      </w:r>
      <w:r>
        <w:t xml:space="preserve"> </w:t>
      </w:r>
    </w:p>
    <w:bookmarkEnd w:id="113"/>
    <w:bookmarkStart w:id="114" w:name="X6c5adf42984d4dcd96717e3e06f47f768bdce11"/>
    <w:p>
      <w:pPr>
        <w:pStyle w:val="Bibliography"/>
      </w:pPr>
      <w:r>
        <w:t xml:space="preserve">18.</w:t>
      </w:r>
      <w:r>
        <w:t xml:space="preserve"> </w:t>
      </w:r>
      <w:r>
        <w:t xml:space="preserve">	</w:t>
      </w:r>
      <w:r>
        <w:t xml:space="preserve">Bowen S, Chawla N, Grow J, Marlatt GA. Mindfulness-</w:t>
      </w:r>
      <w:r>
        <w:t xml:space="preserve">Based Relapse Prevention</w:t>
      </w:r>
      <w:r>
        <w:t xml:space="preserve"> </w:t>
      </w:r>
      <w:r>
        <w:t xml:space="preserve">for</w:t>
      </w:r>
      <w:r>
        <w:t xml:space="preserve"> </w:t>
      </w:r>
      <w:r>
        <w:t xml:space="preserve">Addictive Behaviors</w:t>
      </w:r>
      <w:r>
        <w:t xml:space="preserve">:</w:t>
      </w:r>
      <w:r>
        <w:t xml:space="preserve"> </w:t>
      </w:r>
      <w:r>
        <w:t xml:space="preserve">A Clinician</w:t>
      </w:r>
      <w:r>
        <w:t xml:space="preserve">’s</w:t>
      </w:r>
      <w:r>
        <w:t xml:space="preserve"> </w:t>
      </w:r>
      <w:r>
        <w:t xml:space="preserve">Guide</w:t>
      </w:r>
      <w:r>
        <w:t xml:space="preserve">. Second edition. New York: The Guilford Press; 2021.</w:t>
      </w:r>
      <w:r>
        <w:t xml:space="preserve"> </w:t>
      </w:r>
    </w:p>
    <w:bookmarkEnd w:id="114"/>
    <w:bookmarkStart w:id="116" w:name="Xb35ee182d565575e339a0170868456c1684f821"/>
    <w:p>
      <w:pPr>
        <w:pStyle w:val="Bibliography"/>
      </w:pPr>
      <w:r>
        <w:t xml:space="preserve">19.</w:t>
      </w:r>
      <w:r>
        <w:t xml:space="preserve"> </w:t>
      </w:r>
      <w:r>
        <w:t xml:space="preserve">	</w:t>
      </w:r>
      <w:r>
        <w:t xml:space="preserve">Wyant K, Moshontz H, Ward SB, Fronk GE, Curtin JJ. Acceptability of</w:t>
      </w:r>
      <w:r>
        <w:t xml:space="preserve"> </w:t>
      </w:r>
      <w:r>
        <w:t xml:space="preserve">Personal Sensing Among People With Alcohol Use Disorder</w:t>
      </w:r>
      <w:r>
        <w:t xml:space="preserve">:</w:t>
      </w:r>
      <w:r>
        <w:t xml:space="preserve"> </w:t>
      </w:r>
      <w:r>
        <w:t xml:space="preserve">Observational Study</w:t>
      </w:r>
      <w:r>
        <w:t xml:space="preserve">. JMIR mHealth and uHealth. 2023;11: e41833. doi:</w:t>
      </w:r>
      <w:hyperlink r:id="rId115">
        <w:r>
          <w:rPr>
            <w:rStyle w:val="Hyperlink"/>
          </w:rPr>
          <w:t xml:space="preserve">10.2196/41833</w:t>
        </w:r>
      </w:hyperlink>
    </w:p>
    <w:bookmarkEnd w:id="116"/>
    <w:bookmarkStart w:id="118" w:name="X1f44e09282148d362bdacfce67d6a56b1cf06db"/>
    <w:p>
      <w:pPr>
        <w:pStyle w:val="Bibliography"/>
      </w:pPr>
      <w:r>
        <w:t xml:space="preserve">20.</w:t>
      </w:r>
      <w:r>
        <w:t xml:space="preserve"> </w:t>
      </w:r>
      <w:r>
        <w:t xml:space="preserve">	</w:t>
      </w:r>
      <w:r>
        <w:t xml:space="preserve">Moshontz H, Colmenares AJ, Fronk GE, Sant’Ana SJ, Wyant K, Wanta SE, et al. 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 JMIR Research Protocols. 2021;10: e29563. doi:</w:t>
      </w:r>
      <w:hyperlink r:id="rId117">
        <w:r>
          <w:rPr>
            <w:rStyle w:val="Hyperlink"/>
          </w:rPr>
          <w:t xml:space="preserve">10.2196/29563</w:t>
        </w:r>
      </w:hyperlink>
    </w:p>
    <w:bookmarkEnd w:id="118"/>
    <w:bookmarkStart w:id="120" w:name="ref-wyantMachineLearningModels2024"/>
    <w:p>
      <w:pPr>
        <w:pStyle w:val="Bibliography"/>
      </w:pPr>
      <w:r>
        <w:t xml:space="preserve">21.</w:t>
      </w:r>
      <w:r>
        <w:t xml:space="preserve"> </w:t>
      </w:r>
      <w:r>
        <w:t xml:space="preserve">	</w:t>
      </w:r>
      <w:r>
        <w:t xml:space="preserve">Wyant K, Sant’Ana SJK, Fronk G, Curtin JJ. Machine learning models for temporally precise lapse prediction in alcohol use disorder. Psychopathology and Clinical Science. 2024. doi:</w:t>
      </w:r>
      <w:hyperlink r:id="rId119">
        <w:r>
          <w:rPr>
            <w:rStyle w:val="Hyperlink"/>
          </w:rPr>
          <w:t xml:space="preserve">10.31234/osf.io/cgsf7</w:t>
        </w:r>
      </w:hyperlink>
    </w:p>
    <w:bookmarkEnd w:id="120"/>
    <w:bookmarkStart w:id="121" w:name="X34be55f2a2ff67a14e7206627bb93b426490c87"/>
    <w:p>
      <w:pPr>
        <w:pStyle w:val="Bibliography"/>
      </w:pPr>
      <w:r>
        <w:t xml:space="preserve">22.</w:t>
      </w:r>
      <w:r>
        <w:t xml:space="preserve"> </w:t>
      </w:r>
      <w:r>
        <w:t xml:space="preserve">	</w:t>
      </w:r>
      <w:r>
        <w:t xml:space="preserve">Lundberg SM, Lee S-I. A unified approach to interpreting model predictions. Proceedings of the 31st</w:t>
      </w:r>
      <w:r>
        <w:t xml:space="preserve"> </w:t>
      </w:r>
      <w:r>
        <w:t xml:space="preserve">International Conference</w:t>
      </w:r>
      <w:r>
        <w:t xml:space="preserve"> </w:t>
      </w:r>
      <w:r>
        <w:t xml:space="preserve">on</w:t>
      </w:r>
      <w:r>
        <w:t xml:space="preserve"> </w:t>
      </w:r>
      <w:r>
        <w:t xml:space="preserve">Neural Information Processing Systems</w:t>
      </w:r>
      <w:r>
        <w:t xml:space="preserve">. Red Hook, NY, USA: Curran Associates Inc.; 2017. pp. 4768–4777.</w:t>
      </w:r>
      <w:r>
        <w:t xml:space="preserve"> </w:t>
      </w:r>
    </w:p>
    <w:bookmarkEnd w:id="121"/>
    <w:bookmarkStart w:id="123" w:name="Xd4c1d027f60920f356af6131267e679804e946e"/>
    <w:p>
      <w:pPr>
        <w:pStyle w:val="Bibliography"/>
      </w:pPr>
      <w:r>
        <w:t xml:space="preserve">23.</w:t>
      </w:r>
      <w:r>
        <w:t xml:space="preserve"> </w:t>
      </w:r>
      <w:r>
        <w:t xml:space="preserve">	</w:t>
      </w:r>
      <w:r>
        <w:t xml:space="preserve">Soyster PD, Ashlock L, Fisher AJ. Pooled and person-specific machine learning models for predicting future alcohol consumption, craving, and wanting to drink:</w:t>
      </w:r>
      <w:r>
        <w:t xml:space="preserve"> </w:t>
      </w:r>
      <w:r>
        <w:t xml:space="preserve">A</w:t>
      </w:r>
      <w:r>
        <w:t xml:space="preserve"> </w:t>
      </w:r>
      <w:r>
        <w:t xml:space="preserve">demonstration of parallel utility. Psychology of Addictive Behaviors: Journal of the Society of Psychologists in Addictive Behaviors. 2022;36: 296–306. doi:</w:t>
      </w:r>
      <w:hyperlink r:id="rId122">
        <w:r>
          <w:rPr>
            <w:rStyle w:val="Hyperlink"/>
          </w:rPr>
          <w:t xml:space="preserve">10.1037/adb0000666</w:t>
        </w:r>
      </w:hyperlink>
    </w:p>
    <w:bookmarkEnd w:id="123"/>
    <w:bookmarkStart w:id="125" w:name="ref-waltersUsingMachineLearning2021"/>
    <w:p>
      <w:pPr>
        <w:pStyle w:val="Bibliography"/>
      </w:pPr>
      <w:r>
        <w:t xml:space="preserve">24.</w:t>
      </w:r>
      <w:r>
        <w:t xml:space="preserve"> </w:t>
      </w:r>
      <w:r>
        <w:t xml:space="preserve">	</w:t>
      </w:r>
      <w:r>
        <w:t xml:space="preserve">Walters ST, Businelle MS, Suchting R, Li X, Hébert ET, Mun E-Y. Using machine learning to identify predictors of imminent drinking and create tailored messages for at-risk drinkers experiencing homelessness. Journal of Substance Abuse Treatment. 2021;127: 108417. doi:</w:t>
      </w:r>
      <w:hyperlink r:id="rId124">
        <w:r>
          <w:rPr>
            <w:rStyle w:val="Hyperlink"/>
          </w:rPr>
          <w:t xml:space="preserve">10.1016/j.jsat.2021.108417</w:t>
        </w:r>
      </w:hyperlink>
    </w:p>
    <w:bookmarkEnd w:id="125"/>
    <w:bookmarkStart w:id="126" w:name="X0f0fab553d46f8852e582400eb2e6c745146f48"/>
    <w:p>
      <w:pPr>
        <w:pStyle w:val="Bibliography"/>
      </w:pPr>
      <w:r>
        <w:t xml:space="preserve">25.</w:t>
      </w:r>
      <w:r>
        <w:t xml:space="preserve"> </w:t>
      </w:r>
      <w:r>
        <w:t xml:space="preserve">	</w:t>
      </w:r>
      <w:r>
        <w:t xml:space="preserve">Wyant K, Sant’Ana SJ, Punturieri CE, Yu J, Fronk GE, Maggard CM, et al. 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 under review.</w:t>
      </w:r>
      <w:r>
        <w:t xml:space="preserve"> </w:t>
      </w:r>
    </w:p>
    <w:bookmarkEnd w:id="126"/>
    <w:bookmarkStart w:id="128" w:name="ref-pinedoCurrentReexaminationRacial2019"/>
    <w:p>
      <w:pPr>
        <w:pStyle w:val="Bibliography"/>
      </w:pPr>
      <w:r>
        <w:t xml:space="preserve">26.</w:t>
      </w:r>
      <w:r>
        <w:t xml:space="preserve"> </w:t>
      </w:r>
      <w:r>
        <w:t xml:space="preserve">	</w:t>
      </w:r>
      <w:r>
        <w:t xml:space="preserve">Pinedo M. A current re-examination of racial/ethnic disparities in the use of substance abuse treatment:</w:t>
      </w:r>
      <w:r>
        <w:t xml:space="preserve"> </w:t>
      </w:r>
      <w:r>
        <w:t xml:space="preserve">Do</w:t>
      </w:r>
      <w:r>
        <w:t xml:space="preserve"> </w:t>
      </w:r>
      <w:r>
        <w:t xml:space="preserve">disparities persist? Drug and Alcohol Dependence. 2019;202: 162–167. doi:</w:t>
      </w:r>
      <w:hyperlink r:id="rId127">
        <w:r>
          <w:rPr>
            <w:rStyle w:val="Hyperlink"/>
          </w:rPr>
          <w:t xml:space="preserve">10.1016/j.drugalcdep.2019.05.017</w:t>
        </w:r>
      </w:hyperlink>
    </w:p>
    <w:bookmarkEnd w:id="128"/>
    <w:bookmarkStart w:id="130" w:name="ref-kilaruIncidenceTreatmentOpioid2020"/>
    <w:p>
      <w:pPr>
        <w:pStyle w:val="Bibliography"/>
      </w:pPr>
      <w:r>
        <w:t xml:space="preserve">27.</w:t>
      </w:r>
      <w:r>
        <w:t xml:space="preserve"> </w:t>
      </w:r>
      <w:r>
        <w:t xml:space="preserve">	</w:t>
      </w:r>
      <w:r>
        <w:t xml:space="preserve">Kilaru AS, Xiong A, Lowenstein M, Meisel ZF, Perrone J, Khatri U, et al. 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 JAMA Network Open. 2020;3: e205852. doi:</w:t>
      </w:r>
      <w:hyperlink r:id="rId129">
        <w:r>
          <w:rPr>
            <w:rStyle w:val="Hyperlink"/>
          </w:rPr>
          <w:t xml:space="preserve">10.1001/jamanetworkopen.2020.5852</w:t>
        </w:r>
      </w:hyperlink>
    </w:p>
    <w:bookmarkEnd w:id="130"/>
    <w:bookmarkStart w:id="132" w:name="ref-olfsonHealthcareCoverageService2022"/>
    <w:p>
      <w:pPr>
        <w:pStyle w:val="Bibliography"/>
      </w:pPr>
      <w:r>
        <w:t xml:space="preserve">28.</w:t>
      </w:r>
      <w:r>
        <w:t xml:space="preserve"> </w:t>
      </w:r>
      <w:r>
        <w:t xml:space="preserve">	</w:t>
      </w:r>
      <w:r>
        <w:t xml:space="preserve">Olfson M, Mauro C, Wall MM, Choi CJ, Barry CL, Mojtabai R. Healthcare coverage and service access for low-income adults with substance use disorders. Journal of Substance Abuse Treatment. 2022;137: 108710. doi:</w:t>
      </w:r>
      <w:hyperlink r:id="rId131">
        <w:r>
          <w:rPr>
            <w:rStyle w:val="Hyperlink"/>
          </w:rPr>
          <w:t xml:space="preserve">10.1016/j.jsat.2021.108710</w:t>
        </w:r>
      </w:hyperlink>
    </w:p>
    <w:bookmarkEnd w:id="132"/>
    <w:bookmarkStart w:id="134" w:name="Xa203ab3abd150ead1a7854a9fa5726c8a273f52"/>
    <w:p>
      <w:pPr>
        <w:pStyle w:val="Bibliography"/>
      </w:pPr>
      <w:r>
        <w:t xml:space="preserve">29.</w:t>
      </w:r>
      <w:r>
        <w:t xml:space="preserve"> </w:t>
      </w:r>
      <w:r>
        <w:t xml:space="preserve">	</w:t>
      </w:r>
      <w:r>
        <w:t xml:space="preserve">Greenfield SF, Brooks AJ, Gordon SM, Green CA, Kropp F, McHugh RK, et al. Substance abuse treatment entry, retention, and outcome in women:</w:t>
      </w:r>
      <w:r>
        <w:t xml:space="preserve"> </w:t>
      </w:r>
      <w:r>
        <w:t xml:space="preserve">A</w:t>
      </w:r>
      <w:r>
        <w:t xml:space="preserve"> </w:t>
      </w:r>
      <w:r>
        <w:t xml:space="preserve">review of the literature. Drug and Alcohol Dependence. 2007;86: 1–21. doi:</w:t>
      </w:r>
      <w:hyperlink r:id="rId133">
        <w:r>
          <w:rPr>
            <w:rStyle w:val="Hyperlink"/>
          </w:rPr>
          <w:t xml:space="preserve">10.1016/j.drugalcdep.2006.05.012</w:t>
        </w:r>
      </w:hyperlink>
    </w:p>
    <w:bookmarkEnd w:id="134"/>
    <w:bookmarkStart w:id="135" w:name="ref-hsiehSampleSizeTables1989"/>
    <w:p>
      <w:pPr>
        <w:pStyle w:val="Bibliography"/>
      </w:pPr>
      <w:r>
        <w:t xml:space="preserve">30.</w:t>
      </w:r>
      <w:r>
        <w:t xml:space="preserve"> </w:t>
      </w:r>
      <w:r>
        <w:t xml:space="preserve">	</w:t>
      </w:r>
      <w:r>
        <w:t xml:space="preserve">Hsieh F. Sample size tables for logistic regression. Statistics in Medicine. 1989;8: 795–802.</w:t>
      </w:r>
      <w:r>
        <w:t xml:space="preserve"> </w:t>
      </w:r>
    </w:p>
    <w:bookmarkEnd w:id="135"/>
    <w:bookmarkStart w:id="136" w:name="ref-derogatislBriefSymptomInventory"/>
    <w:p>
      <w:pPr>
        <w:pStyle w:val="Bibliography"/>
      </w:pPr>
      <w:r>
        <w:t xml:space="preserve">31.</w:t>
      </w:r>
      <w:r>
        <w:t xml:space="preserve"> </w:t>
      </w:r>
      <w:r>
        <w:t xml:space="preserve">	</w:t>
      </w:r>
      <w:r>
        <w:t xml:space="preserve">Derogatis, L.R. Brief</w:t>
      </w:r>
      <w:r>
        <w:t xml:space="preserve"> </w:t>
      </w:r>
      <w:r>
        <w:t xml:space="preserve">Symptom Inventory</w:t>
      </w:r>
      <w:r>
        <w:t xml:space="preserve"> </w:t>
      </w:r>
      <w:r>
        <w:t xml:space="preserve">18 -</w:t>
      </w:r>
      <w:r>
        <w:t xml:space="preserve"> </w:t>
      </w:r>
      <w:r>
        <w:t xml:space="preserve">Administration</w:t>
      </w:r>
      <w:r>
        <w:t xml:space="preserve">, scoring, and procedures manual. Minneapolis: NCS Pearson; 2000.</w:t>
      </w:r>
      <w:r>
        <w:t xml:space="preserve"> </w:t>
      </w:r>
    </w:p>
    <w:bookmarkEnd w:id="136"/>
    <w:bookmarkStart w:id="138" w:name="X2d30c84041d97351f676569bf3de3da0c8a9d6d"/>
    <w:p>
      <w:pPr>
        <w:pStyle w:val="Bibliography"/>
      </w:pPr>
      <w:r>
        <w:t xml:space="preserve">32.</w:t>
      </w:r>
      <w:r>
        <w:t xml:space="preserve"> </w:t>
      </w:r>
      <w:r>
        <w:t xml:space="preserve">	</w:t>
      </w:r>
      <w:r>
        <w:t xml:space="preserve">WHO ASSIST Working Group.</w:t>
      </w:r>
      <w:r>
        <w:t xml:space="preserve"> </w:t>
      </w:r>
      <w:hyperlink r:id="rId137">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 Addiction (Abingdon, England). 2002;97: 1183–1194.</w:t>
      </w:r>
      <w:r>
        <w:t xml:space="preserve"> </w:t>
      </w:r>
    </w:p>
    <w:bookmarkEnd w:id="138"/>
    <w:bookmarkStart w:id="139" w:name="ref-kuhnTidymodelsCollectionPackages2020"/>
    <w:p>
      <w:pPr>
        <w:pStyle w:val="Bibliography"/>
      </w:pPr>
      <w:r>
        <w:t xml:space="preserve">33.</w:t>
      </w:r>
      <w:r>
        <w:t xml:space="preserve"> </w:t>
      </w:r>
      <w:r>
        <w:t xml:space="preserve">	</w:t>
      </w:r>
      <w:r>
        <w:t xml:space="preserve">Kuhn M, Wickham H. Tidymodels: A collection of packages for modeling and machine learning using tidyverse principles. 2020.</w:t>
      </w:r>
      <w:r>
        <w:t xml:space="preserve"> </w:t>
      </w:r>
    </w:p>
    <w:bookmarkEnd w:id="139"/>
    <w:bookmarkStart w:id="140" w:name="Xa93a98d1ce255982a5ea923c39451c32053b2a2"/>
    <w:p>
      <w:pPr>
        <w:pStyle w:val="Bibliography"/>
      </w:pPr>
      <w:r>
        <w:t xml:space="preserve">34.</w:t>
      </w:r>
      <w:r>
        <w:t xml:space="preserve"> </w:t>
      </w:r>
      <w:r>
        <w:t xml:space="preserve">	</w:t>
      </w:r>
      <w:r>
        <w:t xml:space="preserve">Kuhn M. 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 2022.</w:t>
      </w:r>
      <w:r>
        <w:t xml:space="preserve"> </w:t>
      </w:r>
    </w:p>
    <w:bookmarkEnd w:id="140"/>
    <w:bookmarkStart w:id="141" w:name="ref-goodrichRstanarmBayesianApplied2023"/>
    <w:p>
      <w:pPr>
        <w:pStyle w:val="Bibliography"/>
      </w:pPr>
      <w:r>
        <w:t xml:space="preserve">35.</w:t>
      </w:r>
      <w:r>
        <w:t xml:space="preserve"> </w:t>
      </w:r>
      <w:r>
        <w:t xml:space="preserve">	</w:t>
      </w:r>
      <w:r>
        <w:t xml:space="preserve">Goodrich B, Gabry J, Ali I, Brilleman S. Rstanarm:</w:t>
      </w:r>
      <w:r>
        <w:t xml:space="preserve"> </w:t>
      </w:r>
      <w:r>
        <w:t xml:space="preserve">Bayesian Applied Regression Modeling</w:t>
      </w:r>
      <w:r>
        <w:t xml:space="preserve"> </w:t>
      </w:r>
      <w:r>
        <w:t xml:space="preserve">via</w:t>
      </w:r>
      <w:r>
        <w:t xml:space="preserve"> </w:t>
      </w:r>
      <w:r>
        <w:t xml:space="preserve">Stan</w:t>
      </w:r>
      <w:r>
        <w:t xml:space="preserve">. 2023.</w:t>
      </w:r>
      <w:r>
        <w:t xml:space="preserve"> </w:t>
      </w:r>
    </w:p>
    <w:bookmarkEnd w:id="141"/>
    <w:bookmarkStart w:id="143" w:name="ref-chtc"/>
    <w:p>
      <w:pPr>
        <w:pStyle w:val="Bibliography"/>
      </w:pPr>
      <w:r>
        <w:t xml:space="preserve">36.</w:t>
      </w:r>
      <w:r>
        <w:t xml:space="preserve"> </w:t>
      </w:r>
      <w:r>
        <w:t xml:space="preserve">	</w:t>
      </w:r>
      <w:r>
        <w:t xml:space="preserve">Center for High Throughput Computing. Center for high throughput computing. Center for High Throughput Computing; 2006. doi:</w:t>
      </w:r>
      <w:hyperlink r:id="rId142">
        <w:r>
          <w:rPr>
            <w:rStyle w:val="Hyperlink"/>
          </w:rPr>
          <w:t xml:space="preserve">10.21231/GNT1-HW21</w:t>
        </w:r>
      </w:hyperlink>
    </w:p>
    <w:bookmarkEnd w:id="143"/>
    <w:bookmarkStart w:id="145" w:name="ref-kuhnAppliedPredictiveModeling2018"/>
    <w:p>
      <w:pPr>
        <w:pStyle w:val="Bibliography"/>
      </w:pPr>
      <w:r>
        <w:t xml:space="preserve">37.</w:t>
      </w:r>
      <w:r>
        <w:t xml:space="preserve"> </w:t>
      </w:r>
      <w:r>
        <w:t xml:space="preserve">	</w:t>
      </w:r>
      <w:r>
        <w:t xml:space="preserve">Kuhn M, Johnson K. Applied</w:t>
      </w:r>
      <w:r>
        <w:t xml:space="preserve"> </w:t>
      </w:r>
      <w:r>
        <w:t xml:space="preserve">Predictive Modeling</w:t>
      </w:r>
      <w:r>
        <w:t xml:space="preserve">. 1st ed. 2013, Corr. 2nd printing 2018 edition. New York: Springer; 2018. doi:</w:t>
      </w:r>
      <w:hyperlink r:id="rId144">
        <w:r>
          <w:rPr>
            <w:rStyle w:val="Hyperlink"/>
          </w:rPr>
          <w:t xml:space="preserve">10.1007/978-1-4614-6849-3</w:t>
        </w:r>
      </w:hyperlink>
    </w:p>
    <w:bookmarkEnd w:id="145"/>
    <w:bookmarkStart w:id="146" w:name="X93e79e1a5ab79bb153842a6d1ed7d5e5cb3185f"/>
    <w:p>
      <w:pPr>
        <w:pStyle w:val="Bibliography"/>
      </w:pPr>
      <w:r>
        <w:t xml:space="preserve">38.</w:t>
      </w:r>
      <w:r>
        <w:t xml:space="preserve"> </w:t>
      </w:r>
      <w:r>
        <w:t xml:space="preserve">	</w:t>
      </w:r>
      <w:r>
        <w:t xml:space="preserve">RStudio Team.</w:t>
      </w:r>
      <w:r>
        <w:t xml:space="preserve"> </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 Boston, MA: RStudio, Inc; 2020.</w:t>
      </w:r>
      <w:r>
        <w:t xml:space="preserve"> </w:t>
      </w:r>
    </w:p>
    <w:bookmarkEnd w:id="146"/>
    <w:bookmarkStart w:id="147" w:name="ref-gabryPriorDistributionsRstanarm2023"/>
    <w:p>
      <w:pPr>
        <w:pStyle w:val="Bibliography"/>
      </w:pPr>
      <w:r>
        <w:t xml:space="preserve">39.</w:t>
      </w:r>
      <w:r>
        <w:t xml:space="preserve"> </w:t>
      </w:r>
      <w:r>
        <w:t xml:space="preserve">	</w:t>
      </w:r>
      <w:r>
        <w:t xml:space="preserve">Gabry J, Goodrich B. Prior</w:t>
      </w:r>
      <w:r>
        <w:t xml:space="preserve"> </w:t>
      </w:r>
      <w:r>
        <w:t xml:space="preserve">Distributions</w:t>
      </w:r>
      <w:r>
        <w:t xml:space="preserve"> </w:t>
      </w:r>
      <w:r>
        <w:t xml:space="preserve">for rstanarm</w:t>
      </w:r>
      <w:r>
        <w:t xml:space="preserve"> </w:t>
      </w:r>
      <w:r>
        <w:t xml:space="preserve">Models</w:t>
      </w:r>
      <w:r>
        <w:t xml:space="preserve">. CRAN R-Project. https://cran.r-project.org/web/packages/rstanarm/vignettes/priors.html; 2023.</w:t>
      </w:r>
      <w:r>
        <w:t xml:space="preserve"> </w:t>
      </w:r>
    </w:p>
    <w:bookmarkEnd w:id="147"/>
    <w:bookmarkStart w:id="148" w:name="ref-plattProbabilisticOutputsSupport1999"/>
    <w:p>
      <w:pPr>
        <w:pStyle w:val="Bibliography"/>
      </w:pPr>
      <w:r>
        <w:t xml:space="preserve">40.</w:t>
      </w:r>
      <w:r>
        <w:t xml:space="preserve"> </w:t>
      </w:r>
      <w:r>
        <w:t xml:space="preserve">	</w:t>
      </w:r>
      <w:r>
        <w:t xml:space="preserve">Platt J. Probabilistic outputs for support vector machines and comparisons to regularized likelihood methods. Advances in large margin classifiers. MIT Press; 1999. pp. 61–74.</w:t>
      </w:r>
      <w:r>
        <w:t xml:space="preserve"> </w:t>
      </w:r>
    </w:p>
    <w:bookmarkEnd w:id="148"/>
    <w:bookmarkStart w:id="150" w:name="ref-veinotGoodIntentionsAre2018"/>
    <w:p>
      <w:pPr>
        <w:pStyle w:val="Bibliography"/>
      </w:pPr>
      <w:r>
        <w:t xml:space="preserve">41.</w:t>
      </w:r>
      <w:r>
        <w:t xml:space="preserve"> </w:t>
      </w:r>
      <w:r>
        <w:t xml:space="preserve">	</w:t>
      </w:r>
      <w:r>
        <w:t xml:space="preserve">Veinot TC, Mitchell H, Ancker JS. Good intentions are not enough: How informatics interventions can worsen inequality. Journal of the American Medical Informatics Association: JAMIA. 2018;25: 1080–1088. doi:</w:t>
      </w:r>
      <w:hyperlink r:id="rId149">
        <w:r>
          <w:rPr>
            <w:rStyle w:val="Hyperlink"/>
          </w:rPr>
          <w:t xml:space="preserve">10.1093/jamia/ocy052</w:t>
        </w:r>
      </w:hyperlink>
    </w:p>
    <w:bookmarkEnd w:id="150"/>
    <w:bookmarkStart w:id="152" w:name="ref-leeUrbanRuralDisparities2023"/>
    <w:p>
      <w:pPr>
        <w:pStyle w:val="Bibliography"/>
      </w:pPr>
      <w:r>
        <w:t xml:space="preserve">42.</w:t>
      </w:r>
      <w:r>
        <w:t xml:space="preserve"> </w:t>
      </w:r>
      <w:r>
        <w:t xml:space="preserve">	</w:t>
      </w:r>
      <w:r>
        <w:t xml:space="preserve">Lee JH, Wheeler DC, Zimmerman EB, Hines AL, Chapman DA. 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 American journal of preventive medicine. 2023;64: 149–156. doi:</w:t>
      </w:r>
      <w:hyperlink r:id="rId151">
        <w:r>
          <w:rPr>
            <w:rStyle w:val="Hyperlink"/>
          </w:rPr>
          <w:t xml:space="preserve">10.1016/j.amepre.2022.08.022</w:t>
        </w:r>
      </w:hyperlink>
    </w:p>
    <w:bookmarkEnd w:id="152"/>
    <w:bookmarkStart w:id="154" w:name="Xaa720cc9c8d959b428cd2035783815a9cba15e0"/>
    <w:p>
      <w:pPr>
        <w:pStyle w:val="Bibliography"/>
      </w:pPr>
      <w:r>
        <w:t xml:space="preserve">43.</w:t>
      </w:r>
      <w:r>
        <w:t xml:space="preserve"> </w:t>
      </w:r>
      <w:r>
        <w:t xml:space="preserve">	</w:t>
      </w:r>
      <w:r>
        <w:t xml:space="preserve">Lister JJ, Weaver A, Ellis JD, Himle JA, Ledgerwood DM. A systematic review of rural-specific barriers to medication treatment for opioid use disorder in the</w:t>
      </w:r>
      <w:r>
        <w:t xml:space="preserve"> </w:t>
      </w:r>
      <w:r>
        <w:t xml:space="preserve">United States</w:t>
      </w:r>
      <w:r>
        <w:t xml:space="preserve">. The American Journal of Drug and Alcohol Abuse. 2020;46: 273–288. doi:</w:t>
      </w:r>
      <w:hyperlink r:id="rId153">
        <w:r>
          <w:rPr>
            <w:rStyle w:val="Hyperlink"/>
          </w:rPr>
          <w:t xml:space="preserve">10.1080/00952990.2019.1694536</w:t>
        </w:r>
      </w:hyperlink>
    </w:p>
    <w:bookmarkEnd w:id="154"/>
    <w:bookmarkStart w:id="156" w:name="ref-fisherDynamicModelPsychological2015"/>
    <w:p>
      <w:pPr>
        <w:pStyle w:val="Bibliography"/>
      </w:pPr>
      <w:r>
        <w:t xml:space="preserve">44.</w:t>
      </w:r>
      <w:r>
        <w:t xml:space="preserve"> </w:t>
      </w:r>
      <w:r>
        <w:t xml:space="preserve">	</w:t>
      </w:r>
      <w:r>
        <w:t xml:space="preserve">Fisher AJ. Toward a dynamic model of psychological assessment:</w:t>
      </w:r>
      <w:r>
        <w:t xml:space="preserve"> </w:t>
      </w:r>
      <w:r>
        <w:t xml:space="preserve">Implications</w:t>
      </w:r>
      <w:r>
        <w:t xml:space="preserve"> </w:t>
      </w:r>
      <w:r>
        <w:t xml:space="preserve">for personalized care. Journal of Consulting and Clinical Psychology. 2015;83: 825–836. doi:</w:t>
      </w:r>
      <w:hyperlink r:id="rId155">
        <w:r>
          <w:rPr>
            <w:rStyle w:val="Hyperlink"/>
          </w:rPr>
          <w:t xml:space="preserve">10.1037/ccp0000026</w:t>
        </w:r>
      </w:hyperlink>
    </w:p>
    <w:bookmarkEnd w:id="156"/>
    <w:bookmarkStart w:id="158" w:name="Xb70ed90433964dc3a7ede0ee8357d97241623cc"/>
    <w:p>
      <w:pPr>
        <w:pStyle w:val="Bibliography"/>
      </w:pPr>
      <w:r>
        <w:t xml:space="preserve">45.</w:t>
      </w:r>
      <w:r>
        <w:t xml:space="preserve"> </w:t>
      </w:r>
      <w:r>
        <w:t xml:space="preserve">	</w:t>
      </w:r>
      <w:r>
        <w:t xml:space="preserve">David SJ, Marshall AJ, Evanovich EK, Mumma GH. 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 Journal of Psychopathology and Behavioral Assessment. 2018;40: 235–248. doi:</w:t>
      </w:r>
      <w:hyperlink r:id="rId157">
        <w:r>
          <w:rPr>
            <w:rStyle w:val="Hyperlink"/>
          </w:rPr>
          <w:t xml:space="preserve">10.1007/s10862-017-9632-8</w:t>
        </w:r>
      </w:hyperlink>
    </w:p>
    <w:bookmarkEnd w:id="158"/>
    <w:bookmarkStart w:id="160" w:name="Xc5cdea043ab663a81d5612c8b1e0f7c2b734aab"/>
    <w:p>
      <w:pPr>
        <w:pStyle w:val="Bibliography"/>
      </w:pPr>
      <w:r>
        <w:t xml:space="preserve">46.</w:t>
      </w:r>
      <w:r>
        <w:t xml:space="preserve"> </w:t>
      </w:r>
      <w:r>
        <w:t xml:space="preserve">	</w:t>
      </w:r>
      <w:r>
        <w:t xml:space="preserve">Roche MJ, Pincus AL, Rebar AL, Conroy DE, Ram N. 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 Assessment. 2014;21: 515–528. doi:</w:t>
      </w:r>
      <w:hyperlink r:id="rId159">
        <w:r>
          <w:rPr>
            <w:rStyle w:val="Hyperlink"/>
          </w:rPr>
          <w:t xml:space="preserve">10.1177/1073191114540320</w:t>
        </w:r>
      </w:hyperlink>
    </w:p>
    <w:bookmarkEnd w:id="160"/>
    <w:bookmarkStart w:id="162" w:name="X513fadbf866a4ddf9f29b63741ad369252b4800"/>
    <w:p>
      <w:pPr>
        <w:pStyle w:val="Bibliography"/>
      </w:pPr>
      <w:r>
        <w:t xml:space="preserve">47.</w:t>
      </w:r>
      <w:r>
        <w:t xml:space="preserve"> </w:t>
      </w:r>
      <w:r>
        <w:t xml:space="preserve">	</w:t>
      </w:r>
      <w:r>
        <w:t xml:space="preserve">Wright AGC, Hallquist MN, Stepp SD, Scott LN, Beeney JE, Lazarus SA, et al. 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 Assessment. 2016;23: 484–495. doi:</w:t>
      </w:r>
      <w:hyperlink r:id="rId161">
        <w:r>
          <w:rPr>
            <w:rStyle w:val="Hyperlink"/>
          </w:rPr>
          <w:t xml:space="preserve">10.1177/1073191116653829</w:t>
        </w:r>
      </w:hyperlink>
    </w:p>
    <w:bookmarkEnd w:id="162"/>
    <w:bookmarkStart w:id="164" w:name="ref-pulickIdiographicLapsePrediction2025"/>
    <w:p>
      <w:pPr>
        <w:pStyle w:val="Bibliography"/>
      </w:pPr>
      <w:r>
        <w:t xml:space="preserve">48.</w:t>
      </w:r>
      <w:r>
        <w:t xml:space="preserve"> </w:t>
      </w:r>
      <w:r>
        <w:t xml:space="preserve">	</w:t>
      </w:r>
      <w:r>
        <w:t xml:space="preserve">Pulick E, Curtin J, Mintz Y. 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 JMIR Formative Research. 2025;9: e73265. doi:</w:t>
      </w:r>
      <w:hyperlink r:id="rId163">
        <w:r>
          <w:rPr>
            <w:rStyle w:val="Hyperlink"/>
          </w:rPr>
          <w:t xml:space="preserve">10.2196/73265</w:t>
        </w:r>
      </w:hyperlink>
    </w:p>
    <w:bookmarkEnd w:id="164"/>
    <w:bookmarkStart w:id="165" w:name="ref-studiesNIHRevitalizationAct1994"/>
    <w:p>
      <w:pPr>
        <w:pStyle w:val="Bibliography"/>
      </w:pPr>
      <w:r>
        <w:t xml:space="preserve">49.</w:t>
      </w:r>
      <w:r>
        <w:t xml:space="preserve"> </w:t>
      </w:r>
      <w:r>
        <w:t xml:space="preserve">	</w:t>
      </w:r>
      <w:r>
        <w:t xml:space="preserve">Studies I of M(US)C on E and LIR to the I of W in C, Mastroianni AC, Faden R, Federman D.</w:t>
      </w:r>
      <w:r>
        <w:t xml:space="preserve"> </w:t>
      </w:r>
      <w:r>
        <w:t xml:space="preserve">NIH Revitalization Act</w:t>
      </w:r>
      <w:r>
        <w:t xml:space="preserve"> </w:t>
      </w:r>
      <w:r>
        <w:t xml:space="preserve">of 1993</w:t>
      </w:r>
      <w:r>
        <w:t xml:space="preserve"> </w:t>
      </w:r>
      <w:r>
        <w:t xml:space="preserve">Public Law</w:t>
      </w:r>
      <w:r>
        <w:t xml:space="preserve"> </w:t>
      </w:r>
      <w:r>
        <w:t xml:space="preserve">103-43. Women and</w:t>
      </w:r>
      <w:r>
        <w:t xml:space="preserve"> </w:t>
      </w:r>
      <w:r>
        <w:t xml:space="preserve">Health Research</w:t>
      </w:r>
      <w:r>
        <w:t xml:space="preserve">:</w:t>
      </w:r>
      <w:r>
        <w:t xml:space="preserve"> </w:t>
      </w:r>
      <w:r>
        <w:t xml:space="preserve">Ethical</w:t>
      </w:r>
      <w:r>
        <w:t xml:space="preserve"> </w:t>
      </w:r>
      <w:r>
        <w:t xml:space="preserve">and</w:t>
      </w:r>
      <w:r>
        <w:t xml:space="preserve"> </w:t>
      </w:r>
      <w:r>
        <w:t xml:space="preserve">Legal Issues</w:t>
      </w:r>
      <w:r>
        <w:t xml:space="preserve"> </w:t>
      </w:r>
      <w:r>
        <w:t xml:space="preserve">of</w:t>
      </w:r>
      <w:r>
        <w:t xml:space="preserve"> </w:t>
      </w:r>
      <w:r>
        <w:t xml:space="preserve">Including Women</w:t>
      </w:r>
      <w:r>
        <w:t xml:space="preserve"> </w:t>
      </w:r>
      <w:r>
        <w:t xml:space="preserve">in</w:t>
      </w:r>
      <w:r>
        <w:t xml:space="preserve"> </w:t>
      </w:r>
      <w:r>
        <w:t xml:space="preserve">Clinical Studies</w:t>
      </w:r>
      <w:r>
        <w:t xml:space="preserve">:</w:t>
      </w:r>
      <w:r>
        <w:t xml:space="preserve"> </w:t>
      </w:r>
      <w:r>
        <w:t xml:space="preserve">Volume I</w:t>
      </w:r>
      <w:r>
        <w:t xml:space="preserve">. National Academies Press (US); 1994.</w:t>
      </w:r>
      <w:r>
        <w:t xml:space="preserve"> </w:t>
      </w:r>
    </w:p>
    <w:bookmarkEnd w:id="165"/>
    <w:bookmarkStart w:id="167" w:name="ref-vannicelliEffectSexBias1984"/>
    <w:p>
      <w:pPr>
        <w:pStyle w:val="Bibliography"/>
      </w:pPr>
      <w:r>
        <w:t xml:space="preserve">50.</w:t>
      </w:r>
      <w:r>
        <w:t xml:space="preserve"> </w:t>
      </w:r>
      <w:r>
        <w:t xml:space="preserve">	</w:t>
      </w:r>
      <w:r>
        <w:t xml:space="preserve">Vannicelli M, Nash L. 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 Alcoholism: Clinical and Experimental Research. 1984;8: 334–336. doi:</w:t>
      </w:r>
      <w:hyperlink r:id="rId166">
        <w:r>
          <w:rPr>
            <w:rStyle w:val="Hyperlink"/>
          </w:rPr>
          <w:t xml:space="preserve">10.1111/j.1530-0277.1984.tb05523.x</w:t>
        </w:r>
      </w:hyperlink>
    </w:p>
    <w:bookmarkEnd w:id="167"/>
    <w:bookmarkStart w:id="169" w:name="ref-walitzerGenderDifferencesAlcohol2006"/>
    <w:p>
      <w:pPr>
        <w:pStyle w:val="Bibliography"/>
      </w:pPr>
      <w:r>
        <w:t xml:space="preserve">51.</w:t>
      </w:r>
      <w:r>
        <w:t xml:space="preserve"> </w:t>
      </w:r>
      <w:r>
        <w:t xml:space="preserve">	</w:t>
      </w:r>
      <w:r>
        <w:t xml:space="preserve">Walitzer KS, Dearing RL. Gender differences in alcohol and substance use relapse. Clinical Psychology Review. 2006;26: 128–148. doi:</w:t>
      </w:r>
      <w:hyperlink r:id="rId168">
        <w:r>
          <w:rPr>
            <w:rStyle w:val="Hyperlink"/>
          </w:rPr>
          <w:t xml:space="preserve">10.1016/j.cpr.2005.11.003</w:t>
        </w:r>
      </w:hyperlink>
    </w:p>
    <w:bookmarkEnd w:id="169"/>
    <w:bookmarkStart w:id="171" w:name="ref-mchughSexGenderDifferences2018"/>
    <w:p>
      <w:pPr>
        <w:pStyle w:val="Bibliography"/>
      </w:pPr>
      <w:r>
        <w:t xml:space="preserve">52.</w:t>
      </w:r>
      <w:r>
        <w:t xml:space="preserve"> </w:t>
      </w:r>
      <w:r>
        <w:t xml:space="preserve">	</w:t>
      </w:r>
      <w:r>
        <w:t xml:space="preserve">McHugh RK, Votaw VR, Sugarman DE, Greenfield SF. Sex and gender differences in substance use disorders. Clinical Psychology Review. 2018;66: 12–23. doi:</w:t>
      </w:r>
      <w:hyperlink r:id="rId170">
        <w:r>
          <w:rPr>
            <w:rStyle w:val="Hyperlink"/>
          </w:rPr>
          <w:t xml:space="preserve">10.1016/j.cpr.2017.10.012</w:t>
        </w:r>
      </w:hyperlink>
    </w:p>
    <w:bookmarkEnd w:id="171"/>
    <w:bookmarkStart w:id="173" w:name="Xdd108b50209bad1fdcf1a9fcca4dd1d7d3b13e9"/>
    <w:p>
      <w:pPr>
        <w:pStyle w:val="Bibliography"/>
      </w:pPr>
      <w:r>
        <w:t xml:space="preserve">53.</w:t>
      </w:r>
      <w:r>
        <w:t xml:space="preserve"> </w:t>
      </w:r>
      <w:r>
        <w:t xml:space="preserve">	</w:t>
      </w:r>
      <w:r>
        <w:t xml:space="preserve">Tausczik YR, Pennebaker JW. 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 Journal of Language and Social Psychology. 2010;29: 24–54. doi:</w:t>
      </w:r>
      <w:hyperlink r:id="rId172">
        <w:r>
          <w:rPr>
            <w:rStyle w:val="Hyperlink"/>
          </w:rPr>
          <w:t xml:space="preserve">10.1177/0261927X09351676</w:t>
        </w:r>
      </w:hyperlink>
    </w:p>
    <w:bookmarkEnd w:id="173"/>
    <w:bookmarkStart w:id="174" w:name="ref-bleiLatentDirichletAllocation2003"/>
    <w:p>
      <w:pPr>
        <w:pStyle w:val="Bibliography"/>
      </w:pPr>
      <w:r>
        <w:t xml:space="preserve">54.</w:t>
      </w:r>
      <w:r>
        <w:t xml:space="preserve"> </w:t>
      </w:r>
      <w:r>
        <w:t xml:space="preserve">	</w:t>
      </w:r>
      <w:r>
        <w:t xml:space="preserve">Blei DM, Ng AY, Jordan MI. Latent dirichlet allocation. J Mach Learn Res. 2003;3: 993–1022.</w:t>
      </w:r>
      <w:r>
        <w:t xml:space="preserve"> </w:t>
      </w:r>
    </w:p>
    <w:bookmarkEnd w:id="174"/>
    <w:bookmarkStart w:id="176" w:name="ref-devlinBERTPretrainingDeep2019"/>
    <w:p>
      <w:pPr>
        <w:pStyle w:val="Bibliography"/>
      </w:pPr>
      <w:r>
        <w:t xml:space="preserve">55.</w:t>
      </w:r>
      <w:r>
        <w:t xml:space="preserve"> </w:t>
      </w:r>
      <w:r>
        <w:t xml:space="preserve">	</w:t>
      </w:r>
      <w:r>
        <w:t xml:space="preserve">Devlin J, Chang M-W, Lee K, Toutanova K.</w:t>
      </w:r>
      <w:r>
        <w:t xml:space="preserve"> </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 arXiv; 2019. doi:</w:t>
      </w:r>
      <w:hyperlink r:id="rId175">
        <w:r>
          <w:rPr>
            <w:rStyle w:val="Hyperlink"/>
          </w:rPr>
          <w:t xml:space="preserve">10.48550/arXiv.1810.04805</w:t>
        </w:r>
      </w:hyperlink>
    </w:p>
    <w:bookmarkEnd w:id="176"/>
    <w:bookmarkStart w:id="177" w:name="X0c0e928dd8ff101aa479012bffab8d24e8c0dcf"/>
    <w:p>
      <w:pPr>
        <w:pStyle w:val="Bibliography"/>
      </w:pPr>
      <w:r>
        <w:t xml:space="preserve">56.</w:t>
      </w:r>
      <w:r>
        <w:t xml:space="preserve"> </w:t>
      </w:r>
      <w:r>
        <w:t xml:space="preserve">	</w:t>
      </w:r>
      <w:r>
        <w:t xml:space="preserve">Molnar C. Interpretable</w:t>
      </w:r>
      <w:r>
        <w:t xml:space="preserve"> </w:t>
      </w:r>
      <w:r>
        <w:t xml:space="preserve">Machine Learning</w:t>
      </w:r>
      <w:r>
        <w:t xml:space="preserve">:</w:t>
      </w:r>
      <w:r>
        <w:t xml:space="preserve"> </w:t>
      </w:r>
      <w:r>
        <w:t xml:space="preserve">A Guide For Making Black Box Models Explainable</w:t>
      </w:r>
      <w:r>
        <w:t xml:space="preserve">. Munich, Germany: Independently published; 2022.</w:t>
      </w:r>
      <w:r>
        <w:t xml:space="preserve"> </w:t>
      </w:r>
    </w:p>
    <w:bookmarkEnd w:id="177"/>
    <w:bookmarkStart w:id="179" w:name="ref-meyersIntersectionGenderDrug2021"/>
    <w:p>
      <w:pPr>
        <w:pStyle w:val="Bibliography"/>
      </w:pPr>
      <w:r>
        <w:t xml:space="preserve">57.</w:t>
      </w:r>
      <w:r>
        <w:t xml:space="preserve"> </w:t>
      </w:r>
      <w:r>
        <w:t xml:space="preserve">	</w:t>
      </w:r>
      <w:r>
        <w:t xml:space="preserve">Meyers SA, Earnshaw VA, D’Ambrosio B, Courchesne N, Werb D, Smith LR. The intersection of gender and drug use-related stigma:</w:t>
      </w:r>
      <w:r>
        <w:t xml:space="preserve"> </w:t>
      </w:r>
      <w:r>
        <w:t xml:space="preserve">A</w:t>
      </w:r>
      <w:r>
        <w:t xml:space="preserve"> </w:t>
      </w:r>
      <w:r>
        <w:t xml:space="preserve">mixed methods systematic review and synthesis of the literature. Drug and Alcohol Dependence. 2021;223: 108706. doi:</w:t>
      </w:r>
      <w:hyperlink r:id="rId178">
        <w:r>
          <w:rPr>
            <w:rStyle w:val="Hyperlink"/>
          </w:rPr>
          <w:t xml:space="preserve">10.1016/j.drugalcdep.2021.108706</w:t>
        </w:r>
      </w:hyperlink>
    </w:p>
    <w:bookmarkEnd w:id="179"/>
    <w:bookmarkStart w:id="180" w:name="Xb55b40a3d7f46ba5e03427f7cd05843a1612710"/>
    <w:p>
      <w:pPr>
        <w:pStyle w:val="Bibliography"/>
      </w:pPr>
      <w:r>
        <w:t xml:space="preserve">58.</w:t>
      </w:r>
      <w:r>
        <w:t xml:space="preserve"> </w:t>
      </w:r>
      <w:r>
        <w:t xml:space="preserve">	</w:t>
      </w:r>
      <w:r>
        <w:t xml:space="preserve">Marwick AE, Boyd D. 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 International Journal of Communication. 2018;12: 9.</w:t>
      </w:r>
      <w:r>
        <w:t xml:space="preserve"> </w:t>
      </w:r>
    </w:p>
    <w:bookmarkEnd w:id="180"/>
    <w:bookmarkStart w:id="182" w:name="ref-zikmund-fisherRightToolWhat2013"/>
    <w:p>
      <w:pPr>
        <w:pStyle w:val="Bibliography"/>
      </w:pPr>
      <w:r>
        <w:t xml:space="preserve">59.</w:t>
      </w:r>
      <w:r>
        <w:t xml:space="preserve"> </w:t>
      </w:r>
      <w:r>
        <w:t xml:space="preserve">	</w:t>
      </w:r>
      <w:r>
        <w:t xml:space="preserve">Zikmund-Fisher BJ. The right tool is what they need, not what we have: A taxonomy of appropriate levels of precision in patient risk communication. Medical care research and review: MCRR. 2013;70: 37S–49S. doi:</w:t>
      </w:r>
      <w:hyperlink r:id="rId181">
        <w:r>
          <w:rPr>
            <w:rStyle w:val="Hyperlink"/>
          </w:rPr>
          <w:t xml:space="preserve">10.1177/1077558712458541</w:t>
        </w:r>
      </w:hyperlink>
    </w:p>
    <w:bookmarkEnd w:id="182"/>
    <w:bookmarkStart w:id="184" w:name="ref-fagerlinMakingNumbersMatter2007"/>
    <w:p>
      <w:pPr>
        <w:pStyle w:val="Bibliography"/>
      </w:pPr>
      <w:r>
        <w:t xml:space="preserve">60.</w:t>
      </w:r>
      <w:r>
        <w:t xml:space="preserve"> </w:t>
      </w:r>
      <w:r>
        <w:t xml:space="preserve">	</w:t>
      </w:r>
      <w:r>
        <w:t xml:space="preserve">Fagerlin A, Ubel PA, Smith DM, Zikmund-Fisher BJ. Making numbers matter: Present and future research in risk communication. American Journal of Health Behavior. 2007;31 Suppl 1: S47–56. doi:</w:t>
      </w:r>
      <w:hyperlink r:id="rId183">
        <w:r>
          <w:rPr>
            <w:rStyle w:val="Hyperlink"/>
          </w:rPr>
          <w:t xml:space="preserve">10.5555/ajhb.2007.31.supp.S47</w:t>
        </w:r>
      </w:hyperlink>
    </w:p>
    <w:bookmarkEnd w:id="184"/>
    <w:bookmarkStart w:id="186" w:name="X13b53253f4b8775a58215d7e1d3c0adbd73e844"/>
    <w:p>
      <w:pPr>
        <w:pStyle w:val="Bibliography"/>
      </w:pPr>
      <w:r>
        <w:t xml:space="preserve">61.</w:t>
      </w:r>
      <w:r>
        <w:t xml:space="preserve"> </w:t>
      </w:r>
      <w:r>
        <w:t xml:space="preserve">	</w:t>
      </w:r>
      <w:r>
        <w:t xml:space="preserve">Zipkin DA, Umscheid CA, Keating NL, Allen E, Aung K, Beyth R, et al. Evidence-based risk communication: A systematic review. Annals of Internal Medicine. 2014;161: 270–280. doi:</w:t>
      </w:r>
      <w:hyperlink r:id="rId185">
        <w:r>
          <w:rPr>
            <w:rStyle w:val="Hyperlink"/>
          </w:rPr>
          <w:t xml:space="preserve">10.7326/M14-0295</w:t>
        </w:r>
      </w:hyperlink>
    </w:p>
    <w:bookmarkEnd w:id="186"/>
    <w:bookmarkStart w:id="188" w:name="Xa1b8899d52f2070e9a46165cf23fe2013b5e4a3"/>
    <w:p>
      <w:pPr>
        <w:pStyle w:val="Bibliography"/>
      </w:pPr>
      <w:r>
        <w:t xml:space="preserve">62.</w:t>
      </w:r>
      <w:r>
        <w:t xml:space="preserve"> </w:t>
      </w:r>
      <w:r>
        <w:t xml:space="preserve">	</w:t>
      </w:r>
      <w:r>
        <w:t xml:space="preserve">Rawson RA, Shoptaw SJ, Obert JL, McCann MJ, Hasson AL, Marinelli-Casey PJ, et al. An intensive outpatient approach for cocaine abuse treatment.</w:t>
      </w:r>
      <w:r>
        <w:t xml:space="preserve"> </w:t>
      </w:r>
      <w:r>
        <w:t xml:space="preserve">The Matrix</w:t>
      </w:r>
      <w:r>
        <w:t xml:space="preserve"> </w:t>
      </w:r>
      <w:r>
        <w:t xml:space="preserve">model. Journal of Substance Abuse Treatment. 1995;12: 117–127. doi:</w:t>
      </w:r>
      <w:hyperlink r:id="rId187">
        <w:r>
          <w:rPr>
            <w:rStyle w:val="Hyperlink"/>
          </w:rPr>
          <w:t xml:space="preserve">10.1016/0740-5472(94)00080-b</w:t>
        </w:r>
      </w:hyperlink>
    </w:p>
    <w:bookmarkEnd w:id="188"/>
    <w:bookmarkStart w:id="190" w:name="X1e16a8cc741ec7d68b9bde12ee2c181d9d36a93"/>
    <w:p>
      <w:pPr>
        <w:pStyle w:val="Bibliography"/>
      </w:pPr>
      <w:r>
        <w:t xml:space="preserve">63.</w:t>
      </w:r>
      <w:r>
        <w:t xml:space="preserve"> </w:t>
      </w:r>
      <w:r>
        <w:t xml:space="preserve">	</w:t>
      </w:r>
      <w:r>
        <w:t xml:space="preserve">McHugh RK, Hearon BA, Otto MW. Cognitive-</w:t>
      </w:r>
      <w:r>
        <w:t xml:space="preserve">Behavioral Therapy</w:t>
      </w:r>
      <w:r>
        <w:t xml:space="preserve"> </w:t>
      </w:r>
      <w:r>
        <w:t xml:space="preserve">for</w:t>
      </w:r>
      <w:r>
        <w:t xml:space="preserve"> </w:t>
      </w:r>
      <w:r>
        <w:t xml:space="preserve">Substance Use Disorders</w:t>
      </w:r>
      <w:r>
        <w:t xml:space="preserve">. The Psychiatric clinics of North America. 2010;33: 511–525. doi:</w:t>
      </w:r>
      <w:hyperlink r:id="rId189">
        <w:r>
          <w:rPr>
            <w:rStyle w:val="Hyperlink"/>
          </w:rPr>
          <w:t xml:space="preserve">10.1016/j.psc.2010.04.012</w:t>
        </w:r>
      </w:hyperlink>
    </w:p>
    <w:bookmarkEnd w:id="190"/>
    <w:bookmarkStart w:id="191" w:name="X0943ff04c0b05099bf4a8c8078db37e3463cff7"/>
    <w:p>
      <w:pPr>
        <w:pStyle w:val="Bibliography"/>
      </w:pPr>
      <w:r>
        <w:t xml:space="preserve">64.</w:t>
      </w:r>
      <w:r>
        <w:t xml:space="preserve"> </w:t>
      </w:r>
      <w:r>
        <w:t xml:space="preserve">	</w:t>
      </w:r>
      <w:r>
        <w:t xml:space="preserve">Liese BS, Beck AT. Cognitive-</w:t>
      </w:r>
      <w:r>
        <w:t xml:space="preserve">Behavioral Therapy</w:t>
      </w:r>
      <w:r>
        <w:t xml:space="preserve"> </w:t>
      </w:r>
      <w:r>
        <w:t xml:space="preserve">of</w:t>
      </w:r>
      <w:r>
        <w:t xml:space="preserve"> </w:t>
      </w:r>
      <w:r>
        <w:t xml:space="preserve">Addictive Disorders</w:t>
      </w:r>
      <w:r>
        <w:t xml:space="preserve">. First edition. New York: The Guilford Press; 2022.</w:t>
      </w:r>
      <w:r>
        <w:t xml:space="preserve"> </w:t>
      </w:r>
    </w:p>
    <w:bookmarkEnd w:id="191"/>
    <w:bookmarkStart w:id="192" w:name="X8e0e943878d1a2c3026b4a46f6c482e09849b94"/>
    <w:p>
      <w:pPr>
        <w:pStyle w:val="Bibliography"/>
      </w:pPr>
      <w:r>
        <w:t xml:space="preserve">65.</w:t>
      </w:r>
      <w:r>
        <w:t xml:space="preserve"> </w:t>
      </w:r>
      <w:r>
        <w:t xml:space="preserve">	</w:t>
      </w:r>
      <w:r>
        <w:t xml:space="preserve">Center for Substance Abuse Treatment. Counselor’s</w:t>
      </w:r>
      <w:r>
        <w:t xml:space="preserve"> </w:t>
      </w:r>
      <w:r>
        <w:t xml:space="preserve">Treatment Manual</w:t>
      </w:r>
      <w:r>
        <w:t xml:space="preserve">:</w:t>
      </w:r>
      <w:r>
        <w:t xml:space="preserve"> </w:t>
      </w:r>
      <w:r>
        <w:t xml:space="preserve">Matrix Intensive Outpatient Treatment</w:t>
      </w:r>
      <w:r>
        <w:t xml:space="preserve"> </w:t>
      </w:r>
      <w:r>
        <w:t xml:space="preserve">for</w:t>
      </w:r>
      <w:r>
        <w:t xml:space="preserve"> </w:t>
      </w:r>
      <w:r>
        <w:t xml:space="preserve">People With Stimulant Use Disorders</w:t>
      </w:r>
      <w:r>
        <w:t xml:space="preserve">. Rockville, MD:</w:t>
      </w:r>
      <w:r>
        <w:t xml:space="preserve"> </w:t>
      </w:r>
      <w:r>
        <w:t xml:space="preserve">Substance Abuse and Mental Health Services Administration</w:t>
      </w:r>
      <w:r>
        <w:t xml:space="preserve">; 2006.</w:t>
      </w:r>
      <w:r>
        <w:t xml:space="preserve"> </w:t>
      </w:r>
    </w:p>
    <w:bookmarkEnd w:id="192"/>
    <w:bookmarkStart w:id="194" w:name="ref-fronkStressAllostasisSubstance2020"/>
    <w:p>
      <w:pPr>
        <w:pStyle w:val="Bibliography"/>
      </w:pPr>
      <w:r>
        <w:t xml:space="preserve">66.</w:t>
      </w:r>
      <w:r>
        <w:t xml:space="preserve"> </w:t>
      </w:r>
      <w:r>
        <w:t xml:space="preserve">	</w:t>
      </w:r>
      <w:r>
        <w:t xml:space="preserve">Fronk GE, Sant’Ana SJ, Kaye JT, Curtin JJ. 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 Annual Review of Clinical Psychology. 2020;16: 401–430. doi:</w:t>
      </w:r>
      <w:hyperlink r:id="rId193">
        <w:r>
          <w:rPr>
            <w:rStyle w:val="Hyperlink"/>
          </w:rPr>
          <w:t xml:space="preserve">10.1146/annurev-clinpsy-102419-125016</w:t>
        </w:r>
      </w:hyperlink>
    </w:p>
    <w:bookmarkEnd w:id="194"/>
    <w:bookmarkStart w:id="196" w:name="X9dfa929848d202736296032659cec14e42606bb"/>
    <w:p>
      <w:pPr>
        <w:pStyle w:val="Bibliography"/>
      </w:pPr>
      <w:r>
        <w:t xml:space="preserve">67.</w:t>
      </w:r>
      <w:r>
        <w:t xml:space="preserve"> </w:t>
      </w:r>
      <w:r>
        <w:t xml:space="preserve">	</w:t>
      </w:r>
      <w:r>
        <w:t xml:space="preserve">Jones A, Remmerswaal D, Verveer I, Robinson E, Franken IHA, Wen CKF, et al. Compliance with ecological momentary assessment protocols in substance users: A meta-analysis. Addiction (Abingdon, England). 2019;114: 609–619. doi:</w:t>
      </w:r>
      <w:hyperlink r:id="rId195">
        <w:r>
          <w:rPr>
            <w:rStyle w:val="Hyperlink"/>
          </w:rPr>
          <w:t xml:space="preserve">10/gfsjzg</w:t>
        </w:r>
      </w:hyperlink>
    </w:p>
    <w:bookmarkEnd w:id="196"/>
    <w:bookmarkStart w:id="198" w:name="ref-baeLeveragingMobilePhone2023"/>
    <w:p>
      <w:pPr>
        <w:pStyle w:val="Bibliography"/>
      </w:pPr>
      <w:r>
        <w:t xml:space="preserve">68.</w:t>
      </w:r>
      <w:r>
        <w:t xml:space="preserve"> </w:t>
      </w:r>
      <w:r>
        <w:t xml:space="preserve">	</w:t>
      </w:r>
      <w:r>
        <w:t xml:space="preserve">Bae SW, Suffoletto B, Zhang T, Chung T, Ozolcer M, Islam MR, et al. Leveraging</w:t>
      </w:r>
      <w:r>
        <w:t xml:space="preserve"> </w:t>
      </w:r>
      <w:r>
        <w:t xml:space="preserve">Mobile Phone Sensors</w:t>
      </w:r>
      <w:r>
        <w:t xml:space="preserve">,</w:t>
      </w:r>
      <w:r>
        <w:t xml:space="preserve"> </w:t>
      </w:r>
      <w:r>
        <w:t xml:space="preserve">Machine Learning</w:t>
      </w:r>
      <w:r>
        <w:t xml:space="preserve"> </w:t>
      </w:r>
      <w:r>
        <w:t xml:space="preserve">and</w:t>
      </w:r>
      <w:r>
        <w:t xml:space="preserve"> </w:t>
      </w:r>
      <w:r>
        <w:t xml:space="preserve">Explainable Artificial Intelligence</w:t>
      </w:r>
      <w:r>
        <w:t xml:space="preserve"> </w:t>
      </w:r>
      <w:r>
        <w:t xml:space="preserve">to</w:t>
      </w:r>
      <w:r>
        <w:t xml:space="preserve"> </w:t>
      </w:r>
      <w:r>
        <w:t xml:space="preserve">Predict Imminent Same-Day Binge Drinking Events</w:t>
      </w:r>
      <w:r>
        <w:t xml:space="preserve"> </w:t>
      </w:r>
      <w:r>
        <w:t xml:space="preserve">to</w:t>
      </w:r>
      <w:r>
        <w:t xml:space="preserve"> </w:t>
      </w:r>
      <w:r>
        <w:t xml:space="preserve">Support Just-In-Time Adaptive Interventions</w:t>
      </w:r>
      <w:r>
        <w:t xml:space="preserve">:</w:t>
      </w:r>
      <w:r>
        <w:t xml:space="preserve"> </w:t>
      </w:r>
      <w:r>
        <w:t xml:space="preserve">A Feasibility Study</w:t>
      </w:r>
      <w:r>
        <w:t xml:space="preserve">. JMIR formative research. 2023. doi:</w:t>
      </w:r>
      <w:hyperlink r:id="rId197">
        <w:r>
          <w:rPr>
            <w:rStyle w:val="Hyperlink"/>
          </w:rPr>
          <w:t xml:space="preserve">10.2196/39862</w:t>
        </w:r>
      </w:hyperlink>
    </w:p>
    <w:bookmarkEnd w:id="198"/>
    <w:bookmarkStart w:id="200" w:name="ref-huangActivityIdentificationGPS2010"/>
    <w:p>
      <w:pPr>
        <w:pStyle w:val="Bibliography"/>
      </w:pPr>
      <w:r>
        <w:t xml:space="preserve">69.</w:t>
      </w:r>
      <w:r>
        <w:t xml:space="preserve"> </w:t>
      </w:r>
      <w:r>
        <w:t xml:space="preserve">	</w:t>
      </w:r>
      <w:r>
        <w:t xml:space="preserve">Huang L, Li Q, Yue Y. 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 Proceedings of the 2nd</w:t>
      </w:r>
      <w:r>
        <w:t xml:space="preserve"> </w:t>
      </w:r>
      <w:r>
        <w:t xml:space="preserve">ACM SIGSPATIAL International Workshop</w:t>
      </w:r>
      <w:r>
        <w:t xml:space="preserve"> </w:t>
      </w:r>
      <w:r>
        <w:t xml:space="preserve">on</w:t>
      </w:r>
      <w:r>
        <w:t xml:space="preserve"> </w:t>
      </w:r>
      <w:r>
        <w:t xml:space="preserve">Location Based Social Networks</w:t>
      </w:r>
      <w:r>
        <w:t xml:space="preserve">. New York, NY, USA: Association for Computing Machinery; 2010. pp. 27–30. doi:</w:t>
      </w:r>
      <w:hyperlink r:id="rId199">
        <w:r>
          <w:rPr>
            <w:rStyle w:val="Hyperlink"/>
          </w:rPr>
          <w:t xml:space="preserve">10.1145/1867699.1867704</w:t>
        </w:r>
      </w:hyperlink>
    </w:p>
    <w:bookmarkEnd w:id="200"/>
    <w:bookmarkStart w:id="202" w:name="Xdcc3e6c1429a41e0448c7c169835e10027482a3"/>
    <w:p>
      <w:pPr>
        <w:pStyle w:val="Bibliography"/>
      </w:pPr>
      <w:r>
        <w:t xml:space="preserve">70.</w:t>
      </w:r>
      <w:r>
        <w:t xml:space="preserve"> </w:t>
      </w:r>
      <w:r>
        <w:t xml:space="preserve">	</w:t>
      </w:r>
      <w:r>
        <w:t xml:space="preserve">Xie K, Deng K, Zhou X. From trajectories to activities: A spatio-temporal join approach. Proceedings of the 2009</w:t>
      </w:r>
      <w:r>
        <w:t xml:space="preserve"> </w:t>
      </w:r>
      <w:r>
        <w:t xml:space="preserve">International Workshop</w:t>
      </w:r>
      <w:r>
        <w:t xml:space="preserve"> </w:t>
      </w:r>
      <w:r>
        <w:t xml:space="preserve">on</w:t>
      </w:r>
      <w:r>
        <w:t xml:space="preserve"> </w:t>
      </w:r>
      <w:r>
        <w:t xml:space="preserve">Location Based Social Networks</w:t>
      </w:r>
      <w:r>
        <w:t xml:space="preserve">. New York, NY, USA: Association for Computing Machinery; 2009. pp. 25–32. doi:</w:t>
      </w:r>
      <w:hyperlink r:id="rId201">
        <w:r>
          <w:rPr>
            <w:rStyle w:val="Hyperlink"/>
          </w:rPr>
          <w:t xml:space="preserve">10.1145/1629890.1629897</w:t>
        </w:r>
      </w:hyperlink>
    </w:p>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63" Target="media/rId63.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hyperlink" Id="rId85" Target="https://doi.org/10.1001/jama.284.13.1689" TargetMode="External" /><Relationship Type="http://schemas.openxmlformats.org/officeDocument/2006/relationships/hyperlink" Id="rId129" Target="https://doi.org/10.1001/jamanetworkopen.2020.5852" TargetMode="External" /><Relationship Type="http://schemas.openxmlformats.org/officeDocument/2006/relationships/hyperlink" Id="rId144" Target="https://doi.org/10.1007/978-1-4614-6849-3" TargetMode="External" /><Relationship Type="http://schemas.openxmlformats.org/officeDocument/2006/relationships/hyperlink" Id="rId105" Target="https://doi.org/10.1007/s10488-016-0718-5" TargetMode="External" /><Relationship Type="http://schemas.openxmlformats.org/officeDocument/2006/relationships/hyperlink" Id="rId157" Target="https://doi.org/10.1007/s10862-017-9632-8" TargetMode="External" /><Relationship Type="http://schemas.openxmlformats.org/officeDocument/2006/relationships/hyperlink" Id="rId109" Target="https://doi.org/10.1007/s11920-012-0296-5" TargetMode="External" /><Relationship Type="http://schemas.openxmlformats.org/officeDocument/2006/relationships/hyperlink" Id="rId187" Target="https://doi.org/10.1016/0740-5472(94)00080-b" TargetMode="External" /><Relationship Type="http://schemas.openxmlformats.org/officeDocument/2006/relationships/hyperlink" Id="rId151" Target="https://doi.org/10.1016/j.amepre.2022.08.022" TargetMode="External" /><Relationship Type="http://schemas.openxmlformats.org/officeDocument/2006/relationships/hyperlink" Id="rId107" Target="https://doi.org/10.1016/j.brat.2019.103506" TargetMode="External" /><Relationship Type="http://schemas.openxmlformats.org/officeDocument/2006/relationships/hyperlink" Id="rId168" Target="https://doi.org/10.1016/j.cpr.2005.11.003" TargetMode="External" /><Relationship Type="http://schemas.openxmlformats.org/officeDocument/2006/relationships/hyperlink" Id="rId101" Target="https://doi.org/10.1016/j.cpr.2007.01.002" TargetMode="External" /><Relationship Type="http://schemas.openxmlformats.org/officeDocument/2006/relationships/hyperlink" Id="rId170" Target="https://doi.org/10.1016/j.cpr.2017.10.012" TargetMode="External" /><Relationship Type="http://schemas.openxmlformats.org/officeDocument/2006/relationships/hyperlink" Id="rId133" Target="https://doi.org/10.1016/j.drugalcdep.2006.05.012" TargetMode="External" /><Relationship Type="http://schemas.openxmlformats.org/officeDocument/2006/relationships/hyperlink" Id="rId127" Target="https://doi.org/10.1016/j.drugalcdep.2019.05.017" TargetMode="External" /><Relationship Type="http://schemas.openxmlformats.org/officeDocument/2006/relationships/hyperlink" Id="rId178" Target="https://doi.org/10.1016/j.drugalcdep.2021.108706" TargetMode="External" /><Relationship Type="http://schemas.openxmlformats.org/officeDocument/2006/relationships/hyperlink" Id="rId124" Target="https://doi.org/10.1016/j.jsat.2021.108417" TargetMode="External" /><Relationship Type="http://schemas.openxmlformats.org/officeDocument/2006/relationships/hyperlink" Id="rId131" Target="https://doi.org/10.1016/j.jsat.2021.108710" TargetMode="External" /><Relationship Type="http://schemas.openxmlformats.org/officeDocument/2006/relationships/hyperlink" Id="rId189" Target="https://doi.org/10.1016/j.psc.2010.04.012" TargetMode="External" /><Relationship Type="http://schemas.openxmlformats.org/officeDocument/2006/relationships/hyperlink" Id="rId99" Target="https://doi.org/10.1037/0003-066X.59.4.224" TargetMode="External" /><Relationship Type="http://schemas.openxmlformats.org/officeDocument/2006/relationships/hyperlink" Id="rId122" Target="https://doi.org/10.1037/adb0000666" TargetMode="External" /><Relationship Type="http://schemas.openxmlformats.org/officeDocument/2006/relationships/hyperlink" Id="rId155" Target="https://doi.org/10.1037/ccp0000026" TargetMode="External" /><Relationship Type="http://schemas.openxmlformats.org/officeDocument/2006/relationships/hyperlink" Id="rId153" Target="https://doi.org/10.1080/00952990.2019.1694536" TargetMode="External" /><Relationship Type="http://schemas.openxmlformats.org/officeDocument/2006/relationships/hyperlink" Id="rId149" Target="https://doi.org/10.1093/jamia/ocy052" TargetMode="External" /><Relationship Type="http://schemas.openxmlformats.org/officeDocument/2006/relationships/hyperlink" Id="rId96" Target="https://doi.org/10.1111/add.13479" TargetMode="External" /><Relationship Type="http://schemas.openxmlformats.org/officeDocument/2006/relationships/hyperlink" Id="rId166"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99" Target="https://doi.org/10.1145/1867699.1867704" TargetMode="External" /><Relationship Type="http://schemas.openxmlformats.org/officeDocument/2006/relationships/hyperlink" Id="rId111" Target="https://doi.org/10.1146/annurev-clinpsy-032816-044949" TargetMode="External" /><Relationship Type="http://schemas.openxmlformats.org/officeDocument/2006/relationships/hyperlink" Id="rId193" Target="https://doi.org/10.1146/annurev-clinpsy-102419-125016" TargetMode="External" /><Relationship Type="http://schemas.openxmlformats.org/officeDocument/2006/relationships/hyperlink" Id="rId103" Target="https://doi.org/10.1146/annurev.clinpsy.3.022806.091455" TargetMode="External" /><Relationship Type="http://schemas.openxmlformats.org/officeDocument/2006/relationships/hyperlink" Id="rId172" Target="https://doi.org/10.1177/0261927X09351676" TargetMode="External" /><Relationship Type="http://schemas.openxmlformats.org/officeDocument/2006/relationships/hyperlink" Id="rId159" Target="https://doi.org/10.1177/1073191114540320" TargetMode="External" /><Relationship Type="http://schemas.openxmlformats.org/officeDocument/2006/relationships/hyperlink" Id="rId161" Target="https://doi.org/10.1177/1073191116653829" TargetMode="External" /><Relationship Type="http://schemas.openxmlformats.org/officeDocument/2006/relationships/hyperlink" Id="rId181" Target="https://doi.org/10.1177/1077558712458541" TargetMode="External" /><Relationship Type="http://schemas.openxmlformats.org/officeDocument/2006/relationships/hyperlink" Id="rId94" Target="https://doi.org/10.1177/1178221820976988" TargetMode="External" /><Relationship Type="http://schemas.openxmlformats.org/officeDocument/2006/relationships/hyperlink" Id="rId92" Target="https://doi.org/10.1377/hlthaff.20.6.64" TargetMode="External" /><Relationship Type="http://schemas.openxmlformats.org/officeDocument/2006/relationships/hyperlink" Id="rId142"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97" Target="https://doi.org/10.2196/39862" TargetMode="External" /><Relationship Type="http://schemas.openxmlformats.org/officeDocument/2006/relationships/hyperlink" Id="rId115" Target="https://doi.org/10.2196/41833" TargetMode="External" /><Relationship Type="http://schemas.openxmlformats.org/officeDocument/2006/relationships/hyperlink" Id="rId163" Target="https://doi.org/10.2196/73265" TargetMode="External" /><Relationship Type="http://schemas.openxmlformats.org/officeDocument/2006/relationships/hyperlink" Id="rId119" Target="https://doi.org/10.31234/osf.io/cgsf7" TargetMode="External" /><Relationship Type="http://schemas.openxmlformats.org/officeDocument/2006/relationships/hyperlink" Id="rId175" Target="https://doi.org/10.48550/arXiv.1810.04805" TargetMode="External" /><Relationship Type="http://schemas.openxmlformats.org/officeDocument/2006/relationships/hyperlink" Id="rId183" Target="https://doi.org/10.5555/ajhb.2007.31.supp.S47" TargetMode="External" /><Relationship Type="http://schemas.openxmlformats.org/officeDocument/2006/relationships/hyperlink" Id="rId185" Target="https://doi.org/10.7326/M14-0295" TargetMode="External" /><Relationship Type="http://schemas.openxmlformats.org/officeDocument/2006/relationships/hyperlink" Id="rId19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3" Target="https://jjcurtin.github.io/study_lag/notebooks\mak_figures-preview.html#cell-fig-4" TargetMode="External" /><Relationship Type="http://schemas.openxmlformats.org/officeDocument/2006/relationships/hyperlink" Id="rId67"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5" Target="https://jjcurtin.github.io/study_lag/notebooks\mak_figures-preview.html#cell-fig-pp" TargetMode="External" /><Relationship Type="http://schemas.openxmlformats.org/officeDocument/2006/relationships/hyperlink" Id="rId49" Target="https://jjcurtin.github.io/study_lag/notebooks\mak_tables-preview.html#cell-tbl-demohtml" TargetMode="External" /><Relationship Type="http://schemas.openxmlformats.org/officeDocument/2006/relationships/hyperlink" Id="rId61" Target="https://jjcurtin.github.io/study_lag/notebooks\mak_tables-preview.html#cell-tbl-fairness" TargetMode="External" /><Relationship Type="http://schemas.openxmlformats.org/officeDocument/2006/relationships/hyperlink" Id="rId58"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37"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01/jama.284.13.1689" TargetMode="External" /><Relationship Type="http://schemas.openxmlformats.org/officeDocument/2006/relationships/hyperlink" Id="rId129" Target="https://doi.org/10.1001/jamanetworkopen.2020.5852" TargetMode="External" /><Relationship Type="http://schemas.openxmlformats.org/officeDocument/2006/relationships/hyperlink" Id="rId144" Target="https://doi.org/10.1007/978-1-4614-6849-3" TargetMode="External" /><Relationship Type="http://schemas.openxmlformats.org/officeDocument/2006/relationships/hyperlink" Id="rId105" Target="https://doi.org/10.1007/s10488-016-0718-5" TargetMode="External" /><Relationship Type="http://schemas.openxmlformats.org/officeDocument/2006/relationships/hyperlink" Id="rId157" Target="https://doi.org/10.1007/s10862-017-9632-8" TargetMode="External" /><Relationship Type="http://schemas.openxmlformats.org/officeDocument/2006/relationships/hyperlink" Id="rId109" Target="https://doi.org/10.1007/s11920-012-0296-5" TargetMode="External" /><Relationship Type="http://schemas.openxmlformats.org/officeDocument/2006/relationships/hyperlink" Id="rId187" Target="https://doi.org/10.1016/0740-5472(94)00080-b" TargetMode="External" /><Relationship Type="http://schemas.openxmlformats.org/officeDocument/2006/relationships/hyperlink" Id="rId151" Target="https://doi.org/10.1016/j.amepre.2022.08.022" TargetMode="External" /><Relationship Type="http://schemas.openxmlformats.org/officeDocument/2006/relationships/hyperlink" Id="rId107" Target="https://doi.org/10.1016/j.brat.2019.103506" TargetMode="External" /><Relationship Type="http://schemas.openxmlformats.org/officeDocument/2006/relationships/hyperlink" Id="rId168" Target="https://doi.org/10.1016/j.cpr.2005.11.003" TargetMode="External" /><Relationship Type="http://schemas.openxmlformats.org/officeDocument/2006/relationships/hyperlink" Id="rId101" Target="https://doi.org/10.1016/j.cpr.2007.01.002" TargetMode="External" /><Relationship Type="http://schemas.openxmlformats.org/officeDocument/2006/relationships/hyperlink" Id="rId170" Target="https://doi.org/10.1016/j.cpr.2017.10.012" TargetMode="External" /><Relationship Type="http://schemas.openxmlformats.org/officeDocument/2006/relationships/hyperlink" Id="rId133" Target="https://doi.org/10.1016/j.drugalcdep.2006.05.012" TargetMode="External" /><Relationship Type="http://schemas.openxmlformats.org/officeDocument/2006/relationships/hyperlink" Id="rId127" Target="https://doi.org/10.1016/j.drugalcdep.2019.05.017" TargetMode="External" /><Relationship Type="http://schemas.openxmlformats.org/officeDocument/2006/relationships/hyperlink" Id="rId178" Target="https://doi.org/10.1016/j.drugalcdep.2021.108706" TargetMode="External" /><Relationship Type="http://schemas.openxmlformats.org/officeDocument/2006/relationships/hyperlink" Id="rId124" Target="https://doi.org/10.1016/j.jsat.2021.108417" TargetMode="External" /><Relationship Type="http://schemas.openxmlformats.org/officeDocument/2006/relationships/hyperlink" Id="rId131" Target="https://doi.org/10.1016/j.jsat.2021.108710" TargetMode="External" /><Relationship Type="http://schemas.openxmlformats.org/officeDocument/2006/relationships/hyperlink" Id="rId189" Target="https://doi.org/10.1016/j.psc.2010.04.012" TargetMode="External" /><Relationship Type="http://schemas.openxmlformats.org/officeDocument/2006/relationships/hyperlink" Id="rId99" Target="https://doi.org/10.1037/0003-066X.59.4.224" TargetMode="External" /><Relationship Type="http://schemas.openxmlformats.org/officeDocument/2006/relationships/hyperlink" Id="rId122" Target="https://doi.org/10.1037/adb0000666" TargetMode="External" /><Relationship Type="http://schemas.openxmlformats.org/officeDocument/2006/relationships/hyperlink" Id="rId155" Target="https://doi.org/10.1037/ccp0000026" TargetMode="External" /><Relationship Type="http://schemas.openxmlformats.org/officeDocument/2006/relationships/hyperlink" Id="rId153" Target="https://doi.org/10.1080/00952990.2019.1694536" TargetMode="External" /><Relationship Type="http://schemas.openxmlformats.org/officeDocument/2006/relationships/hyperlink" Id="rId149" Target="https://doi.org/10.1093/jamia/ocy052" TargetMode="External" /><Relationship Type="http://schemas.openxmlformats.org/officeDocument/2006/relationships/hyperlink" Id="rId96" Target="https://doi.org/10.1111/add.13479" TargetMode="External" /><Relationship Type="http://schemas.openxmlformats.org/officeDocument/2006/relationships/hyperlink" Id="rId166"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99" Target="https://doi.org/10.1145/1867699.1867704" TargetMode="External" /><Relationship Type="http://schemas.openxmlformats.org/officeDocument/2006/relationships/hyperlink" Id="rId111" Target="https://doi.org/10.1146/annurev-clinpsy-032816-044949" TargetMode="External" /><Relationship Type="http://schemas.openxmlformats.org/officeDocument/2006/relationships/hyperlink" Id="rId193" Target="https://doi.org/10.1146/annurev-clinpsy-102419-125016" TargetMode="External" /><Relationship Type="http://schemas.openxmlformats.org/officeDocument/2006/relationships/hyperlink" Id="rId103" Target="https://doi.org/10.1146/annurev.clinpsy.3.022806.091455" TargetMode="External" /><Relationship Type="http://schemas.openxmlformats.org/officeDocument/2006/relationships/hyperlink" Id="rId172" Target="https://doi.org/10.1177/0261927X09351676" TargetMode="External" /><Relationship Type="http://schemas.openxmlformats.org/officeDocument/2006/relationships/hyperlink" Id="rId159" Target="https://doi.org/10.1177/1073191114540320" TargetMode="External" /><Relationship Type="http://schemas.openxmlformats.org/officeDocument/2006/relationships/hyperlink" Id="rId161" Target="https://doi.org/10.1177/1073191116653829" TargetMode="External" /><Relationship Type="http://schemas.openxmlformats.org/officeDocument/2006/relationships/hyperlink" Id="rId181" Target="https://doi.org/10.1177/1077558712458541" TargetMode="External" /><Relationship Type="http://schemas.openxmlformats.org/officeDocument/2006/relationships/hyperlink" Id="rId94" Target="https://doi.org/10.1177/1178221820976988" TargetMode="External" /><Relationship Type="http://schemas.openxmlformats.org/officeDocument/2006/relationships/hyperlink" Id="rId92" Target="https://doi.org/10.1377/hlthaff.20.6.64" TargetMode="External" /><Relationship Type="http://schemas.openxmlformats.org/officeDocument/2006/relationships/hyperlink" Id="rId142"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97" Target="https://doi.org/10.2196/39862" TargetMode="External" /><Relationship Type="http://schemas.openxmlformats.org/officeDocument/2006/relationships/hyperlink" Id="rId115" Target="https://doi.org/10.2196/41833" TargetMode="External" /><Relationship Type="http://schemas.openxmlformats.org/officeDocument/2006/relationships/hyperlink" Id="rId163" Target="https://doi.org/10.2196/73265" TargetMode="External" /><Relationship Type="http://schemas.openxmlformats.org/officeDocument/2006/relationships/hyperlink" Id="rId119" Target="https://doi.org/10.31234/osf.io/cgsf7" TargetMode="External" /><Relationship Type="http://schemas.openxmlformats.org/officeDocument/2006/relationships/hyperlink" Id="rId175" Target="https://doi.org/10.48550/arXiv.1810.04805" TargetMode="External" /><Relationship Type="http://schemas.openxmlformats.org/officeDocument/2006/relationships/hyperlink" Id="rId183" Target="https://doi.org/10.5555/ajhb.2007.31.supp.S47" TargetMode="External" /><Relationship Type="http://schemas.openxmlformats.org/officeDocument/2006/relationships/hyperlink" Id="rId185" Target="https://doi.org/10.7326/M14-0295" TargetMode="External" /><Relationship Type="http://schemas.openxmlformats.org/officeDocument/2006/relationships/hyperlink" Id="rId19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3" Target="https://jjcurtin.github.io/study_lag/notebooks\mak_figures-preview.html#cell-fig-4" TargetMode="External" /><Relationship Type="http://schemas.openxmlformats.org/officeDocument/2006/relationships/hyperlink" Id="rId67"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5" Target="https://jjcurtin.github.io/study_lag/notebooks\mak_figures-preview.html#cell-fig-pp" TargetMode="External" /><Relationship Type="http://schemas.openxmlformats.org/officeDocument/2006/relationships/hyperlink" Id="rId49" Target="https://jjcurtin.github.io/study_lag/notebooks\mak_tables-preview.html#cell-tbl-demohtml" TargetMode="External" /><Relationship Type="http://schemas.openxmlformats.org/officeDocument/2006/relationships/hyperlink" Id="rId61" Target="https://jjcurtin.github.io/study_lag/notebooks\mak_tables-preview.html#cell-tbl-fairness" TargetMode="External" /><Relationship Type="http://schemas.openxmlformats.org/officeDocument/2006/relationships/hyperlink" Id="rId58"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37"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2025-10-29T15:45:21Z</dcterms:created>
  <dcterms:modified xsi:type="dcterms:W3CDTF">2025-10-29T15:45:21Z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plos-one.csl</vt:lpwstr>
  </property>
  <property fmtid="{D5CDD505-2E9C-101B-9397-08002B2CF9AE}" pid="11" name="date">
    <vt:lpwstr>2025-10-29</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