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2025-07-31</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logistic calibration</w:t>
      </w:r>
      <w:r>
        <w:t xml:space="preserve"> </w:t>
      </w:r>
      <w:r>
        <w:t xml:space="preserve">(Platt 1999)</w:t>
      </w:r>
      <w:r>
        <w:t xml:space="preserve">.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(.077 and .076 for the no lag and 2-week lag models, respectively).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(see histograms of raw probabilities in</w:t>
      </w:r>
      <w:r>
        <w:t xml:space="preserve"> </w:t>
      </w:r>
      <w:hyperlink w:anchor="fig-cal">
        <w:r>
          <w:rPr>
            <w:rStyle w:val="Hyperlink"/>
          </w:rPr>
          <w:t xml:space="preserve">Figure 3</w:t>
        </w:r>
      </w:hyperlink>
      <w:r>
        <w:t xml:space="preserve">).</w:t>
      </w:r>
    </w:p>
    <w:p>
      <w:pPr>
        <w:pStyle w:val="BodyText"/>
      </w:pPr>
      <w:r>
        <w:t xml:space="preserve">Logistic calibration showed excellent improvement to the no lag model with a brier score of .043. Calibration also improved probability accuracy for the 2 week model with a brier score .063.</w:t>
      </w:r>
      <w:r>
        <w:t xml:space="preserve"> </w:t>
      </w:r>
      <w:hyperlink w:anchor="fig-cal">
        <w:r>
          <w:rPr>
            <w:rStyle w:val="Hyperlink"/>
          </w:rPr>
          <w:t xml:space="preserve">Figure 3</w:t>
        </w:r>
      </w:hyperlink>
      <w:r>
        <w:t xml:space="preserve"> </w:t>
      </w:r>
      <w:r>
        <w:t xml:space="preserve">shows the calibration plots for the raw and calibrated probabilities for the no lag and 2-week lag model.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the solid black curves. Logistic calibrated probabilites are depicted as the pink dashed curves, respectively.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over lag time is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170" w:name="discussion"/>
    <w:p>
      <w:pPr>
        <w:pStyle w:val="Heading1"/>
      </w:pPr>
      <w:r>
        <w:t xml:space="preserve">Discussion</w:t>
      </w:r>
    </w:p>
    <w:bookmarkStart w:id="80" w:name="model-performance"/>
    <w:p>
      <w:pPr>
        <w:pStyle w:val="Heading2"/>
      </w:pPr>
      <w:r>
        <w:t xml:space="preserve">Model Performance</w:t>
      </w:r>
    </w:p>
    <w:p>
      <w:pPr>
        <w:pStyle w:val="FirstParagraph"/>
      </w:pPr>
      <w:r>
        <w:t xml:space="preserve">Our models performed exceptionally well. Our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substantially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that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(N = 20, 13%). Individuals below the poverty line were also underrepresented, though to a lesser degree (</w:t>
      </w:r>
      <w:r>
        <w:t xml:space="preserve">).</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in prep</w:t>
      </w:r>
      <w:r>
        <w:t xml:space="preserve"> </w:t>
      </w:r>
      <w:r>
        <w:t xml:space="preserve">)</w:t>
      </w:r>
      <w:r>
        <w:t xml:space="preserve">. In a separate project, we developed a national recruitment method that allowed us to recruit for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 [</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these subgroups could be upsampled (e.g., using the synthetic minority oversampling technique) or the cost functions used by the learning algorithms could be adjusted to differentially weight prediction errors based on participant characteristics. In another vein, modeling approaches that yield idiographic, person-specific models (</w:t>
      </w:r>
      <w:r>
        <w:t xml:space="preserve">)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 (</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represented in the training data (</w:t>
      </w:r>
      <w:r>
        <w:t xml:space="preserve">). Instead, this differential performance may have resulted from more fundamental problems with the features available to the model. We chose our EMA items using domain expertise from decades of research on the factors that predict relapse.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abuse treatment research due to their childbearing potential</w:t>
      </w:r>
      <w:r>
        <w:t xml:space="preserve"> </w:t>
      </w:r>
      <w:r>
        <w:t xml:space="preserve">(Vannicelli and Nash 1984)</w:t>
      </w:r>
      <w:r>
        <w:t xml:space="preserve">. As a result, it is possible that our theories about the causes and contributors to relapse is biased toward constructs that are more relevant from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topics modeling; BERT</w:t>
      </w:r>
      <w:r>
        <w:t xml:space="preserve"> </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 [</w:t>
      </w:r>
      <w:r>
        <w:t xml:space="preserve">] can be applied to models that perform well to bootstrap the identification new lapse risk constructs based on these novel features.</w:t>
      </w:r>
    </w:p>
    <w:p>
      <w:pPr>
        <w:pStyle w:val="BodyText"/>
      </w:pPr>
      <w:r>
        <w:t xml:space="preserve">Beyond issues of training data representation and lacunae and/or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does not necessarily confirm comparable reporting accuracy because it is possible that there were systematic differences in lapse rates across groups, that were masked by issues of trust.</w:t>
      </w:r>
    </w:p>
    <w:bookmarkEnd w:id="81"/>
    <w:bookmarkStart w:id="82" w:name="model-characterization-1"/>
    <w:p>
      <w:pPr>
        <w:pStyle w:val="Heading2"/>
      </w:pPr>
      <w:r>
        <w:t xml:space="preserve">Model Characterization</w:t>
      </w:r>
    </w:p>
    <w:p>
      <w:pPr>
        <w:pStyle w:val="FirstParagraph"/>
      </w:pPr>
      <w:r>
        <w:t xml:space="preserve">After applying a beta and logistic transformation to our predicted probabilities, we found that our models were generally well calibrated. Well-calibrated probabilities are important because they indicate that the predicted probability aligns closely with the true likelihood of an outcome (i.e., a lapse). Our baseline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w:t>
      </w:r>
      <w:r>
        <w:t xml:space="preserve"> </w:t>
      </w:r>
    </w:p>
    <w:p>
      <w:pPr>
        <w:pStyle w:val="BodyText"/>
      </w:pPr>
      <w:r>
        <w:t xml:space="preserve">Global feature importance indicates how important a feature category was to the model’s predictions, on average across all participants and all observations. The relative ordering of top global features remained somewhat consistent across models. Past use was the most important feature across all models. This is unsurprising given that our outcome was lapse and past behavior is often the best predictor of future behavior. This finding also supports decades of clinical research on relapse prevention, where lapses (i.e., single instances of goal inconsistent alcohol use) are seen as precursors to relapse (i.e., full return to harmful drinking)</w:t>
      </w:r>
      <w:r>
        <w:t xml:space="preserve"> </w:t>
      </w:r>
      <w:r>
        <w:t xml:space="preserve">(Marlatt and Gordon 1985)</w:t>
      </w:r>
      <w:r>
        <w:t xml:space="preserve">.</w:t>
      </w:r>
    </w:p>
    <w:p>
      <w:pPr>
        <w:pStyle w:val="BodyText"/>
      </w:pPr>
      <w:r>
        <w:t xml:space="preserve">There was evidence of changes in the magnitude of importance of top features by lag time. Past use was less important for the 2-week model compared to the no lag model. This may indicate that lapses back to alcohol use may be more predictive of additional immediate (i.e., in the next 24 hours) lapses. Lapses are common among people in recovery from substance use disorders and they do not on their own necessitate relapse. In treatment, lapses are often referred to as teachable moments where one can use the experience to motivate behavior changes that get them back on track</w:t>
      </w:r>
      <w:r>
        <w:t xml:space="preserve"> </w:t>
      </w:r>
      <w:r>
        <w:t xml:space="preserve">(Witkiewitz and Marlatt 2007)</w:t>
      </w:r>
      <w:r>
        <w:t xml:space="preserve">. Although, for a subset of individuals, lapses may precipitate a sustained period of frequent drinking episodes or even relapse. It is possible in this context, recent alcohol use would better predict immediate or more proximal lapse outcomes. Still, past use remained the most important feature in the 2 week model, suggesting that past behavioral patterns are still important predictors for near-future (i.e., in the next 2 weeks) outcomes.</w:t>
      </w:r>
    </w:p>
    <w:p>
      <w:pPr>
        <w:pStyle w:val="BodyText"/>
      </w:pPr>
      <w:r>
        <w:t xml:space="preserve">Future efficacy showed the most significant drop in importance from the no lag to the 2-week lag model. This EMA item asks participants to report the likelihood that they will drink in the next week. The steep drop in importance for this feature suggests people are not very good at making this prediction when looking forward into the future (i.e., beyond the next day). It could be that people assess their likelihood of drinking in the upcoming weeks based on their current state and circumstances. For example, someone who is having a stressful day and strong cravings may feel less confidence in their abstinence and generalize this to include the entire week. In reality, these are fluctuating states that will change several times over the week.</w:t>
      </w:r>
    </w:p>
    <w:p>
      <w:pPr>
        <w:pStyle w:val="BodyText"/>
      </w:pPr>
      <w:r>
        <w:t xml:space="preserve">The magnitude of importance for craving remained relatively stable, with a slight decrease for longer lagged models. This decrease is expected as cravings are known to be short in duration (i.e., less than 30 minutes) and therefore more likely to precipitate more immediate lapses. Additionally, all of our participants were in the early stages of alcohol use disorder recovery. Cravings are known to decrease in intensity and frequency the longer someone is stable in recovery, therefore we might expect this feature to become even less important for lagged models as someone progresses in their recovery.</w:t>
      </w:r>
    </w:p>
    <w:p>
      <w:pPr>
        <w:pStyle w:val="BodyText"/>
      </w:pPr>
      <w:r>
        <w:t xml:space="preserve">On the other hand, as lag time increased past/future risky situations increased in importance. This suggests that people may have good insight into the types of situations that put their recovery at risk and can reliably anticipate these risks (e.g., weekends, vacations, and anniversaries of significant dates).</w:t>
      </w:r>
    </w:p>
    <w:p>
      <w:pPr>
        <w:pStyle w:val="BodyText"/>
      </w:pPr>
      <w:r>
        <w:t xml:space="preserve">The reduced importance observed in the two top features, past use and future efficacy, likely contribute to the 2 week model’s lower performance. However, these descriptive representations of important features provide insight into additional features that can be used to augment longer-lagged models. For example, including features that reflect longer forward facing time frames (e.g., in the next month) and slower changing states (e.g., motivation) and environmental contexts (e.g., recovery capital) may help improve performance.</w:t>
      </w:r>
    </w:p>
    <w:p>
      <w:pPr>
        <w:pStyle w:val="BodyText"/>
      </w:pPr>
      <w:r>
        <w:t xml:space="preserve">Finally, local feature importance is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are important risk-relevant factors for some people on some days. This is promising as we move toward a goal of personalizing long-term recovery support.</w:t>
      </w:r>
    </w:p>
    <w:bookmarkEnd w:id="82"/>
    <w:bookmarkStart w:id="83"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3"/>
    <w:bookmarkStart w:id="84"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4"/>
    <w:bookmarkStart w:id="169" w:name="references"/>
    <w:p>
      <w:pPr>
        <w:pStyle w:val="Heading2"/>
      </w:pPr>
      <w:r>
        <w:t xml:space="preserve">References</w:t>
      </w:r>
    </w:p>
    <w:bookmarkStart w:id="168" w:name="refs"/>
    <w:bookmarkStart w:id="86"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5">
        <w:r>
          <w:rPr>
            <w:rStyle w:val="Hyperlink"/>
          </w:rPr>
          <w:t xml:space="preserve">https://doi.org/10.1007/s10488-016-0718-5</w:t>
        </w:r>
      </w:hyperlink>
      <w:r>
        <w:t xml:space="preserve">.</w:t>
      </w:r>
    </w:p>
    <w:bookmarkEnd w:id="86"/>
    <w:bookmarkStart w:id="87"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7"/>
    <w:bookmarkStart w:id="89"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8">
        <w:r>
          <w:rPr>
            <w:rStyle w:val="Hyperlink"/>
          </w:rPr>
          <w:t xml:space="preserve">https://doi.org/10.1146/annurev.clinpsy.3.022806.091455</w:t>
        </w:r>
      </w:hyperlink>
      <w:r>
        <w:t xml:space="preserve">.</w:t>
      </w:r>
    </w:p>
    <w:bookmarkEnd w:id="89"/>
    <w:bookmarkStart w:id="91"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0">
        <w:r>
          <w:rPr>
            <w:rStyle w:val="Hyperlink"/>
          </w:rPr>
          <w:t xml:space="preserve">https://doi.org/10.21231/GNT1-HW21</w:t>
        </w:r>
      </w:hyperlink>
      <w:r>
        <w:t xml:space="preserve">.</w:t>
      </w:r>
    </w:p>
    <w:bookmarkEnd w:id="91"/>
    <w:bookmarkStart w:id="92"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2"/>
    <w:bookmarkStart w:id="94" w:name="ref-dennisManagingAddictionChronic2007"/>
    <w:p>
      <w:pPr>
        <w:pStyle w:val="Bibliography"/>
      </w:pPr>
      <w:r>
        <w:t xml:space="preserve">Dennis, Michael, and Christy K Scott. 2007.</w:t>
      </w:r>
      <w:r>
        <w:t xml:space="preserve"> </w:t>
      </w:r>
      <w:r>
        <w:t xml:space="preserve">“</w:t>
      </w:r>
      <w:hyperlink r:id="rId9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4"/>
    <w:bookmarkStart w:id="95"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5"/>
    <w:bookmarkStart w:id="9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6">
        <w:r>
          <w:rPr>
            <w:rStyle w:val="Hyperlink"/>
          </w:rPr>
          <w:t xml:space="preserve">https://doi.org/10.1016/j.brat.2019.103506</w:t>
        </w:r>
      </w:hyperlink>
      <w:r>
        <w:t xml:space="preserve">.</w:t>
      </w:r>
    </w:p>
    <w:bookmarkEnd w:id="97"/>
    <w:bookmarkStart w:id="99"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98">
        <w:r>
          <w:rPr>
            <w:rStyle w:val="Hyperlink"/>
          </w:rPr>
          <w:t xml:space="preserve">https://doi.org/10.5555/ajhb.2007.31.supp.S47</w:t>
        </w:r>
      </w:hyperlink>
      <w:r>
        <w:t xml:space="preserve">.</w:t>
      </w:r>
    </w:p>
    <w:bookmarkEnd w:id="99"/>
    <w:bookmarkStart w:id="10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0"/>
    <w:bookmarkStart w:id="10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1"/>
    <w:bookmarkStart w:id="103"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2">
        <w:r>
          <w:rPr>
            <w:rStyle w:val="Hyperlink"/>
          </w:rPr>
          <w:t xml:space="preserve">https://doi.org/10.1016/j.drugalcdep.2006.05.012</w:t>
        </w:r>
      </w:hyperlink>
      <w:r>
        <w:t xml:space="preserve">.</w:t>
      </w:r>
    </w:p>
    <w:bookmarkEnd w:id="103"/>
    <w:bookmarkStart w:id="104"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4"/>
    <w:bookmarkStart w:id="105"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5"/>
    <w:bookmarkStart w:id="106"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6"/>
    <w:bookmarkStart w:id="108"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7">
        <w:r>
          <w:rPr>
            <w:rStyle w:val="Hyperlink"/>
          </w:rPr>
          <w:t xml:space="preserve">https://doi.org/10/gfsjzg</w:t>
        </w:r>
      </w:hyperlink>
      <w:r>
        <w:t xml:space="preserve">.</w:t>
      </w:r>
    </w:p>
    <w:bookmarkEnd w:id="108"/>
    <w:bookmarkStart w:id="110"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9">
        <w:r>
          <w:rPr>
            <w:rStyle w:val="Hyperlink"/>
          </w:rPr>
          <w:t xml:space="preserve">https://doi.org/10.1001/jamanetworkopen.2020.5852</w:t>
        </w:r>
      </w:hyperlink>
      <w:r>
        <w:t xml:space="preserve">.</w:t>
      </w:r>
    </w:p>
    <w:bookmarkEnd w:id="110"/>
    <w:bookmarkStart w:id="112"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1">
        <w:r>
          <w:rPr>
            <w:rStyle w:val="Hyperlink"/>
          </w:rPr>
          <w:t xml:space="preserve">https://doi.org/10.1007/s11920-012-0296-5</w:t>
        </w:r>
      </w:hyperlink>
      <w:r>
        <w:t xml:space="preserve">.</w:t>
      </w:r>
    </w:p>
    <w:bookmarkEnd w:id="112"/>
    <w:bookmarkStart w:id="113"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3"/>
    <w:bookmarkStart w:id="115"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4">
        <w:r>
          <w:rPr>
            <w:rStyle w:val="Hyperlink"/>
          </w:rPr>
          <w:t xml:space="preserve">https://doi.org/10.1007/978-1-4614-6849-3</w:t>
        </w:r>
      </w:hyperlink>
      <w:r>
        <w:t xml:space="preserve">.</w:t>
      </w:r>
    </w:p>
    <w:bookmarkEnd w:id="115"/>
    <w:bookmarkStart w:id="116"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6"/>
    <w:bookmarkStart w:id="117"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7"/>
    <w:bookmarkStart w:id="118"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8"/>
    <w:bookmarkStart w:id="119"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9"/>
    <w:bookmarkStart w:id="121"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20">
        <w:r>
          <w:rPr>
            <w:rStyle w:val="Hyperlink"/>
          </w:rPr>
          <w:t xml:space="preserve">https://doi.org/10.1016/j.cpr.2017.10.012</w:t>
        </w:r>
      </w:hyperlink>
      <w:r>
        <w:t xml:space="preserve">.</w:t>
      </w:r>
    </w:p>
    <w:bookmarkEnd w:id="121"/>
    <w:bookmarkStart w:id="123"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2">
        <w:r>
          <w:rPr>
            <w:rStyle w:val="Hyperlink"/>
          </w:rPr>
          <w:t xml:space="preserve">https://doi.org/10.1001/jama.284.13.1689</w:t>
        </w:r>
      </w:hyperlink>
      <w:r>
        <w:t xml:space="preserve">.</w:t>
      </w:r>
    </w:p>
    <w:bookmarkEnd w:id="123"/>
    <w:bookmarkStart w:id="125"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4">
        <w:r>
          <w:rPr>
            <w:rStyle w:val="Hyperlink"/>
          </w:rPr>
          <w:t xml:space="preserve">https://doi.org/10.1016/j.drugalcdep.2021.108706</w:t>
        </w:r>
      </w:hyperlink>
      <w:r>
        <w:t xml:space="preserve">.</w:t>
      </w:r>
    </w:p>
    <w:bookmarkEnd w:id="125"/>
    <w:bookmarkStart w:id="127"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6">
        <w:r>
          <w:rPr>
            <w:rStyle w:val="Hyperlink"/>
          </w:rPr>
          <w:t xml:space="preserve">https://doi.org/10.1146/annurev-clinpsy-032816-044949</w:t>
        </w:r>
      </w:hyperlink>
      <w:r>
        <w:t xml:space="preserve">.</w:t>
      </w:r>
    </w:p>
    <w:bookmarkEnd w:id="127"/>
    <w:bookmarkStart w:id="129"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8">
        <w:r>
          <w:rPr>
            <w:rStyle w:val="Hyperlink"/>
          </w:rPr>
          <w:t xml:space="preserve">https://doi.org/10.2196/29563</w:t>
        </w:r>
      </w:hyperlink>
      <w:r>
        <w:t xml:space="preserve">.</w:t>
      </w:r>
    </w:p>
    <w:bookmarkEnd w:id="129"/>
    <w:bookmarkStart w:id="13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0">
        <w:r>
          <w:rPr>
            <w:rStyle w:val="Hyperlink"/>
          </w:rPr>
          <w:t xml:space="preserve">https://doi.org/10.1016/j.jsat.2021.108710</w:t>
        </w:r>
      </w:hyperlink>
      <w:r>
        <w:t xml:space="preserve">.</w:t>
      </w:r>
    </w:p>
    <w:bookmarkEnd w:id="131"/>
    <w:bookmarkStart w:id="133"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2">
        <w:r>
          <w:rPr>
            <w:rStyle w:val="Hyperlink"/>
          </w:rPr>
          <w:t xml:space="preserve">https://doi.org/10.1016/j.drugalcdep.2019.05.017</w:t>
        </w:r>
      </w:hyperlink>
      <w:r>
        <w:t xml:space="preserve">.</w:t>
      </w:r>
    </w:p>
    <w:bookmarkEnd w:id="133"/>
    <w:bookmarkStart w:id="134"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34"/>
    <w:bookmarkStart w:id="135"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5"/>
    <w:bookmarkStart w:id="13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6"/>
    <w:bookmarkStart w:id="13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7">
        <w:r>
          <w:rPr>
            <w:rStyle w:val="Hyperlink"/>
          </w:rPr>
          <w:t xml:space="preserve">https://doi.org/10.1111/add.13479</w:t>
        </w:r>
      </w:hyperlink>
      <w:r>
        <w:t xml:space="preserve">.</w:t>
      </w:r>
    </w:p>
    <w:bookmarkEnd w:id="138"/>
    <w:bookmarkStart w:id="14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9">
        <w:r>
          <w:rPr>
            <w:rStyle w:val="Hyperlink"/>
          </w:rPr>
          <w:t xml:space="preserve">https://doi.org/10.1037/adb0000666</w:t>
        </w:r>
      </w:hyperlink>
      <w:r>
        <w:t xml:space="preserve">.</w:t>
      </w:r>
    </w:p>
    <w:bookmarkEnd w:id="140"/>
    <w:bookmarkStart w:id="14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1">
        <w:r>
          <w:rPr>
            <w:rStyle w:val="Hyperlink"/>
          </w:rPr>
          <w:t xml:space="preserve">https://doi.org/10.1177/1178221820976988</w:t>
        </w:r>
      </w:hyperlink>
      <w:r>
        <w:t xml:space="preserve">.</w:t>
      </w:r>
    </w:p>
    <w:bookmarkEnd w:id="142"/>
    <w:bookmarkStart w:id="14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3"/>
    <w:bookmarkStart w:id="14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4"/>
    <w:bookmarkStart w:id="146"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5">
        <w:r>
          <w:rPr>
            <w:rStyle w:val="Hyperlink"/>
          </w:rPr>
          <w:t xml:space="preserve">https://doi.org/10.1111/j.1530-0277.1984.tb05523.x</w:t>
        </w:r>
      </w:hyperlink>
      <w:r>
        <w:t xml:space="preserve">.</w:t>
      </w:r>
    </w:p>
    <w:bookmarkEnd w:id="146"/>
    <w:bookmarkStart w:id="148"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7">
        <w:r>
          <w:rPr>
            <w:rStyle w:val="Hyperlink"/>
          </w:rPr>
          <w:t xml:space="preserve">https://doi.org/10.1093/jamia/ocy052</w:t>
        </w:r>
      </w:hyperlink>
      <w:r>
        <w:t xml:space="preserve">.</w:t>
      </w:r>
    </w:p>
    <w:bookmarkEnd w:id="148"/>
    <w:bookmarkStart w:id="150"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49">
        <w:r>
          <w:rPr>
            <w:rStyle w:val="Hyperlink"/>
          </w:rPr>
          <w:t xml:space="preserve">https://doi.org/10.1016/j.cpr.2005.11.003</w:t>
        </w:r>
      </w:hyperlink>
      <w:r>
        <w:t xml:space="preserve">.</w:t>
      </w:r>
    </w:p>
    <w:bookmarkEnd w:id="150"/>
    <w:bookmarkStart w:id="15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1">
        <w:r>
          <w:rPr>
            <w:rStyle w:val="Hyperlink"/>
          </w:rPr>
          <w:t xml:space="preserve">https://doi.org/10.1016/j.jsat.2021.108417</w:t>
        </w:r>
      </w:hyperlink>
      <w:r>
        <w:t xml:space="preserve">.</w:t>
      </w:r>
    </w:p>
    <w:bookmarkEnd w:id="152"/>
    <w:bookmarkStart w:id="154" w:name="X2d30c84041d97351f676569bf3de3da0c8a9d6d"/>
    <w:p>
      <w:pPr>
        <w:pStyle w:val="Bibliography"/>
      </w:pPr>
      <w:r>
        <w:t xml:space="preserve">WHO ASSIST Working Group. 2002.</w:t>
      </w:r>
      <w:r>
        <w:t xml:space="preserve"> </w:t>
      </w:r>
      <w:r>
        <w:t xml:space="preserve">“</w:t>
      </w:r>
      <w:hyperlink r:id="rId15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4"/>
    <w:bookmarkStart w:id="15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5">
        <w:r>
          <w:rPr>
            <w:rStyle w:val="Hyperlink"/>
          </w:rPr>
          <w:t xml:space="preserve">https://doi.org/10.1037/0003-066X.59.4.224</w:t>
        </w:r>
      </w:hyperlink>
      <w:r>
        <w:t xml:space="preserve">.</w:t>
      </w:r>
    </w:p>
    <w:bookmarkEnd w:id="156"/>
    <w:bookmarkStart w:id="15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7">
        <w:r>
          <w:rPr>
            <w:rStyle w:val="Hyperlink"/>
          </w:rPr>
          <w:t xml:space="preserve">https://doi.org/10.1016/j.cpr.2007.01.002</w:t>
        </w:r>
      </w:hyperlink>
      <w:r>
        <w:t xml:space="preserve">.</w:t>
      </w:r>
    </w:p>
    <w:bookmarkEnd w:id="158"/>
    <w:bookmarkStart w:id="16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59">
        <w:r>
          <w:rPr>
            <w:rStyle w:val="Hyperlink"/>
          </w:rPr>
          <w:t xml:space="preserve">https://doi.org/10.2196/41833</w:t>
        </w:r>
      </w:hyperlink>
      <w:r>
        <w:t xml:space="preserve">.</w:t>
      </w:r>
    </w:p>
    <w:bookmarkEnd w:id="160"/>
    <w:bookmarkStart w:id="16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1">
        <w:r>
          <w:rPr>
            <w:rStyle w:val="Hyperlink"/>
          </w:rPr>
          <w:t xml:space="preserve">https://doi.org/10.31234/osf.io/cgsf7</w:t>
        </w:r>
      </w:hyperlink>
      <w:r>
        <w:t xml:space="preserve">.</w:t>
      </w:r>
    </w:p>
    <w:bookmarkEnd w:id="162"/>
    <w:bookmarkStart w:id="163" w:name="X3f67f11df296341e595ed74232696d3a94ce536"/>
    <w:p>
      <w:pPr>
        <w:pStyle w:val="Bibliography"/>
      </w:pPr>
      <w:r>
        <w:t xml:space="preserve">Wyant, Kendra, Sarah Sant’Ana, Claire Punturieri, Jiachen Yu, Gaylen Fronk, Rachel Kornfield, Lyn Van Swol,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3"/>
    <w:bookmarkStart w:id="165"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4">
        <w:r>
          <w:rPr>
            <w:rStyle w:val="Hyperlink"/>
          </w:rPr>
          <w:t xml:space="preserve">https://doi.org/10.1177/1077558712458541</w:t>
        </w:r>
      </w:hyperlink>
      <w:r>
        <w:t xml:space="preserve">.</w:t>
      </w:r>
    </w:p>
    <w:bookmarkEnd w:id="165"/>
    <w:bookmarkStart w:id="167"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6">
        <w:r>
          <w:rPr>
            <w:rStyle w:val="Hyperlink"/>
          </w:rPr>
          <w:t xml:space="preserve">https://doi.org/10.7326/M14-0295</w:t>
        </w:r>
      </w:hyperlink>
      <w:r>
        <w:t xml:space="preserve">.</w:t>
      </w:r>
    </w:p>
    <w:bookmarkEnd w:id="167"/>
    <w:bookmarkEnd w:id="168"/>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2" Target="https://doi.org/10.1001/jama.284.13.1689" TargetMode="External" /><Relationship Type="http://schemas.openxmlformats.org/officeDocument/2006/relationships/hyperlink" Id="rId109" Target="https://doi.org/10.1001/jamanetworkopen.2020.5852" TargetMode="External" /><Relationship Type="http://schemas.openxmlformats.org/officeDocument/2006/relationships/hyperlink" Id="rId114" Target="https://doi.org/10.1007/978-1-4614-6849-3" TargetMode="External" /><Relationship Type="http://schemas.openxmlformats.org/officeDocument/2006/relationships/hyperlink" Id="rId85" Target="https://doi.org/10.1007/s10488-016-0718-5" TargetMode="External" /><Relationship Type="http://schemas.openxmlformats.org/officeDocument/2006/relationships/hyperlink" Id="rId111" Target="https://doi.org/10.1007/s11920-012-0296-5" TargetMode="External" /><Relationship Type="http://schemas.openxmlformats.org/officeDocument/2006/relationships/hyperlink" Id="rId96" Target="https://doi.org/10.1016/j.brat.2019.103506" TargetMode="External" /><Relationship Type="http://schemas.openxmlformats.org/officeDocument/2006/relationships/hyperlink" Id="rId149" Target="https://doi.org/10.1016/j.cpr.2005.11.003" TargetMode="External" /><Relationship Type="http://schemas.openxmlformats.org/officeDocument/2006/relationships/hyperlink" Id="rId157" Target="https://doi.org/10.1016/j.cpr.2007.01.002" TargetMode="External" /><Relationship Type="http://schemas.openxmlformats.org/officeDocument/2006/relationships/hyperlink" Id="rId120" Target="https://doi.org/10.1016/j.cpr.2017.10.012" TargetMode="External" /><Relationship Type="http://schemas.openxmlformats.org/officeDocument/2006/relationships/hyperlink" Id="rId102" Target="https://doi.org/10.1016/j.drugalcdep.2006.05.012" TargetMode="External" /><Relationship Type="http://schemas.openxmlformats.org/officeDocument/2006/relationships/hyperlink" Id="rId132" Target="https://doi.org/10.1016/j.drugalcdep.2019.05.017" TargetMode="External" /><Relationship Type="http://schemas.openxmlformats.org/officeDocument/2006/relationships/hyperlink" Id="rId124" Target="https://doi.org/10.1016/j.drugalcdep.2021.108706" TargetMode="External" /><Relationship Type="http://schemas.openxmlformats.org/officeDocument/2006/relationships/hyperlink" Id="rId151" Target="https://doi.org/10.1016/j.jsat.2021.108417" TargetMode="External" /><Relationship Type="http://schemas.openxmlformats.org/officeDocument/2006/relationships/hyperlink" Id="rId130" Target="https://doi.org/10.1016/j.jsat.2021.108710" TargetMode="External" /><Relationship Type="http://schemas.openxmlformats.org/officeDocument/2006/relationships/hyperlink" Id="rId155" Target="https://doi.org/10.1037/0003-066X.59.4.224" TargetMode="External" /><Relationship Type="http://schemas.openxmlformats.org/officeDocument/2006/relationships/hyperlink" Id="rId139" Target="https://doi.org/10.1037/adb0000666" TargetMode="External" /><Relationship Type="http://schemas.openxmlformats.org/officeDocument/2006/relationships/hyperlink" Id="rId147" Target="https://doi.org/10.1093/jamia/ocy052" TargetMode="External" /><Relationship Type="http://schemas.openxmlformats.org/officeDocument/2006/relationships/hyperlink" Id="rId137" Target="https://doi.org/10.1111/add.13479" TargetMode="External" /><Relationship Type="http://schemas.openxmlformats.org/officeDocument/2006/relationships/hyperlink" Id="rId145" Target="https://doi.org/10.1111/j.1530-0277.1984.tb05523.x" TargetMode="External" /><Relationship Type="http://schemas.openxmlformats.org/officeDocument/2006/relationships/hyperlink" Id="rId126" Target="https://doi.org/10.1146/annurev-clinpsy-032816-044949" TargetMode="External" /><Relationship Type="http://schemas.openxmlformats.org/officeDocument/2006/relationships/hyperlink" Id="rId88" Target="https://doi.org/10.1146/annurev.clinpsy.3.022806.091455" TargetMode="External" /><Relationship Type="http://schemas.openxmlformats.org/officeDocument/2006/relationships/hyperlink" Id="rId164" Target="https://doi.org/10.1177/1077558712458541" TargetMode="External" /><Relationship Type="http://schemas.openxmlformats.org/officeDocument/2006/relationships/hyperlink" Id="rId141" Target="https://doi.org/10.1177/1178221820976988" TargetMode="External" /><Relationship Type="http://schemas.openxmlformats.org/officeDocument/2006/relationships/hyperlink" Id="rId90" Target="https://doi.org/10.21231/GNT1-HW21" TargetMode="External" /><Relationship Type="http://schemas.openxmlformats.org/officeDocument/2006/relationships/hyperlink" Id="rId128" Target="https://doi.org/10.2196/29563" TargetMode="External" /><Relationship Type="http://schemas.openxmlformats.org/officeDocument/2006/relationships/hyperlink" Id="rId159" Target="https://doi.org/10.2196/41833" TargetMode="External" /><Relationship Type="http://schemas.openxmlformats.org/officeDocument/2006/relationships/hyperlink" Id="rId161" Target="https://doi.org/10.31234/osf.io/cgsf7" TargetMode="External" /><Relationship Type="http://schemas.openxmlformats.org/officeDocument/2006/relationships/hyperlink" Id="rId98" Target="https://doi.org/10.5555/ajhb.2007.31.supp.S47" TargetMode="External" /><Relationship Type="http://schemas.openxmlformats.org/officeDocument/2006/relationships/hyperlink" Id="rId166" Target="https://doi.org/10.7326/M14-0295" TargetMode="External" /><Relationship Type="http://schemas.openxmlformats.org/officeDocument/2006/relationships/hyperlink" Id="rId10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3" Target="https://www.ncbi.nlm.nih.gov/pmc/articles/PMC2797101" TargetMode="External" /><Relationship Type="http://schemas.openxmlformats.org/officeDocument/2006/relationships/hyperlink" Id="rId15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2" Target="https://doi.org/10.1001/jama.284.13.1689" TargetMode="External" /><Relationship Type="http://schemas.openxmlformats.org/officeDocument/2006/relationships/hyperlink" Id="rId109" Target="https://doi.org/10.1001/jamanetworkopen.2020.5852" TargetMode="External" /><Relationship Type="http://schemas.openxmlformats.org/officeDocument/2006/relationships/hyperlink" Id="rId114" Target="https://doi.org/10.1007/978-1-4614-6849-3" TargetMode="External" /><Relationship Type="http://schemas.openxmlformats.org/officeDocument/2006/relationships/hyperlink" Id="rId85" Target="https://doi.org/10.1007/s10488-016-0718-5" TargetMode="External" /><Relationship Type="http://schemas.openxmlformats.org/officeDocument/2006/relationships/hyperlink" Id="rId111" Target="https://doi.org/10.1007/s11920-012-0296-5" TargetMode="External" /><Relationship Type="http://schemas.openxmlformats.org/officeDocument/2006/relationships/hyperlink" Id="rId96" Target="https://doi.org/10.1016/j.brat.2019.103506" TargetMode="External" /><Relationship Type="http://schemas.openxmlformats.org/officeDocument/2006/relationships/hyperlink" Id="rId149" Target="https://doi.org/10.1016/j.cpr.2005.11.003" TargetMode="External" /><Relationship Type="http://schemas.openxmlformats.org/officeDocument/2006/relationships/hyperlink" Id="rId157" Target="https://doi.org/10.1016/j.cpr.2007.01.002" TargetMode="External" /><Relationship Type="http://schemas.openxmlformats.org/officeDocument/2006/relationships/hyperlink" Id="rId120" Target="https://doi.org/10.1016/j.cpr.2017.10.012" TargetMode="External" /><Relationship Type="http://schemas.openxmlformats.org/officeDocument/2006/relationships/hyperlink" Id="rId102" Target="https://doi.org/10.1016/j.drugalcdep.2006.05.012" TargetMode="External" /><Relationship Type="http://schemas.openxmlformats.org/officeDocument/2006/relationships/hyperlink" Id="rId132" Target="https://doi.org/10.1016/j.drugalcdep.2019.05.017" TargetMode="External" /><Relationship Type="http://schemas.openxmlformats.org/officeDocument/2006/relationships/hyperlink" Id="rId124" Target="https://doi.org/10.1016/j.drugalcdep.2021.108706" TargetMode="External" /><Relationship Type="http://schemas.openxmlformats.org/officeDocument/2006/relationships/hyperlink" Id="rId151" Target="https://doi.org/10.1016/j.jsat.2021.108417" TargetMode="External" /><Relationship Type="http://schemas.openxmlformats.org/officeDocument/2006/relationships/hyperlink" Id="rId130" Target="https://doi.org/10.1016/j.jsat.2021.108710" TargetMode="External" /><Relationship Type="http://schemas.openxmlformats.org/officeDocument/2006/relationships/hyperlink" Id="rId155" Target="https://doi.org/10.1037/0003-066X.59.4.224" TargetMode="External" /><Relationship Type="http://schemas.openxmlformats.org/officeDocument/2006/relationships/hyperlink" Id="rId139" Target="https://doi.org/10.1037/adb0000666" TargetMode="External" /><Relationship Type="http://schemas.openxmlformats.org/officeDocument/2006/relationships/hyperlink" Id="rId147" Target="https://doi.org/10.1093/jamia/ocy052" TargetMode="External" /><Relationship Type="http://schemas.openxmlformats.org/officeDocument/2006/relationships/hyperlink" Id="rId137" Target="https://doi.org/10.1111/add.13479" TargetMode="External" /><Relationship Type="http://schemas.openxmlformats.org/officeDocument/2006/relationships/hyperlink" Id="rId145" Target="https://doi.org/10.1111/j.1530-0277.1984.tb05523.x" TargetMode="External" /><Relationship Type="http://schemas.openxmlformats.org/officeDocument/2006/relationships/hyperlink" Id="rId126" Target="https://doi.org/10.1146/annurev-clinpsy-032816-044949" TargetMode="External" /><Relationship Type="http://schemas.openxmlformats.org/officeDocument/2006/relationships/hyperlink" Id="rId88" Target="https://doi.org/10.1146/annurev.clinpsy.3.022806.091455" TargetMode="External" /><Relationship Type="http://schemas.openxmlformats.org/officeDocument/2006/relationships/hyperlink" Id="rId164" Target="https://doi.org/10.1177/1077558712458541" TargetMode="External" /><Relationship Type="http://schemas.openxmlformats.org/officeDocument/2006/relationships/hyperlink" Id="rId141" Target="https://doi.org/10.1177/1178221820976988" TargetMode="External" /><Relationship Type="http://schemas.openxmlformats.org/officeDocument/2006/relationships/hyperlink" Id="rId90" Target="https://doi.org/10.21231/GNT1-HW21" TargetMode="External" /><Relationship Type="http://schemas.openxmlformats.org/officeDocument/2006/relationships/hyperlink" Id="rId128" Target="https://doi.org/10.2196/29563" TargetMode="External" /><Relationship Type="http://schemas.openxmlformats.org/officeDocument/2006/relationships/hyperlink" Id="rId159" Target="https://doi.org/10.2196/41833" TargetMode="External" /><Relationship Type="http://schemas.openxmlformats.org/officeDocument/2006/relationships/hyperlink" Id="rId161" Target="https://doi.org/10.31234/osf.io/cgsf7" TargetMode="External" /><Relationship Type="http://schemas.openxmlformats.org/officeDocument/2006/relationships/hyperlink" Id="rId98" Target="https://doi.org/10.5555/ajhb.2007.31.supp.S47" TargetMode="External" /><Relationship Type="http://schemas.openxmlformats.org/officeDocument/2006/relationships/hyperlink" Id="rId166" Target="https://doi.org/10.7326/M14-0295" TargetMode="External" /><Relationship Type="http://schemas.openxmlformats.org/officeDocument/2006/relationships/hyperlink" Id="rId10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3" Target="https://www.ncbi.nlm.nih.gov/pmc/articles/PMC2797101" TargetMode="External" /><Relationship Type="http://schemas.openxmlformats.org/officeDocument/2006/relationships/hyperlink" Id="rId15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2025-07-31T19:09:44Z</dcterms:created>
  <dcterms:modified xsi:type="dcterms:W3CDTF">2025-07-31T19:09:44Z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2025-07-31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