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3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 Predictions of Next Day Alcohol Use for Adaptive and Personalized Continuing Care</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2025-02-19</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non-advantaged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et al.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0"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n.d.)</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49"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start of the prediction window.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8"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6" w:name="fairness-analyses"/>
    <w:p>
      <w:pPr>
        <w:pStyle w:val="Heading4"/>
      </w:pPr>
      <w:r>
        <w:t xml:space="preserve">Fairness Analyses</w:t>
      </w:r>
    </w:p>
    <w:p>
      <w:pPr>
        <w:pStyle w:val="FirstParagraph"/>
      </w:pPr>
      <w:r>
        <w:t xml:space="preserve">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r>
        <w:rPr>
          <w:rStyle w:val="FootnoteReference"/>
        </w:rPr>
        <w:footnoteReference w:id="45"/>
      </w:r>
    </w:p>
    <w:bookmarkEnd w:id="46"/>
    <w:bookmarkStart w:id="47"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7"/>
    <w:bookmarkEnd w:id="48"/>
    <w:bookmarkEnd w:id="49"/>
    <w:bookmarkEnd w:id="50"/>
    <w:bookmarkStart w:id="146" w:name="results"/>
    <w:p>
      <w:pPr>
        <w:pStyle w:val="Heading1"/>
      </w:pPr>
      <w:r>
        <w:t xml:space="preserve">Results</w:t>
      </w:r>
    </w:p>
    <w:bookmarkStart w:id="53"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1"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1"/>
          <w:p/>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Make All Tables for Main Manuscript</w:t>
        </w:r>
      </w:hyperlink>
    </w:p>
    <w:bookmarkEnd w:id="53"/>
    <w:bookmarkStart w:id="59"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0.90 (no lag), 0.88 (1-day lag), 0.87 (3-day lag), 0.86 (1-week lag), and 0.84 (2-week lag). These values represent our best estimates for the magnitude of the auROC parameter for each model. The 95% Bayesian CI for the auROCs for these models were relatively narrow and did not contain 0.5: no lag [0.88-0.92], 1-day lag [0.86-0.90], 3-day lag [0.85-0.89], 1-week lag [0.84-0.88], 2-week lag [0.81-0.86].</w:t>
      </w:r>
    </w:p>
    <w:tbl>
      <w:tblPr>
        <w:tblStyle w:val="Table"/>
        <w:tblW w:type="pct" w:w="5000"/>
        <w:tblLayout w:type="fixed"/>
        <w:tblLook w:firstRow="0" w:lastRow="0" w:firstColumn="0" w:lastColumn="0" w:noHBand="0" w:noVBand="0" w:val="0000"/>
      </w:tblPr>
      <w:tblGrid>
        <w:gridCol w:w="7920"/>
      </w:tblGrid>
      <w:tr>
        <w:tc>
          <w:tcPr/>
          <w:bookmarkStart w:id="57" w:name="fig-pp"/>
          <w:p>
            <w:pPr>
              <w:pStyle w:val="Compact"/>
              <w:jc w:val="center"/>
            </w:pPr>
            <w:r>
              <w:drawing>
                <wp:inline>
                  <wp:extent cx="5334000" cy="4572000"/>
                  <wp:effectExtent b="0" l="0" r="0" t="0"/>
                  <wp:docPr descr="" title="" id="55" name="Picture"/>
                  <a:graphic>
                    <a:graphicData uri="http://schemas.openxmlformats.org/drawingml/2006/picture">
                      <pic:pic>
                        <pic:nvPicPr>
                          <pic:cNvPr descr="index_files/figure-docx/notebooks-mak_figures-fig-pp-output-1.png" id="56" name="Picture"/>
                          <pic:cNvPicPr>
                            <a:picLocks noChangeArrowheads="1" noChangeAspect="1"/>
                          </pic:cNvPicPr>
                        </pic:nvPicPr>
                        <pic:blipFill>
                          <a:blip r:embed="rId54"/>
                          <a:stretch>
                            <a:fillRect/>
                          </a:stretch>
                        </pic:blipFill>
                        <pic:spPr bwMode="auto">
                          <a:xfrm>
                            <a:off x="0" y="0"/>
                            <a:ext cx="5334000" cy="457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Horizonatal lines depict 95% Bayesian credible intervals (CI) and vertical solid lines depict median posterior probability for auROC. Vertical dashed line represents expected performance from a random classifier (.5 auROC).</w:t>
            </w:r>
          </w:p>
          <w:bookmarkEnd w:id="57"/>
        </w:tc>
      </w:tr>
    </w:tbl>
    <w:p>
      <w:pPr>
        <w:pStyle w:val="BodyText"/>
      </w:pPr>
      <w:r>
        <w:rPr>
          <w:vertAlign w:val="subscript"/>
        </w:rPr>
        <w:t xml:space="preserve">Source:</w:t>
      </w:r>
      <w:r>
        <w:rPr>
          <w:vertAlign w:val="subscript"/>
        </w:rPr>
        <w:t xml:space="preserve"> </w:t>
      </w:r>
      <w:hyperlink r:id="rId58">
        <w:r>
          <w:rPr>
            <w:rStyle w:val="Hyperlink"/>
            <w:vertAlign w:val="subscript"/>
          </w:rPr>
          <w:t xml:space="preserve">Make All Figures for Main Manuscript</w:t>
        </w:r>
      </w:hyperlink>
    </w:p>
    <w:bookmarkEnd w:id="59"/>
    <w:bookmarkStart w:id="62"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Median auROC differences greater than 0 indicate the more immediate model, on average, out-performed the more lagged model (e.g., no lag - 1-day lag, 1-day lag - 3-day lag). There was strong evidence (probabilities &gt; .98)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0"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w:t>
                  </w:r>
                </w:p>
              </w:tc>
              <w:tc>
                <w:tcPr/>
                <w:p>
                  <w:pPr>
                    <w:pStyle w:val="Compact"/>
                    <w:jc w:val="left"/>
                    <w:jc w:val="center"/>
                  </w:pPr>
                  <w:r>
                    <w:t xml:space="preserve">[0.013, 0.027]</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0.032</w:t>
                  </w:r>
                </w:p>
              </w:tc>
              <w:tc>
                <w:tcPr/>
                <w:p>
                  <w:pPr>
                    <w:pStyle w:val="Compact"/>
                    <w:jc w:val="left"/>
                    <w:jc w:val="center"/>
                  </w:pPr>
                  <w:r>
                    <w:t xml:space="preserve">[0.025, 0.04]</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[0.035, 0.052]</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[0.053, 0.073]</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0.012</w:t>
                  </w:r>
                </w:p>
              </w:tc>
              <w:tc>
                <w:tcPr/>
                <w:p>
                  <w:pPr>
                    <w:pStyle w:val="Compact"/>
                    <w:jc w:val="left"/>
                    <w:jc w:val="center"/>
                  </w:pPr>
                  <w:r>
                    <w:t xml:space="preserve">[0.005, 0.02]</w:t>
                  </w:r>
                </w:p>
              </w:tc>
              <w:tc>
                <w:tcPr/>
                <w:p>
                  <w:pPr>
                    <w:pStyle w:val="Compact"/>
                    <w:jc w:val="left"/>
                    <w:jc w:val="center"/>
                  </w:pPr>
                  <w:r>
                    <w:t xml:space="preserve">0.999</w:t>
                  </w:r>
                </w:p>
              </w:tc>
            </w:tr>
            <w:tr>
              <w:tc>
                <w:tcPr/>
                <w:p>
                  <w:pPr>
                    <w:pStyle w:val="Compact"/>
                    <w:jc w:val="left"/>
                    <w:jc w:val="center"/>
                  </w:pPr>
                  <w:r>
                    <w:t xml:space="preserve">3 days vs. 1 week</w:t>
                  </w:r>
                </w:p>
              </w:tc>
              <w:tc>
                <w:tcPr/>
                <w:p>
                  <w:pPr>
                    <w:pStyle w:val="Compact"/>
                    <w:jc w:val="left"/>
                    <w:jc w:val="center"/>
                  </w:pPr>
                  <w:r>
                    <w:t xml:space="preserve">0.011</w:t>
                  </w:r>
                </w:p>
              </w:tc>
              <w:tc>
                <w:tcPr/>
                <w:p>
                  <w:pPr>
                    <w:pStyle w:val="Compact"/>
                    <w:jc w:val="left"/>
                    <w:jc w:val="center"/>
                  </w:pPr>
                  <w:r>
                    <w:t xml:space="preserve">[0.003, 0.018]</w:t>
                  </w:r>
                </w:p>
              </w:tc>
              <w:tc>
                <w:tcPr/>
                <w:p>
                  <w:pPr>
                    <w:pStyle w:val="Compact"/>
                    <w:jc w:val="left"/>
                    <w:jc w:val="center"/>
                  </w:pPr>
                  <w:r>
                    <w:t xml:space="preserve">0.989</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[0.011, 0.029]</w:t>
                  </w:r>
                </w:p>
              </w:tc>
              <w:tc>
                <w:tcPr/>
                <w:p>
                  <w:pPr>
                    <w:pStyle w:val="Compact"/>
                    <w:jc w:val="left"/>
                    <w:jc w:val="center"/>
                  </w:pPr>
                  <w:r>
                    <w:t xml:space="preserve">1</w:t>
                  </w:r>
                </w:p>
              </w:tc>
            </w:tr>
            <w:tr>
              <w:tc>
                <w:tcPr/>
                <w:p>
                  <w:pPr>
                    <w:pStyle w:val="Compact"/>
                    <w:jc w:val="left"/>
                    <w:jc w:val="center"/>
                  </w:pPr>
                  <w:r>
                    <w:t xml:space="preserve"> </w:t>
                  </w:r>
                  <w:r>
                    <w:t xml:space="preserve">Median auROC differences greater than 0 indicate the more immediate model, on average, out-performed the more lagged model (e.g., no lag - 1-day lag, 1-day lag - 3-day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60"/>
          <w:p/>
        </w:tc>
      </w:tr>
    </w:tbl>
    <w:p>
      <w:pPr>
        <w:pStyle w:val="BodyText"/>
      </w:pPr>
      <w:r>
        <w:rPr>
          <w:vertAlign w:val="subscript"/>
        </w:rPr>
        <w:t xml:space="preserve">Source:</w:t>
      </w:r>
      <w:r>
        <w:rPr>
          <w:vertAlign w:val="subscript"/>
        </w:rPr>
        <w:t xml:space="preserve"> </w:t>
      </w:r>
      <w:hyperlink r:id="rId61">
        <w:r>
          <w:rPr>
            <w:rStyle w:val="Hyperlink"/>
            <w:vertAlign w:val="subscript"/>
          </w:rPr>
          <w:t xml:space="preserve">Make All Tables for Main Manuscript</w:t>
        </w:r>
      </w:hyperlink>
    </w:p>
    <w:bookmarkEnd w:id="62"/>
    <w:bookmarkStart w:id="65"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greater than 0 for the three fairness contrasts: race/ethnicity (Non-Hispanic White;</w:t>
      </w:r>
      <w:r>
        <w:t xml:space="preserve"> </w:t>
      </w:r>
      <w:r>
        <w:rPr>
          <w:i/>
          <w:iCs/>
        </w:rPr>
        <w:t xml:space="preserve">N</w:t>
      </w:r>
      <w:r>
        <w:t xml:space="preserve"> </w:t>
      </w:r>
      <w:r>
        <w:t xml:space="preserve">= 131 vs. not White;</w:t>
      </w:r>
      <w:r>
        <w:t xml:space="preserve"> </w:t>
      </w:r>
      <w:r>
        <w:rPr>
          <w:i/>
          <w:iCs/>
        </w:rPr>
        <w:t xml:space="preserve">N</w:t>
      </w:r>
      <w:r>
        <w:t xml:space="preserve"> </w:t>
      </w:r>
      <w:r>
        <w:t xml:space="preserve">= 20), sex at birth (male;</w:t>
      </w:r>
      <w:r>
        <w:t xml:space="preserve"> </w:t>
      </w:r>
      <w:r>
        <w:rPr>
          <w:i/>
          <w:iCs/>
        </w:rPr>
        <w:t xml:space="preserve">N</w:t>
      </w:r>
      <w:r>
        <w:t xml:space="preserve"> </w:t>
      </w:r>
      <w:r>
        <w:t xml:space="preserve">= 77 vs. female;</w:t>
      </w:r>
      <w:r>
        <w:t xml:space="preserve"> </w:t>
      </w:r>
      <w:r>
        <w:rPr>
          <w:i/>
          <w:iCs/>
        </w:rPr>
        <w:t xml:space="preserve">N</w:t>
      </w:r>
      <w:r>
        <w:t xml:space="preserve"> </w:t>
      </w:r>
      <w:r>
        <w:t xml:space="preserve">= 74), and income (above poverty;</w:t>
      </w:r>
      <w:r>
        <w:t xml:space="preserve"> </w:t>
      </w:r>
      <w:r>
        <w:rPr>
          <w:i/>
          <w:iCs/>
        </w:rPr>
        <w:t xml:space="preserve">N</w:t>
      </w:r>
      <w:r>
        <w:t xml:space="preserve"> </w:t>
      </w:r>
      <w:r>
        <w:t xml:space="preserve">= 102 vs. below poverty;</w:t>
      </w:r>
      <w:r>
        <w:t xml:space="preserve"> </w:t>
      </w:r>
      <w:r>
        <w:rPr>
          <w:i/>
          <w:iCs/>
        </w:rPr>
        <w:t xml:space="preserve">N</w:t>
      </w:r>
      <w:r>
        <w:t xml:space="preserve"> </w:t>
      </w:r>
      <w:r>
        <w:t xml:space="preserve">= 49). Median auROC differences greater than 0 indicate the model, on average, performed better for the advantaged group (male, non-Hispanic White, and above poverty) compared to the non-advantaged group (female, not White, below poverty).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 There was strong evidence (probabilities &gt; .96) that our models performed better for the advantaged groups compared to the non-advantaged groups. On average, across all five models, there was a median decrease in auROC of 0.15 (range 0.11-0.27)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0.04 (range 0.03-0.06) for participants below the federal poverty line compared to participants above the federal poverty line.</w:t>
      </w:r>
    </w:p>
    <w:tbl>
      <w:tblPr>
        <w:tblStyle w:val="Table"/>
        <w:tblW w:type="pct" w:w="5000"/>
        <w:tblLayout w:type="fixed"/>
        <w:tblLook w:firstRow="0" w:lastRow="0" w:firstColumn="0" w:lastColumn="0" w:noHBand="0" w:noVBand="0" w:val="0000"/>
      </w:tblPr>
      <w:tblGrid>
        <w:gridCol w:w="7920"/>
      </w:tblGrid>
      <w:tr>
        <w:tc>
          <w:tcPr/>
          <w:bookmarkStart w:id="63"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0.042</w:t>
                  </w:r>
                </w:p>
              </w:tc>
              <w:tc>
                <w:tcPr/>
                <w:p>
                  <w:pPr>
                    <w:pStyle w:val="Compact"/>
                    <w:jc w:val="left"/>
                    <w:jc w:val="center"/>
                  </w:pPr>
                  <w:r>
                    <w:t xml:space="preserve">[0.027, 0.058]</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0.215</w:t>
                  </w:r>
                </w:p>
              </w:tc>
              <w:tc>
                <w:tcPr/>
                <w:p>
                  <w:pPr>
                    <w:pStyle w:val="Compact"/>
                    <w:jc w:val="left"/>
                    <w:jc w:val="center"/>
                  </w:pPr>
                  <w:r>
                    <w:t xml:space="preserve">[0.057, 0.422]</w:t>
                  </w:r>
                </w:p>
              </w:tc>
              <w:tc>
                <w:tcPr/>
                <w:p>
                  <w:pPr>
                    <w:pStyle w:val="Compact"/>
                    <w:jc w:val="left"/>
                    <w:jc w:val="center"/>
                  </w:pPr>
                  <w:r>
                    <w:t xml:space="preserve">0.991</w:t>
                  </w:r>
                </w:p>
              </w:tc>
            </w:tr>
            <w:tr>
              <w:tc>
                <w:tcPr/>
                <w:p>
                  <w:pPr>
                    <w:pStyle w:val="Compact"/>
                    <w:jc w:val="left"/>
                    <w:jc w:val="center"/>
                  </w:pPr>
                  <w:r>
                    <w:t xml:space="preserve">above poverty vs. below poverty</w:t>
                  </w:r>
                </w:p>
              </w:tc>
              <w:tc>
                <w:tcPr/>
                <w:p>
                  <w:pPr>
                    <w:pStyle w:val="Compact"/>
                    <w:jc w:val="left"/>
                    <w:jc w:val="center"/>
                  </w:pPr>
                  <w:r>
                    <w:t xml:space="preserve">0.026</w:t>
                  </w:r>
                </w:p>
              </w:tc>
              <w:tc>
                <w:tcPr/>
                <w:p>
                  <w:pPr>
                    <w:pStyle w:val="Compact"/>
                    <w:jc w:val="left"/>
                    <w:jc w:val="center"/>
                  </w:pPr>
                  <w:r>
                    <w:t xml:space="preserve">[0.003, 0.051]</w:t>
                  </w:r>
                </w:p>
              </w:tc>
              <w:tc>
                <w:tcPr/>
                <w:p>
                  <w:pPr>
                    <w:pStyle w:val="Compact"/>
                    <w:jc w:val="left"/>
                    <w:jc w:val="center"/>
                  </w:pPr>
                  <w:r>
                    <w:t xml:space="preserve">0.966</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0.097</w:t>
                  </w:r>
                </w:p>
              </w:tc>
              <w:tc>
                <w:tcPr/>
                <w:p>
                  <w:pPr>
                    <w:pStyle w:val="Compact"/>
                    <w:jc w:val="left"/>
                    <w:jc w:val="center"/>
                  </w:pPr>
                  <w:r>
                    <w:t xml:space="preserve">[0.076, 0.119]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0.109</w:t>
                  </w:r>
                </w:p>
              </w:tc>
              <w:tc>
                <w:tcPr/>
                <w:p>
                  <w:pPr>
                    <w:pStyle w:val="Compact"/>
                    <w:jc w:val="left"/>
                    <w:jc w:val="center"/>
                  </w:pPr>
                  <w:r>
                    <w:t xml:space="preserve">[0.064, 0.16]</w:t>
                  </w:r>
                </w:p>
              </w:tc>
              <w:tc>
                <w:tcPr/>
                <w:p>
                  <w:pPr>
                    <w:pStyle w:val="Compact"/>
                    <w:jc w:val="left"/>
                    <w:jc w:val="center"/>
                  </w:pPr>
                  <w:r>
                    <w:t xml:space="preserve">1</w:t>
                  </w:r>
                </w:p>
              </w:tc>
            </w:tr>
            <w:tr>
              <w:tc>
                <w:tcPr/>
                <w:p>
                  <w:pPr>
                    <w:pStyle w:val="Compact"/>
                    <w:jc w:val="left"/>
                    <w:jc w:val="center"/>
                  </w:pPr>
                  <w:r>
                    <w:t xml:space="preserve">above poverty vs. below poverty</w:t>
                  </w:r>
                </w:p>
              </w:tc>
              <w:tc>
                <w:tcPr/>
                <w:p>
                  <w:pPr>
                    <w:pStyle w:val="Compact"/>
                    <w:jc w:val="left"/>
                    <w:jc w:val="center"/>
                  </w:pPr>
                  <w:r>
                    <w:t xml:space="preserve">0.057</w:t>
                  </w:r>
                </w:p>
              </w:tc>
              <w:tc>
                <w:tcPr/>
                <w:p>
                  <w:pPr>
                    <w:pStyle w:val="Compact"/>
                    <w:jc w:val="left"/>
                    <w:jc w:val="center"/>
                  </w:pPr>
                  <w:r>
                    <w:t xml:space="preserve">[0.025, 0.09]</w:t>
                  </w:r>
                </w:p>
              </w:tc>
              <w:tc>
                <w:tcPr/>
                <w:p>
                  <w:pPr>
                    <w:pStyle w:val="Compact"/>
                    <w:jc w:val="left"/>
                    <w:jc w:val="center"/>
                  </w:pPr>
                  <w:r>
                    <w:t xml:space="preserve">0.998</w:t>
                  </w:r>
                </w:p>
              </w:tc>
            </w:tr>
            <w:tr>
              <w:tc>
                <w:tcPr/>
                <w:p>
                  <w:pPr>
                    <w:pStyle w:val="Compact"/>
                    <w:jc w:val="left"/>
                    <w:jc w:val="center"/>
                  </w:pPr>
                  <w:r>
                    <w:t xml:space="preserve"> </w:t>
                  </w:r>
                  <w:r>
                    <w:t xml:space="preserve">Median auROC differences greater than 0 indicate the model, on average, performed better for the advantaged group (male, non-Hispanic White, and above poverty) compared to the non-advantaged group (female, not White, below poverty). Bayesian CI represents the range of values where there is a 95% probability that the true auROC difference lies within that range. Probability indicates the posterior probability that this difference is greater than 0 (i.e., the models are performing differently for fairness subgroups).</w:t>
                  </w:r>
                </w:p>
              </w:tc>
              <w:tc>
                <w:tcPr/>
                <w:p>
                  <w:pPr>
                    <w:pStyle w:val="Compact"/>
                  </w:pPr>
                </w:p>
              </w:tc>
              <w:tc>
                <w:tcPr/>
                <w:p>
                  <w:pPr>
                    <w:pStyle w:val="Compact"/>
                  </w:pPr>
                </w:p>
              </w:tc>
              <w:tc>
                <w:tcPr/>
                <w:p>
                  <w:pPr>
                    <w:pStyle w:val="Compact"/>
                  </w:pPr>
                </w:p>
              </w:tc>
            </w:tr>
          </w:tbl>
          <w:bookmarkEnd w:id="63"/>
          <w:p/>
        </w:tc>
      </w:tr>
    </w:tbl>
    <w:p>
      <w:pPr>
        <w:pStyle w:val="BodyText"/>
      </w:pPr>
      <w:r>
        <w:rPr>
          <w:vertAlign w:val="subscript"/>
        </w:rPr>
        <w:t xml:space="preserve">Source:</w:t>
      </w:r>
      <w:r>
        <w:rPr>
          <w:vertAlign w:val="subscript"/>
        </w:rPr>
        <w:t xml:space="preserve"> </w:t>
      </w:r>
      <w:hyperlink r:id="rId64">
        <w:r>
          <w:rPr>
            <w:rStyle w:val="Hyperlink"/>
            <w:vertAlign w:val="subscript"/>
          </w:rPr>
          <w:t xml:space="preserve">Make All Tables for Main Manuscript</w:t>
        </w:r>
      </w:hyperlink>
    </w:p>
    <w:bookmarkEnd w:id="65"/>
    <w:bookmarkStart w:id="71" w:name="feature-importance-1"/>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three globally important feature categories (i.e., highest mean |Shapley value|) for all models were past use, future efficacy, and craving. This was also consistent across demographic groups (plots of global feature importance by demographic group are availble for the no lag and 2-week lag models in the supplement). Panel A of</w:t>
      </w:r>
      <w:r>
        <w:t xml:space="preserve"> </w:t>
      </w:r>
      <w:hyperlink w:anchor="fig-3">
        <w:r>
          <w:rPr>
            <w:rStyle w:val="Hyperlink"/>
          </w:rPr>
          <w:t xml:space="preserve">Figure 3</w:t>
        </w:r>
      </w:hyperlink>
      <w:r>
        <w:t xml:space="preserve"> </w:t>
      </w:r>
      <w:r>
        <w:t xml:space="preserve">shows the relative ranking of feature categories for the no lag and 2-week lag models.</w:t>
      </w:r>
    </w:p>
    <w:p>
      <w:pPr>
        <w:pStyle w:val="BodyText"/>
      </w:pPr>
      <w:r>
        <w:t xml:space="preserve">Local feature importance is an indicator of how important a feature category is at a specific prediction timepoint (i.e., for a single individual at a single moment in time). Local importance can be used to map feature categories onto clinical interventions and recommendations (e.g., What does this individual need right now?). Panel B of</w:t>
      </w:r>
      <w:r>
        <w:t xml:space="preserve"> </w:t>
      </w:r>
      <w:hyperlink w:anchor="fig-3">
        <w:r>
          <w:rPr>
            <w:rStyle w:val="Hyperlink"/>
          </w:rPr>
          <w:t xml:space="preserve">Figure 3</w:t>
        </w:r>
      </w:hyperlink>
      <w:r>
        <w:t xml:space="preserve"> </w:t>
      </w:r>
      <w:r>
        <w:t xml:space="preserve">shows the range of local feature importance (minimum Shapley value and maximum Shapley value) for each EMA feature category for the no lag and 2-week lag models. This plot suggests that even feature categories with low global importance (e.g., past pleasant event) have a wide range of local importance values, suggesting that for seem people at some moments in time these features are clinically important.</w:t>
      </w:r>
    </w:p>
    <w:tbl>
      <w:tblPr>
        <w:tblStyle w:val="Table"/>
        <w:tblW w:type="pct" w:w="5000"/>
        <w:tblLayout w:type="fixed"/>
        <w:tblLook w:firstRow="0" w:lastRow="0" w:firstColumn="0" w:lastColumn="0" w:noHBand="0" w:noVBand="0" w:val="0000"/>
      </w:tblPr>
      <w:tblGrid>
        <w:gridCol w:w="7920"/>
      </w:tblGrid>
      <w:tr>
        <w:tc>
          <w:tcPr/>
          <w:bookmarkStart w:id="69" w:name="fig-3"/>
          <w:p>
            <w:pPr>
              <w:pStyle w:val="Compact"/>
              <w:jc w:val="center"/>
            </w:pPr>
            <w:r>
              <w:drawing>
                <wp:inline>
                  <wp:extent cx="5334000" cy="3333749"/>
                  <wp:effectExtent b="0" l="0" r="0" t="0"/>
                  <wp:docPr descr="" title="" id="67" name="Picture"/>
                  <a:graphic>
                    <a:graphicData uri="http://schemas.openxmlformats.org/drawingml/2006/picture">
                      <pic:pic>
                        <pic:nvPicPr>
                          <pic:cNvPr descr="index_files/figure-docx/notebooks-mak_figures-fig-3-output-1.png" id="68" name="Picture"/>
                          <pic:cNvPicPr>
                            <a:picLocks noChangeArrowheads="1" noChangeAspect="1"/>
                          </pic:cNvPicPr>
                        </pic:nvPicPr>
                        <pic:blipFill>
                          <a:blip r:embed="rId66"/>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69"/>
        </w:tc>
      </w:tr>
    </w:tbl>
    <w:p>
      <w:pPr>
        <w:pStyle w:val="BodyText"/>
      </w:pPr>
      <w:r>
        <w:rPr>
          <w:vertAlign w:val="subscript"/>
        </w:rPr>
        <w:t xml:space="preserve">Source:</w:t>
      </w:r>
      <w:r>
        <w:rPr>
          <w:vertAlign w:val="subscript"/>
        </w:rPr>
        <w:t xml:space="preserve"> </w:t>
      </w:r>
      <w:hyperlink r:id="rId70">
        <w:r>
          <w:rPr>
            <w:rStyle w:val="Hyperlink"/>
            <w:vertAlign w:val="subscript"/>
          </w:rPr>
          <w:t xml:space="preserve">Make All Figures for Main Manuscript</w:t>
        </w:r>
      </w:hyperlink>
    </w:p>
    <w:bookmarkEnd w:id="71"/>
    <w:bookmarkStart w:id="72" w:name="discussion"/>
    <w:p>
      <w:pPr>
        <w:pStyle w:val="Heading2"/>
      </w:pPr>
      <w:r>
        <w:t xml:space="preserve">Discussion</w:t>
      </w:r>
    </w:p>
    <w:bookmarkEnd w:id="72"/>
    <w:bookmarkStart w:id="73" w:name="model-performance"/>
    <w:p>
      <w:pPr>
        <w:pStyle w:val="Heading2"/>
      </w:pPr>
      <w:r>
        <w:t xml:space="preserve">Model Performance</w:t>
      </w:r>
    </w:p>
    <w:p>
      <w:pPr>
        <w:pStyle w:val="FirstParagraph"/>
      </w:pPr>
      <w:r>
        <w:t xml:space="preserve">Our models performed exceptionally well with median posterior probabilities for auROCs of .84 - .90.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(.84) is still excellent, and the benefit of advanced notice likely outweighs the cost to performance.</w:t>
      </w:r>
    </w:p>
    <w:p>
      <w:pPr>
        <w:pStyle w:val="BodyText"/>
      </w:pPr>
      <w:r>
        <w:t xml:space="preserve">The relative ordering of important features remained somewhat consistent across models. Past use, future efficacy, and craving were the top three features for all models. However the magnitude of their importance varried somewhat by lag time. Additionally, for the two-week model future risky situations emerged as an important feature, whereas with the no lag model past stressful events were more important.</w:t>
      </w:r>
      <w:r>
        <w:t xml:space="preserve"> </w:t>
      </w:r>
    </w:p>
    <w:bookmarkEnd w:id="73"/>
    <w:bookmarkStart w:id="74"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non-advantaged group representation in the data (e.g., using synthetic minority oversampling technique). We also could adjust the penalty weights so that prediction errors for non-advantaged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74"/>
    <w:bookmarkStart w:id="75" w:name="X40ab624ebf83813907a18dba36edd4d1d14a553"/>
    <w:p>
      <w:pPr>
        <w:pStyle w:val="Heading2"/>
      </w:pPr>
      <w:r>
        <w:t xml:space="preserve">Additional Limitations and Future Directions</w:t>
      </w:r>
    </w:p>
    <w:p>
      <w:pPr>
        <w:pStyle w:val="FirstParagraph"/>
      </w:pPr>
      <w:r>
        <w:t xml:space="preserve">We believe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As described earlier, we previously built day- and hour-level models to predict the probability of an immediate lapse (i.e., within 24 hours, within 1 hour). We can use these models with high temporal precision to guide individuals to take actionable steps to maintain their recovery goals and support them in implementing these steps (e.g., pointing them to a specific module in an app).</w:t>
      </w:r>
    </w:p>
    <w:p>
      <w:pPr>
        <w:pStyle w:val="BodyText"/>
      </w:pPr>
      <w:r>
        <w:t xml:space="preserve">This study demonstrated lagged models can be used to shift the 24-hour prediction window up to weeks out. This lag provides individuals with advanced warning of their lapse risk. These models are well-suited to support recovery needs that cannot be addressed within an app, such as scheduling an appointment or attending a support group.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the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et al.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75"/>
    <w:bookmarkStart w:id="76"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76"/>
    <w:bookmarkStart w:id="145" w:name="references"/>
    <w:p>
      <w:pPr>
        <w:pStyle w:val="Heading2"/>
      </w:pPr>
      <w:r>
        <w:t xml:space="preserve">References</w:t>
      </w:r>
    </w:p>
    <w:bookmarkStart w:id="144" w:name="refs"/>
    <w:bookmarkStart w:id="78"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7">
        <w:r>
          <w:rPr>
            <w:rStyle w:val="Hyperlink"/>
          </w:rPr>
          <w:t xml:space="preserve">https://doi.org/10.1016/j.addbeh.2017.11.039</w:t>
        </w:r>
      </w:hyperlink>
      <w:r>
        <w:t xml:space="preserve">.</w:t>
      </w:r>
    </w:p>
    <w:bookmarkEnd w:id="78"/>
    <w:bookmarkStart w:id="80"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79">
        <w:r>
          <w:rPr>
            <w:rStyle w:val="Hyperlink"/>
          </w:rPr>
          <w:t xml:space="preserve">https://doi.org/10.1007/s10488-016-0718-5</w:t>
        </w:r>
      </w:hyperlink>
      <w:r>
        <w:t xml:space="preserve">.</w:t>
      </w:r>
    </w:p>
    <w:bookmarkEnd w:id="80"/>
    <w:bookmarkStart w:id="81"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81"/>
    <w:bookmarkStart w:id="83"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82">
        <w:r>
          <w:rPr>
            <w:rStyle w:val="Hyperlink"/>
          </w:rPr>
          <w:t xml:space="preserve">https://doi.org/10.1146/annurev.clinpsy.3.022806.091455</w:t>
        </w:r>
      </w:hyperlink>
      <w:r>
        <w:t xml:space="preserve">.</w:t>
      </w:r>
    </w:p>
    <w:bookmarkEnd w:id="83"/>
    <w:bookmarkStart w:id="85"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84">
        <w:r>
          <w:rPr>
            <w:rStyle w:val="Hyperlink"/>
          </w:rPr>
          <w:t xml:space="preserve">https://doi.org/10.21231/GNT1-HW21</w:t>
        </w:r>
      </w:hyperlink>
      <w:r>
        <w:t xml:space="preserve">.</w:t>
      </w:r>
    </w:p>
    <w:bookmarkEnd w:id="85"/>
    <w:bookmarkStart w:id="86"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86"/>
    <w:bookmarkStart w:id="88"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87">
        <w:r>
          <w:rPr>
            <w:rStyle w:val="Hyperlink"/>
          </w:rPr>
          <w:t xml:space="preserve">https://doi.org/10.1016/j.jsat.2013.08.004</w:t>
        </w:r>
      </w:hyperlink>
      <w:r>
        <w:t xml:space="preserve">.</w:t>
      </w:r>
    </w:p>
    <w:bookmarkEnd w:id="88"/>
    <w:bookmarkStart w:id="90" w:name="ref-dennisManagingAddictionChronic2007"/>
    <w:p>
      <w:pPr>
        <w:pStyle w:val="Bibliography"/>
      </w:pPr>
      <w:r>
        <w:t xml:space="preserve">Dennis, Michael, and Christy K Scott. 2007.</w:t>
      </w:r>
      <w:r>
        <w:t xml:space="preserve"> </w:t>
      </w:r>
      <w:r>
        <w:t xml:space="preserve">“</w:t>
      </w:r>
      <w:hyperlink r:id="rId89">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90"/>
    <w:bookmarkStart w:id="91"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91"/>
    <w:bookmarkStart w:id="93"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92">
        <w:r>
          <w:rPr>
            <w:rStyle w:val="Hyperlink"/>
          </w:rPr>
          <w:t xml:space="preserve">https://doi.org/10.1016/j.brat.2019.103506</w:t>
        </w:r>
      </w:hyperlink>
      <w:r>
        <w:t xml:space="preserve">.</w:t>
      </w:r>
    </w:p>
    <w:bookmarkEnd w:id="93"/>
    <w:bookmarkStart w:id="94"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94"/>
    <w:bookmarkStart w:id="95"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95"/>
    <w:bookmarkStart w:id="97"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96">
        <w:r>
          <w:rPr>
            <w:rStyle w:val="Hyperlink"/>
          </w:rPr>
          <w:t xml:space="preserve">https://doi.org/10.1016/j.drugalcdep.2006.05.012</w:t>
        </w:r>
      </w:hyperlink>
      <w:r>
        <w:t xml:space="preserve">.</w:t>
      </w:r>
    </w:p>
    <w:bookmarkEnd w:id="97"/>
    <w:bookmarkStart w:id="98"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98"/>
    <w:bookmarkStart w:id="99"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9"/>
    <w:bookmarkStart w:id="100"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100"/>
    <w:bookmarkStart w:id="102"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101">
        <w:r>
          <w:rPr>
            <w:rStyle w:val="Hyperlink"/>
          </w:rPr>
          <w:t xml:space="preserve">https://doi.org/10/gfsjzg</w:t>
        </w:r>
      </w:hyperlink>
      <w:r>
        <w:t xml:space="preserve">.</w:t>
      </w:r>
    </w:p>
    <w:bookmarkEnd w:id="102"/>
    <w:bookmarkStart w:id="104"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03">
        <w:r>
          <w:rPr>
            <w:rStyle w:val="Hyperlink"/>
          </w:rPr>
          <w:t xml:space="preserve">https://doi.org/10.1001/jamanetworkopen.2020.5852</w:t>
        </w:r>
      </w:hyperlink>
      <w:r>
        <w:t xml:space="preserve">.</w:t>
      </w:r>
    </w:p>
    <w:bookmarkEnd w:id="104"/>
    <w:bookmarkStart w:id="106"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05">
        <w:r>
          <w:rPr>
            <w:rStyle w:val="Hyperlink"/>
          </w:rPr>
          <w:t xml:space="preserve">https://doi.org/10.1007/s11920-012-0296-5</w:t>
        </w:r>
      </w:hyperlink>
      <w:r>
        <w:t xml:space="preserve">.</w:t>
      </w:r>
    </w:p>
    <w:bookmarkEnd w:id="106"/>
    <w:bookmarkStart w:id="107"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07"/>
    <w:bookmarkStart w:id="109"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08">
        <w:r>
          <w:rPr>
            <w:rStyle w:val="Hyperlink"/>
          </w:rPr>
          <w:t xml:space="preserve">https://doi.org/10.1007/978-1-4614-6849-3</w:t>
        </w:r>
      </w:hyperlink>
      <w:r>
        <w:t xml:space="preserve">.</w:t>
      </w:r>
    </w:p>
    <w:bookmarkEnd w:id="109"/>
    <w:bookmarkStart w:id="110"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10"/>
    <w:bookmarkStart w:id="111"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11"/>
    <w:bookmarkStart w:id="112"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12"/>
    <w:bookmarkStart w:id="114"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13">
        <w:r>
          <w:rPr>
            <w:rStyle w:val="Hyperlink"/>
          </w:rPr>
          <w:t xml:space="preserve">https://doi.org/10.1001/jama.284.13.1689</w:t>
        </w:r>
      </w:hyperlink>
      <w:r>
        <w:t xml:space="preserve">.</w:t>
      </w:r>
    </w:p>
    <w:bookmarkEnd w:id="114"/>
    <w:bookmarkStart w:id="116"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15">
        <w:r>
          <w:rPr>
            <w:rStyle w:val="Hyperlink"/>
          </w:rPr>
          <w:t xml:space="preserve">https://doi.org/10.1146/annurev-clinpsy-032816-044949</w:t>
        </w:r>
      </w:hyperlink>
      <w:r>
        <w:t xml:space="preserve">.</w:t>
      </w:r>
    </w:p>
    <w:bookmarkEnd w:id="116"/>
    <w:bookmarkStart w:id="118"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17">
        <w:r>
          <w:rPr>
            <w:rStyle w:val="Hyperlink"/>
          </w:rPr>
          <w:t xml:space="preserve">https://doi.org/10.2196/29563</w:t>
        </w:r>
      </w:hyperlink>
      <w:r>
        <w:t xml:space="preserve">.</w:t>
      </w:r>
    </w:p>
    <w:bookmarkEnd w:id="118"/>
    <w:bookmarkStart w:id="120"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19">
        <w:r>
          <w:rPr>
            <w:rStyle w:val="Hyperlink"/>
          </w:rPr>
          <w:t xml:space="preserve">https://doi.org/10.1016/j.jsat.2021.108710</w:t>
        </w:r>
      </w:hyperlink>
      <w:r>
        <w:t xml:space="preserve">.</w:t>
      </w:r>
    </w:p>
    <w:bookmarkEnd w:id="120"/>
    <w:bookmarkStart w:id="122"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21">
        <w:r>
          <w:rPr>
            <w:rStyle w:val="Hyperlink"/>
          </w:rPr>
          <w:t xml:space="preserve">https://doi.org/10.1016/j.drugalcdep.2019.05.017</w:t>
        </w:r>
      </w:hyperlink>
      <w:r>
        <w:t xml:space="preserve">.</w:t>
      </w:r>
    </w:p>
    <w:bookmarkEnd w:id="122"/>
    <w:bookmarkStart w:id="123"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23"/>
    <w:bookmarkStart w:id="125"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24">
        <w:r>
          <w:rPr>
            <w:rStyle w:val="Hyperlink"/>
          </w:rPr>
          <w:t xml:space="preserve">https://doi.org/10.1111/add.13479</w:t>
        </w:r>
      </w:hyperlink>
      <w:r>
        <w:t xml:space="preserve">.</w:t>
      </w:r>
    </w:p>
    <w:bookmarkEnd w:id="125"/>
    <w:bookmarkStart w:id="127"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26">
        <w:r>
          <w:rPr>
            <w:rStyle w:val="Hyperlink"/>
          </w:rPr>
          <w:t xml:space="preserve">https://doi.org/10.1037/adb0000666</w:t>
        </w:r>
      </w:hyperlink>
      <w:r>
        <w:t xml:space="preserve">.</w:t>
      </w:r>
    </w:p>
    <w:bookmarkEnd w:id="127"/>
    <w:bookmarkStart w:id="129"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28">
        <w:r>
          <w:rPr>
            <w:rStyle w:val="Hyperlink"/>
          </w:rPr>
          <w:t xml:space="preserve">https://doi.org/10.1177/1178221820976988</w:t>
        </w:r>
      </w:hyperlink>
      <w:r>
        <w:t xml:space="preserve">.</w:t>
      </w:r>
    </w:p>
    <w:bookmarkEnd w:id="129"/>
    <w:bookmarkStart w:id="130"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30"/>
    <w:bookmarkStart w:id="132"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31">
        <w:r>
          <w:rPr>
            <w:rStyle w:val="Hyperlink"/>
          </w:rPr>
          <w:t xml:space="preserve">https://doi.org/10.1016/j.jsat.2021.108417</w:t>
        </w:r>
      </w:hyperlink>
      <w:r>
        <w:t xml:space="preserve">.</w:t>
      </w:r>
    </w:p>
    <w:bookmarkEnd w:id="132"/>
    <w:bookmarkStart w:id="134" w:name="X2d30c84041d97351f676569bf3de3da0c8a9d6d"/>
    <w:p>
      <w:pPr>
        <w:pStyle w:val="Bibliography"/>
      </w:pPr>
      <w:r>
        <w:t xml:space="preserve">WHO ASSIST Working Group. 2002.</w:t>
      </w:r>
      <w:r>
        <w:t xml:space="preserve"> </w:t>
      </w:r>
      <w:r>
        <w:t xml:space="preserve">“</w:t>
      </w:r>
      <w:hyperlink r:id="rId133">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34"/>
    <w:bookmarkStart w:id="136"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35">
        <w:r>
          <w:rPr>
            <w:rStyle w:val="Hyperlink"/>
          </w:rPr>
          <w:t xml:space="preserve">https://doi.org/10.1037/0003-066X.59.4.224</w:t>
        </w:r>
      </w:hyperlink>
      <w:r>
        <w:t xml:space="preserve">.</w:t>
      </w:r>
    </w:p>
    <w:bookmarkEnd w:id="136"/>
    <w:bookmarkStart w:id="138"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37">
        <w:r>
          <w:rPr>
            <w:rStyle w:val="Hyperlink"/>
          </w:rPr>
          <w:t xml:space="preserve">https://doi.org/10.1016/j.cpr.2007.01.002</w:t>
        </w:r>
      </w:hyperlink>
      <w:r>
        <w:t xml:space="preserve">.</w:t>
      </w:r>
    </w:p>
    <w:bookmarkEnd w:id="138"/>
    <w:bookmarkStart w:id="140"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39">
        <w:r>
          <w:rPr>
            <w:rStyle w:val="Hyperlink"/>
          </w:rPr>
          <w:t xml:space="preserve">https://doi.org/10.2196/41833</w:t>
        </w:r>
      </w:hyperlink>
      <w:r>
        <w:t xml:space="preserve">.</w:t>
      </w:r>
    </w:p>
    <w:bookmarkEnd w:id="140"/>
    <w:bookmarkStart w:id="142"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41">
        <w:r>
          <w:rPr>
            <w:rStyle w:val="Hyperlink"/>
          </w:rPr>
          <w:t xml:space="preserve">https://doi.org/10.31234/osf.io/cgsf7</w:t>
        </w:r>
      </w:hyperlink>
      <w:r>
        <w:t xml:space="preserve">.</w:t>
      </w:r>
    </w:p>
    <w:bookmarkEnd w:id="142"/>
    <w:bookmarkStart w:id="143" w:name="X3f67f11df296341e595ed74232696d3a94ce536"/>
    <w:p>
      <w:pPr>
        <w:pStyle w:val="Bibliography"/>
      </w:pPr>
      <w:r>
        <w:t xml:space="preserve">Wyant, Kendra, Sarah Sant’Ana, Claire Punturieri, Jiachen Yu, Gaylen Fronk, Rachel Kornfield, and John Curtin.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43"/>
    <w:bookmarkEnd w:id="144"/>
    <w:bookmarkEnd w:id="145"/>
    <w:bookmarkEnd w:id="1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 w:id="45">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non-advantaged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image" Id="rId31" Target="media/rId31.png" /><Relationship Type="http://schemas.openxmlformats.org/officeDocument/2006/relationships/image" Id="rId54" Target="media/rId54.png" /><Relationship Type="http://schemas.openxmlformats.org/officeDocument/2006/relationships/hyperlink" Id="rId113" Target="https://doi.org/10.1001/jama.284.13.1689" TargetMode="External" /><Relationship Type="http://schemas.openxmlformats.org/officeDocument/2006/relationships/hyperlink" Id="rId103" Target="https://doi.org/10.1001/jamanetworkopen.2020.5852" TargetMode="External" /><Relationship Type="http://schemas.openxmlformats.org/officeDocument/2006/relationships/hyperlink" Id="rId108" Target="https://doi.org/10.1007/978-1-4614-6849-3" TargetMode="External" /><Relationship Type="http://schemas.openxmlformats.org/officeDocument/2006/relationships/hyperlink" Id="rId79" Target="https://doi.org/10.1007/s10488-016-0718-5" TargetMode="External" /><Relationship Type="http://schemas.openxmlformats.org/officeDocument/2006/relationships/hyperlink" Id="rId105" Target="https://doi.org/10.1007/s11920-012-0296-5" TargetMode="External" /><Relationship Type="http://schemas.openxmlformats.org/officeDocument/2006/relationships/hyperlink" Id="rId77" Target="https://doi.org/10.1016/j.addbeh.2017.11.039" TargetMode="External" /><Relationship Type="http://schemas.openxmlformats.org/officeDocument/2006/relationships/hyperlink" Id="rId92" Target="https://doi.org/10.1016/j.brat.2019.103506" TargetMode="External" /><Relationship Type="http://schemas.openxmlformats.org/officeDocument/2006/relationships/hyperlink" Id="rId137" Target="https://doi.org/10.1016/j.cpr.2007.01.002" TargetMode="External" /><Relationship Type="http://schemas.openxmlformats.org/officeDocument/2006/relationships/hyperlink" Id="rId96" Target="https://doi.org/10.1016/j.drugalcdep.2006.05.012" TargetMode="External" /><Relationship Type="http://schemas.openxmlformats.org/officeDocument/2006/relationships/hyperlink" Id="rId121" Target="https://doi.org/10.1016/j.drugalcdep.2019.05.017" TargetMode="External" /><Relationship Type="http://schemas.openxmlformats.org/officeDocument/2006/relationships/hyperlink" Id="rId87" Target="https://doi.org/10.1016/j.jsat.2013.08.004" TargetMode="External" /><Relationship Type="http://schemas.openxmlformats.org/officeDocument/2006/relationships/hyperlink" Id="rId131" Target="https://doi.org/10.1016/j.jsat.2021.108417" TargetMode="External" /><Relationship Type="http://schemas.openxmlformats.org/officeDocument/2006/relationships/hyperlink" Id="rId119" Target="https://doi.org/10.1016/j.jsat.2021.108710" TargetMode="External" /><Relationship Type="http://schemas.openxmlformats.org/officeDocument/2006/relationships/hyperlink" Id="rId135" Target="https://doi.org/10.1037/0003-066X.59.4.224" TargetMode="External" /><Relationship Type="http://schemas.openxmlformats.org/officeDocument/2006/relationships/hyperlink" Id="rId126" Target="https://doi.org/10.1037/adb0000666" TargetMode="External" /><Relationship Type="http://schemas.openxmlformats.org/officeDocument/2006/relationships/hyperlink" Id="rId124" Target="https://doi.org/10.1111/add.13479" TargetMode="External" /><Relationship Type="http://schemas.openxmlformats.org/officeDocument/2006/relationships/hyperlink" Id="rId115" Target="https://doi.org/10.1146/annurev-clinpsy-032816-044949" TargetMode="External" /><Relationship Type="http://schemas.openxmlformats.org/officeDocument/2006/relationships/hyperlink" Id="rId82" Target="https://doi.org/10.1146/annurev.clinpsy.3.022806.091455" TargetMode="External" /><Relationship Type="http://schemas.openxmlformats.org/officeDocument/2006/relationships/hyperlink" Id="rId128" Target="https://doi.org/10.1177/1178221820976988" TargetMode="External" /><Relationship Type="http://schemas.openxmlformats.org/officeDocument/2006/relationships/hyperlink" Id="rId84" Target="https://doi.org/10.21231/GNT1-HW21" TargetMode="External" /><Relationship Type="http://schemas.openxmlformats.org/officeDocument/2006/relationships/hyperlink" Id="rId117" Target="https://doi.org/10.2196/29563" TargetMode="External" /><Relationship Type="http://schemas.openxmlformats.org/officeDocument/2006/relationships/hyperlink" Id="rId139" Target="https://doi.org/10.2196/41833" TargetMode="External" /><Relationship Type="http://schemas.openxmlformats.org/officeDocument/2006/relationships/hyperlink" Id="rId141" Target="https://doi.org/10.31234/osf.io/cgsf7" TargetMode="External" /><Relationship Type="http://schemas.openxmlformats.org/officeDocument/2006/relationships/hyperlink" Id="rId101"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70"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8" Target="https://jjcurtin.github.io/study_lag/notebooks\mak_figures-preview.html#cell-fig-pp"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64" Target="https://jjcurtin.github.io/study_lag/notebooks\mak_tables-preview.html#cell-tbl-fairness" TargetMode="External" /><Relationship Type="http://schemas.openxmlformats.org/officeDocument/2006/relationships/hyperlink" Id="rId61"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9" Target="https://www.ncbi.nlm.nih.gov/pmc/articles/PMC2797101" TargetMode="External" /><Relationship Type="http://schemas.openxmlformats.org/officeDocument/2006/relationships/hyperlink" Id="rId133"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13" Target="https://doi.org/10.1001/jama.284.13.1689" TargetMode="External" /><Relationship Type="http://schemas.openxmlformats.org/officeDocument/2006/relationships/hyperlink" Id="rId103" Target="https://doi.org/10.1001/jamanetworkopen.2020.5852" TargetMode="External" /><Relationship Type="http://schemas.openxmlformats.org/officeDocument/2006/relationships/hyperlink" Id="rId108" Target="https://doi.org/10.1007/978-1-4614-6849-3" TargetMode="External" /><Relationship Type="http://schemas.openxmlformats.org/officeDocument/2006/relationships/hyperlink" Id="rId79" Target="https://doi.org/10.1007/s10488-016-0718-5" TargetMode="External" /><Relationship Type="http://schemas.openxmlformats.org/officeDocument/2006/relationships/hyperlink" Id="rId105" Target="https://doi.org/10.1007/s11920-012-0296-5" TargetMode="External" /><Relationship Type="http://schemas.openxmlformats.org/officeDocument/2006/relationships/hyperlink" Id="rId77" Target="https://doi.org/10.1016/j.addbeh.2017.11.039" TargetMode="External" /><Relationship Type="http://schemas.openxmlformats.org/officeDocument/2006/relationships/hyperlink" Id="rId92" Target="https://doi.org/10.1016/j.brat.2019.103506" TargetMode="External" /><Relationship Type="http://schemas.openxmlformats.org/officeDocument/2006/relationships/hyperlink" Id="rId137" Target="https://doi.org/10.1016/j.cpr.2007.01.002" TargetMode="External" /><Relationship Type="http://schemas.openxmlformats.org/officeDocument/2006/relationships/hyperlink" Id="rId96" Target="https://doi.org/10.1016/j.drugalcdep.2006.05.012" TargetMode="External" /><Relationship Type="http://schemas.openxmlformats.org/officeDocument/2006/relationships/hyperlink" Id="rId121" Target="https://doi.org/10.1016/j.drugalcdep.2019.05.017" TargetMode="External" /><Relationship Type="http://schemas.openxmlformats.org/officeDocument/2006/relationships/hyperlink" Id="rId87" Target="https://doi.org/10.1016/j.jsat.2013.08.004" TargetMode="External" /><Relationship Type="http://schemas.openxmlformats.org/officeDocument/2006/relationships/hyperlink" Id="rId131" Target="https://doi.org/10.1016/j.jsat.2021.108417" TargetMode="External" /><Relationship Type="http://schemas.openxmlformats.org/officeDocument/2006/relationships/hyperlink" Id="rId119" Target="https://doi.org/10.1016/j.jsat.2021.108710" TargetMode="External" /><Relationship Type="http://schemas.openxmlformats.org/officeDocument/2006/relationships/hyperlink" Id="rId135" Target="https://doi.org/10.1037/0003-066X.59.4.224" TargetMode="External" /><Relationship Type="http://schemas.openxmlformats.org/officeDocument/2006/relationships/hyperlink" Id="rId126" Target="https://doi.org/10.1037/adb0000666" TargetMode="External" /><Relationship Type="http://schemas.openxmlformats.org/officeDocument/2006/relationships/hyperlink" Id="rId124" Target="https://doi.org/10.1111/add.13479" TargetMode="External" /><Relationship Type="http://schemas.openxmlformats.org/officeDocument/2006/relationships/hyperlink" Id="rId115" Target="https://doi.org/10.1146/annurev-clinpsy-032816-044949" TargetMode="External" /><Relationship Type="http://schemas.openxmlformats.org/officeDocument/2006/relationships/hyperlink" Id="rId82" Target="https://doi.org/10.1146/annurev.clinpsy.3.022806.091455" TargetMode="External" /><Relationship Type="http://schemas.openxmlformats.org/officeDocument/2006/relationships/hyperlink" Id="rId128" Target="https://doi.org/10.1177/1178221820976988" TargetMode="External" /><Relationship Type="http://schemas.openxmlformats.org/officeDocument/2006/relationships/hyperlink" Id="rId84" Target="https://doi.org/10.21231/GNT1-HW21" TargetMode="External" /><Relationship Type="http://schemas.openxmlformats.org/officeDocument/2006/relationships/hyperlink" Id="rId117" Target="https://doi.org/10.2196/29563" TargetMode="External" /><Relationship Type="http://schemas.openxmlformats.org/officeDocument/2006/relationships/hyperlink" Id="rId139" Target="https://doi.org/10.2196/41833" TargetMode="External" /><Relationship Type="http://schemas.openxmlformats.org/officeDocument/2006/relationships/hyperlink" Id="rId141" Target="https://doi.org/10.31234/osf.io/cgsf7" TargetMode="External" /><Relationship Type="http://schemas.openxmlformats.org/officeDocument/2006/relationships/hyperlink" Id="rId101"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70"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8" Target="https://jjcurtin.github.io/study_lag/notebooks\mak_figures-preview.html#cell-fig-pp"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64" Target="https://jjcurtin.github.io/study_lag/notebooks\mak_tables-preview.html#cell-tbl-fairness" TargetMode="External" /><Relationship Type="http://schemas.openxmlformats.org/officeDocument/2006/relationships/hyperlink" Id="rId61"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9" Target="https://www.ncbi.nlm.nih.gov/pmc/articles/PMC2797101" TargetMode="External" /><Relationship Type="http://schemas.openxmlformats.org/officeDocument/2006/relationships/hyperlink" Id="rId133"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Day Alcohol Use for Adaptive and Personalized Continuing Care</dc:title>
  <dc:creator>Kendra Wyant; Gaylen E. Fronk; Jiachen Yu; John J. Curtin</dc:creator>
  <cp:keywords>Substance use disorders, Precision mental health</cp:keywords>
  <dcterms:created xsi:type="dcterms:W3CDTF">2025-02-20T14:05:36Z</dcterms:created>
  <dcterms:modified xsi:type="dcterms:W3CDTF">2025-02-20T14:05:36Z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non-advantaged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2025-02-19</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