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2025-07-31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logistic calibration</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Logistic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50"/>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0"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substantially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that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(N = 20, 13%). Individuals below the poverty line were also underrepresented, though to a lesser degree (</w:t>
      </w:r>
      <w:r>
        <w:t xml:space="preserve">).</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in prep</w:t>
      </w:r>
      <w:r>
        <w:t xml:space="preserve"> </w:t>
      </w:r>
      <w:r>
        <w:t xml:space="preserve">)</w:t>
      </w:r>
      <w:r>
        <w:t xml:space="preserve">. In a separate project, we developed a national recruitment method that allowed us to recruit for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 [</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these subgroups could be upsampled (e.g., using the synthetic minority oversampling technique) or the cost functions used by the learning algorithms could be adjusted to differentially weight prediction errors based on participant characteristics. In another vein, modeling approaches that yield idiographic, person-specific models (</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represented in the training data (</w:t>
      </w:r>
      <w:r>
        <w:t xml:space="preserve">).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abuse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from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topics modeling; BERT</w:t>
      </w:r>
      <w:r>
        <w:t xml:space="preserve"> </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w:t>
      </w:r>
      <w:r>
        <w:t xml:space="preserve">] can be applied to models that perform well to bootstrap the identification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does not necessarily confirm comparable reporting accuracy because it is possible that there were systematic differences in lapse rates across groups, that were masked by issues of trust.</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On the other hand, as lag time increased past/future risky situations increased in importance. This suggests that people may have good insight into the types of situations that put their recovery at risk and can reliably anticipate these risks (e.g., weekends, vacations, and anniversaries of significant dates).</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69" w:name="references"/>
    <w:p>
      <w:pPr>
        <w:pStyle w:val="Heading2"/>
      </w:pPr>
      <w:r>
        <w:t xml:space="preserve">References</w:t>
      </w:r>
    </w:p>
    <w:bookmarkStart w:id="168" w:name="refs"/>
    <w:bookmarkStart w:id="86"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5">
        <w:r>
          <w:rPr>
            <w:rStyle w:val="Hyperlink"/>
          </w:rPr>
          <w:t xml:space="preserve">https://doi.org/10.1007/s10488-016-0718-5</w:t>
        </w:r>
      </w:hyperlink>
      <w:r>
        <w:t xml:space="preserve">.</w:t>
      </w:r>
    </w:p>
    <w:bookmarkEnd w:id="86"/>
    <w:bookmarkStart w:id="87"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7"/>
    <w:bookmarkStart w:id="89"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8">
        <w:r>
          <w:rPr>
            <w:rStyle w:val="Hyperlink"/>
          </w:rPr>
          <w:t xml:space="preserve">https://doi.org/10.1146/annurev.clinpsy.3.022806.091455</w:t>
        </w:r>
      </w:hyperlink>
      <w:r>
        <w:t xml:space="preserve">.</w:t>
      </w:r>
    </w:p>
    <w:bookmarkEnd w:id="89"/>
    <w:bookmarkStart w:id="91"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0">
        <w:r>
          <w:rPr>
            <w:rStyle w:val="Hyperlink"/>
          </w:rPr>
          <w:t xml:space="preserve">https://doi.org/10.21231/GNT1-HW21</w:t>
        </w:r>
      </w:hyperlink>
      <w:r>
        <w:t xml:space="preserve">.</w:t>
      </w:r>
    </w:p>
    <w:bookmarkEnd w:id="91"/>
    <w:bookmarkStart w:id="92"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2"/>
    <w:bookmarkStart w:id="94" w:name="ref-dennisManagingAddictionChronic2007"/>
    <w:p>
      <w:pPr>
        <w:pStyle w:val="Bibliography"/>
      </w:pPr>
      <w:r>
        <w:t xml:space="preserve">Dennis, Michael, and Christy K Scott. 2007.</w:t>
      </w:r>
      <w:r>
        <w:t xml:space="preserve"> </w:t>
      </w:r>
      <w:r>
        <w:t xml:space="preserve">“</w:t>
      </w:r>
      <w:hyperlink r:id="rId93">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4"/>
    <w:bookmarkStart w:id="95"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5"/>
    <w:bookmarkStart w:id="97"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6">
        <w:r>
          <w:rPr>
            <w:rStyle w:val="Hyperlink"/>
          </w:rPr>
          <w:t xml:space="preserve">https://doi.org/10.1016/j.brat.2019.103506</w:t>
        </w:r>
      </w:hyperlink>
      <w:r>
        <w:t xml:space="preserve">.</w:t>
      </w:r>
    </w:p>
    <w:bookmarkEnd w:id="97"/>
    <w:bookmarkStart w:id="99"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98">
        <w:r>
          <w:rPr>
            <w:rStyle w:val="Hyperlink"/>
          </w:rPr>
          <w:t xml:space="preserve">https://doi.org/10.5555/ajhb.2007.31.supp.S47</w:t>
        </w:r>
      </w:hyperlink>
      <w:r>
        <w:t xml:space="preserve">.</w:t>
      </w:r>
    </w:p>
    <w:bookmarkEnd w:id="99"/>
    <w:bookmarkStart w:id="100"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0"/>
    <w:bookmarkStart w:id="101"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1"/>
    <w:bookmarkStart w:id="103"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2">
        <w:r>
          <w:rPr>
            <w:rStyle w:val="Hyperlink"/>
          </w:rPr>
          <w:t xml:space="preserve">https://doi.org/10.1016/j.drugalcdep.2006.05.012</w:t>
        </w:r>
      </w:hyperlink>
      <w:r>
        <w:t xml:space="preserve">.</w:t>
      </w:r>
    </w:p>
    <w:bookmarkEnd w:id="103"/>
    <w:bookmarkStart w:id="104"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4"/>
    <w:bookmarkStart w:id="105"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5"/>
    <w:bookmarkStart w:id="106"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6"/>
    <w:bookmarkStart w:id="108"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7">
        <w:r>
          <w:rPr>
            <w:rStyle w:val="Hyperlink"/>
          </w:rPr>
          <w:t xml:space="preserve">https://doi.org/10/gfsjzg</w:t>
        </w:r>
      </w:hyperlink>
      <w:r>
        <w:t xml:space="preserve">.</w:t>
      </w:r>
    </w:p>
    <w:bookmarkEnd w:id="108"/>
    <w:bookmarkStart w:id="110"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9">
        <w:r>
          <w:rPr>
            <w:rStyle w:val="Hyperlink"/>
          </w:rPr>
          <w:t xml:space="preserve">https://doi.org/10.1001/jamanetworkopen.2020.5852</w:t>
        </w:r>
      </w:hyperlink>
      <w:r>
        <w:t xml:space="preserve">.</w:t>
      </w:r>
    </w:p>
    <w:bookmarkEnd w:id="110"/>
    <w:bookmarkStart w:id="112"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1">
        <w:r>
          <w:rPr>
            <w:rStyle w:val="Hyperlink"/>
          </w:rPr>
          <w:t xml:space="preserve">https://doi.org/10.1007/s11920-012-0296-5</w:t>
        </w:r>
      </w:hyperlink>
      <w:r>
        <w:t xml:space="preserve">.</w:t>
      </w:r>
    </w:p>
    <w:bookmarkEnd w:id="112"/>
    <w:bookmarkStart w:id="113"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3"/>
    <w:bookmarkStart w:id="115"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4">
        <w:r>
          <w:rPr>
            <w:rStyle w:val="Hyperlink"/>
          </w:rPr>
          <w:t xml:space="preserve">https://doi.org/10.1007/978-1-4614-6849-3</w:t>
        </w:r>
      </w:hyperlink>
      <w:r>
        <w:t xml:space="preserve">.</w:t>
      </w:r>
    </w:p>
    <w:bookmarkEnd w:id="115"/>
    <w:bookmarkStart w:id="116"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6"/>
    <w:bookmarkStart w:id="117"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7"/>
    <w:bookmarkStart w:id="118"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8"/>
    <w:bookmarkStart w:id="119"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9"/>
    <w:bookmarkStart w:id="121"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0">
        <w:r>
          <w:rPr>
            <w:rStyle w:val="Hyperlink"/>
          </w:rPr>
          <w:t xml:space="preserve">https://doi.org/10.1016/j.cpr.2017.10.012</w:t>
        </w:r>
      </w:hyperlink>
      <w:r>
        <w:t xml:space="preserve">.</w:t>
      </w:r>
    </w:p>
    <w:bookmarkEnd w:id="121"/>
    <w:bookmarkStart w:id="12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2">
        <w:r>
          <w:rPr>
            <w:rStyle w:val="Hyperlink"/>
          </w:rPr>
          <w:t xml:space="preserve">https://doi.org/10.1001/jama.284.13.1689</w:t>
        </w:r>
      </w:hyperlink>
      <w:r>
        <w:t xml:space="preserve">.</w:t>
      </w:r>
    </w:p>
    <w:bookmarkEnd w:id="123"/>
    <w:bookmarkStart w:id="12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4">
        <w:r>
          <w:rPr>
            <w:rStyle w:val="Hyperlink"/>
          </w:rPr>
          <w:t xml:space="preserve">https://doi.org/10.1016/j.drugalcdep.2021.108706</w:t>
        </w:r>
      </w:hyperlink>
      <w:r>
        <w:t xml:space="preserve">.</w:t>
      </w:r>
    </w:p>
    <w:bookmarkEnd w:id="125"/>
    <w:bookmarkStart w:id="12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6">
        <w:r>
          <w:rPr>
            <w:rStyle w:val="Hyperlink"/>
          </w:rPr>
          <w:t xml:space="preserve">https://doi.org/10.1146/annurev-clinpsy-032816-044949</w:t>
        </w:r>
      </w:hyperlink>
      <w:r>
        <w:t xml:space="preserve">.</w:t>
      </w:r>
    </w:p>
    <w:bookmarkEnd w:id="127"/>
    <w:bookmarkStart w:id="12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8">
        <w:r>
          <w:rPr>
            <w:rStyle w:val="Hyperlink"/>
          </w:rPr>
          <w:t xml:space="preserve">https://doi.org/10.2196/29563</w:t>
        </w:r>
      </w:hyperlink>
      <w:r>
        <w:t xml:space="preserve">.</w:t>
      </w:r>
    </w:p>
    <w:bookmarkEnd w:id="129"/>
    <w:bookmarkStart w:id="13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0">
        <w:r>
          <w:rPr>
            <w:rStyle w:val="Hyperlink"/>
          </w:rPr>
          <w:t xml:space="preserve">https://doi.org/10.1016/j.jsat.2021.108710</w:t>
        </w:r>
      </w:hyperlink>
      <w:r>
        <w:t xml:space="preserve">.</w:t>
      </w:r>
    </w:p>
    <w:bookmarkEnd w:id="131"/>
    <w:bookmarkStart w:id="13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2">
        <w:r>
          <w:rPr>
            <w:rStyle w:val="Hyperlink"/>
          </w:rPr>
          <w:t xml:space="preserve">https://doi.org/10.1016/j.drugalcdep.2019.05.017</w:t>
        </w:r>
      </w:hyperlink>
      <w:r>
        <w:t xml:space="preserve">.</w:t>
      </w:r>
    </w:p>
    <w:bookmarkEnd w:id="133"/>
    <w:bookmarkStart w:id="134"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34"/>
    <w:bookmarkStart w:id="13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5"/>
    <w:bookmarkStart w:id="13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6"/>
    <w:bookmarkStart w:id="13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7">
        <w:r>
          <w:rPr>
            <w:rStyle w:val="Hyperlink"/>
          </w:rPr>
          <w:t xml:space="preserve">https://doi.org/10.1111/add.13479</w:t>
        </w:r>
      </w:hyperlink>
      <w:r>
        <w:t xml:space="preserve">.</w:t>
      </w:r>
    </w:p>
    <w:bookmarkEnd w:id="138"/>
    <w:bookmarkStart w:id="14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9">
        <w:r>
          <w:rPr>
            <w:rStyle w:val="Hyperlink"/>
          </w:rPr>
          <w:t xml:space="preserve">https://doi.org/10.1037/adb0000666</w:t>
        </w:r>
      </w:hyperlink>
      <w:r>
        <w:t xml:space="preserve">.</w:t>
      </w:r>
    </w:p>
    <w:bookmarkEnd w:id="140"/>
    <w:bookmarkStart w:id="14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1">
        <w:r>
          <w:rPr>
            <w:rStyle w:val="Hyperlink"/>
          </w:rPr>
          <w:t xml:space="preserve">https://doi.org/10.1177/1178221820976988</w:t>
        </w:r>
      </w:hyperlink>
      <w:r>
        <w:t xml:space="preserve">.</w:t>
      </w:r>
    </w:p>
    <w:bookmarkEnd w:id="142"/>
    <w:bookmarkStart w:id="14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3"/>
    <w:bookmarkStart w:id="14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4"/>
    <w:bookmarkStart w:id="14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5">
        <w:r>
          <w:rPr>
            <w:rStyle w:val="Hyperlink"/>
          </w:rPr>
          <w:t xml:space="preserve">https://doi.org/10.1111/j.1530-0277.1984.tb05523.x</w:t>
        </w:r>
      </w:hyperlink>
      <w:r>
        <w:t xml:space="preserve">.</w:t>
      </w:r>
    </w:p>
    <w:bookmarkEnd w:id="146"/>
    <w:bookmarkStart w:id="14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7">
        <w:r>
          <w:rPr>
            <w:rStyle w:val="Hyperlink"/>
          </w:rPr>
          <w:t xml:space="preserve">https://doi.org/10.1093/jamia/ocy052</w:t>
        </w:r>
      </w:hyperlink>
      <w:r>
        <w:t xml:space="preserve">.</w:t>
      </w:r>
    </w:p>
    <w:bookmarkEnd w:id="148"/>
    <w:bookmarkStart w:id="15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9">
        <w:r>
          <w:rPr>
            <w:rStyle w:val="Hyperlink"/>
          </w:rPr>
          <w:t xml:space="preserve">https://doi.org/10.1016/j.cpr.2005.11.003</w:t>
        </w:r>
      </w:hyperlink>
      <w:r>
        <w:t xml:space="preserve">.</w:t>
      </w:r>
    </w:p>
    <w:bookmarkEnd w:id="150"/>
    <w:bookmarkStart w:id="15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1">
        <w:r>
          <w:rPr>
            <w:rStyle w:val="Hyperlink"/>
          </w:rPr>
          <w:t xml:space="preserve">https://doi.org/10.1016/j.jsat.2021.108417</w:t>
        </w:r>
      </w:hyperlink>
      <w:r>
        <w:t xml:space="preserve">.</w:t>
      </w:r>
    </w:p>
    <w:bookmarkEnd w:id="152"/>
    <w:bookmarkStart w:id="154" w:name="X2d30c84041d97351f676569bf3de3da0c8a9d6d"/>
    <w:p>
      <w:pPr>
        <w:pStyle w:val="Bibliography"/>
      </w:pPr>
      <w:r>
        <w:t xml:space="preserve">WHO ASSIST Working Group. 2002.</w:t>
      </w:r>
      <w:r>
        <w:t xml:space="preserve"> </w:t>
      </w:r>
      <w:r>
        <w:t xml:space="preserve">“</w:t>
      </w:r>
      <w:hyperlink r:id="rId15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4"/>
    <w:bookmarkStart w:id="15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5">
        <w:r>
          <w:rPr>
            <w:rStyle w:val="Hyperlink"/>
          </w:rPr>
          <w:t xml:space="preserve">https://doi.org/10.1037/0003-066X.59.4.224</w:t>
        </w:r>
      </w:hyperlink>
      <w:r>
        <w:t xml:space="preserve">.</w:t>
      </w:r>
    </w:p>
    <w:bookmarkEnd w:id="156"/>
    <w:bookmarkStart w:id="15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7">
        <w:r>
          <w:rPr>
            <w:rStyle w:val="Hyperlink"/>
          </w:rPr>
          <w:t xml:space="preserve">https://doi.org/10.1016/j.cpr.2007.01.002</w:t>
        </w:r>
      </w:hyperlink>
      <w:r>
        <w:t xml:space="preserve">.</w:t>
      </w:r>
    </w:p>
    <w:bookmarkEnd w:id="158"/>
    <w:bookmarkStart w:id="16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9">
        <w:r>
          <w:rPr>
            <w:rStyle w:val="Hyperlink"/>
          </w:rPr>
          <w:t xml:space="preserve">https://doi.org/10.2196/41833</w:t>
        </w:r>
      </w:hyperlink>
      <w:r>
        <w:t xml:space="preserve">.</w:t>
      </w:r>
    </w:p>
    <w:bookmarkEnd w:id="160"/>
    <w:bookmarkStart w:id="16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1">
        <w:r>
          <w:rPr>
            <w:rStyle w:val="Hyperlink"/>
          </w:rPr>
          <w:t xml:space="preserve">https://doi.org/10.31234/osf.io/cgsf7</w:t>
        </w:r>
      </w:hyperlink>
      <w:r>
        <w:t xml:space="preserve">.</w:t>
      </w:r>
    </w:p>
    <w:bookmarkEnd w:id="162"/>
    <w:bookmarkStart w:id="163"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3"/>
    <w:bookmarkStart w:id="165"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4">
        <w:r>
          <w:rPr>
            <w:rStyle w:val="Hyperlink"/>
          </w:rPr>
          <w:t xml:space="preserve">https://doi.org/10.1177/1077558712458541</w:t>
        </w:r>
      </w:hyperlink>
      <w:r>
        <w:t xml:space="preserve">.</w:t>
      </w:r>
    </w:p>
    <w:bookmarkEnd w:id="165"/>
    <w:bookmarkStart w:id="167"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6">
        <w:r>
          <w:rPr>
            <w:rStyle w:val="Hyperlink"/>
          </w:rPr>
          <w:t xml:space="preserve">https://doi.org/10.7326/M14-0295</w:t>
        </w:r>
      </w:hyperlink>
      <w:r>
        <w:t xml:space="preserve">.</w:t>
      </w:r>
    </w:p>
    <w:bookmarkEnd w:id="167"/>
    <w:bookmarkEnd w:id="168"/>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1/jama.284.13.1689" TargetMode="External" /><Relationship Type="http://schemas.openxmlformats.org/officeDocument/2006/relationships/hyperlink" Id="rId109" Target="https://doi.org/10.1001/jamanetworkopen.2020.5852" TargetMode="External" /><Relationship Type="http://schemas.openxmlformats.org/officeDocument/2006/relationships/hyperlink" Id="rId114" Target="https://doi.org/10.1007/978-1-4614-6849-3" TargetMode="External" /><Relationship Type="http://schemas.openxmlformats.org/officeDocument/2006/relationships/hyperlink" Id="rId85" Target="https://doi.org/10.1007/s10488-016-0718-5" TargetMode="External" /><Relationship Type="http://schemas.openxmlformats.org/officeDocument/2006/relationships/hyperlink" Id="rId111" Target="https://doi.org/10.1007/s11920-012-0296-5" TargetMode="External" /><Relationship Type="http://schemas.openxmlformats.org/officeDocument/2006/relationships/hyperlink" Id="rId96" Target="https://doi.org/10.1016/j.brat.2019.103506" TargetMode="External" /><Relationship Type="http://schemas.openxmlformats.org/officeDocument/2006/relationships/hyperlink" Id="rId149" Target="https://doi.org/10.1016/j.cpr.2005.11.003" TargetMode="External" /><Relationship Type="http://schemas.openxmlformats.org/officeDocument/2006/relationships/hyperlink" Id="rId157" Target="https://doi.org/10.1016/j.cpr.2007.01.002" TargetMode="External" /><Relationship Type="http://schemas.openxmlformats.org/officeDocument/2006/relationships/hyperlink" Id="rId120" Target="https://doi.org/10.1016/j.cpr.2017.10.012" TargetMode="External" /><Relationship Type="http://schemas.openxmlformats.org/officeDocument/2006/relationships/hyperlink" Id="rId102" Target="https://doi.org/10.1016/j.drugalcdep.2006.05.012" TargetMode="External" /><Relationship Type="http://schemas.openxmlformats.org/officeDocument/2006/relationships/hyperlink" Id="rId132" Target="https://doi.org/10.1016/j.drugalcdep.2019.05.017" TargetMode="External" /><Relationship Type="http://schemas.openxmlformats.org/officeDocument/2006/relationships/hyperlink" Id="rId124" Target="https://doi.org/10.1016/j.drugalcdep.2021.108706" TargetMode="External" /><Relationship Type="http://schemas.openxmlformats.org/officeDocument/2006/relationships/hyperlink" Id="rId151" Target="https://doi.org/10.1016/j.jsat.2021.108417" TargetMode="External" /><Relationship Type="http://schemas.openxmlformats.org/officeDocument/2006/relationships/hyperlink" Id="rId130" Target="https://doi.org/10.1016/j.jsat.2021.108710" TargetMode="External" /><Relationship Type="http://schemas.openxmlformats.org/officeDocument/2006/relationships/hyperlink" Id="rId155" Target="https://doi.org/10.1037/0003-066X.59.4.224" TargetMode="External" /><Relationship Type="http://schemas.openxmlformats.org/officeDocument/2006/relationships/hyperlink" Id="rId139" Target="https://doi.org/10.1037/adb0000666" TargetMode="External" /><Relationship Type="http://schemas.openxmlformats.org/officeDocument/2006/relationships/hyperlink" Id="rId147" Target="https://doi.org/10.1093/jamia/ocy052" TargetMode="External" /><Relationship Type="http://schemas.openxmlformats.org/officeDocument/2006/relationships/hyperlink" Id="rId137" Target="https://doi.org/10.1111/add.13479" TargetMode="External" /><Relationship Type="http://schemas.openxmlformats.org/officeDocument/2006/relationships/hyperlink" Id="rId145" Target="https://doi.org/10.1111/j.1530-0277.1984.tb05523.x" TargetMode="External" /><Relationship Type="http://schemas.openxmlformats.org/officeDocument/2006/relationships/hyperlink" Id="rId126" Target="https://doi.org/10.1146/annurev-clinpsy-032816-044949" TargetMode="External" /><Relationship Type="http://schemas.openxmlformats.org/officeDocument/2006/relationships/hyperlink" Id="rId88" Target="https://doi.org/10.1146/annurev.clinpsy.3.022806.091455" TargetMode="External" /><Relationship Type="http://schemas.openxmlformats.org/officeDocument/2006/relationships/hyperlink" Id="rId164" Target="https://doi.org/10.1177/1077558712458541" TargetMode="External" /><Relationship Type="http://schemas.openxmlformats.org/officeDocument/2006/relationships/hyperlink" Id="rId141" Target="https://doi.org/10.1177/1178221820976988" TargetMode="External" /><Relationship Type="http://schemas.openxmlformats.org/officeDocument/2006/relationships/hyperlink" Id="rId90" Target="https://doi.org/10.21231/GNT1-HW21" TargetMode="External" /><Relationship Type="http://schemas.openxmlformats.org/officeDocument/2006/relationships/hyperlink" Id="rId128" Target="https://doi.org/10.2196/29563" TargetMode="External" /><Relationship Type="http://schemas.openxmlformats.org/officeDocument/2006/relationships/hyperlink" Id="rId159" Target="https://doi.org/10.2196/41833" TargetMode="External" /><Relationship Type="http://schemas.openxmlformats.org/officeDocument/2006/relationships/hyperlink" Id="rId161" Target="https://doi.org/10.31234/osf.io/cgsf7" TargetMode="External" /><Relationship Type="http://schemas.openxmlformats.org/officeDocument/2006/relationships/hyperlink" Id="rId98" Target="https://doi.org/10.5555/ajhb.2007.31.supp.S47" TargetMode="External" /><Relationship Type="http://schemas.openxmlformats.org/officeDocument/2006/relationships/hyperlink" Id="rId166" Target="https://doi.org/10.7326/M14-0295" TargetMode="External" /><Relationship Type="http://schemas.openxmlformats.org/officeDocument/2006/relationships/hyperlink" Id="rId107"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3" Target="https://www.ncbi.nlm.nih.gov/pmc/articles/PMC2797101" TargetMode="External" /><Relationship Type="http://schemas.openxmlformats.org/officeDocument/2006/relationships/hyperlink" Id="rId15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2025-07-31T19:00:24Z</dcterms:created>
  <dcterms:modified xsi:type="dcterms:W3CDTF">2025-07-31T19:00:24Z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2025-07-31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