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w:t>
      </w:r>
      <w:r>
        <w:t xml:space="preserve"> </w:t>
      </w:r>
      <w:r>
        <w:t xml:space="preserve">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 model with a brier score .063. For comparison, raw probability scores yielded brier scores of .071 and .077 for the no lag and 2-week lag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w:t>
      </w:r>
      <w:r>
        <w:t xml:space="preserve">Fisher (2015)</w:t>
      </w:r>
      <w:r>
        <w:t xml:space="preserve">;</w:t>
      </w:r>
      <w:r>
        <w:t xml:space="preserve"> </w:t>
      </w:r>
      <w:r>
        <w:t xml:space="preserve">David et al. (2018)</w:t>
      </w:r>
      <w:r>
        <w:t xml:space="preserve">;</w:t>
      </w:r>
      <w:r>
        <w:t xml:space="preserve"> </w:t>
      </w:r>
      <w:r>
        <w:t xml:space="preserve">Roche et al. (2014)</w:t>
      </w:r>
      <w:r>
        <w:t xml:space="preserve">;</w:t>
      </w:r>
      <w:r>
        <w:t xml:space="preserve"> </w:t>
      </w:r>
      <w:r>
        <w:t xml:space="preserve">Wright et al. (2016)</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w:t>
      </w:r>
      <w:r>
        <w:t xml:space="preserve"> </w:t>
      </w:r>
      <w:r>
        <w:t xml:space="preserve">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explicilty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poentially powerful feautures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activiites that are persoanlized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sytem engagement, trust, and clinical outcomes. Passive sensing of model inputs may allow assessment of a broader range of risk factors with less burden for system users. And perhaps most important, model fairness must be improved by descreasing disparities in performace for less priviledged groups. We remain optimistic about the potential to implement these models within a smart RMSS because these barriers are tractable and we have already begun to take several steps to adress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2025-08-20T13:51:35Z</dcterms:created>
  <dcterms:modified xsi:type="dcterms:W3CDTF">2025-08-20T13:51:35Z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