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2025-02-05</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r>
        <w:t xml:space="preserve"> </w:t>
      </w:r>
      <w:r>
        <w:t xml:space="preserve">1. were age 18 or older,</w:t>
      </w:r>
      <w:r>
        <w:t xml:space="preserve"> </w:t>
      </w:r>
      <w:r>
        <w:t xml:space="preserve">2. could write and read in English,</w:t>
      </w:r>
      <w:r>
        <w:t xml:space="preserve"> </w:t>
      </w:r>
      <w:r>
        <w:t xml:space="preserve">3. had at least moderately severe alcohol use disorder (&gt;= 4 self-reported DSM-5 symptoms),</w:t>
      </w:r>
      <w:r>
        <w:t xml:space="preserve"> </w:t>
      </w:r>
      <w:r>
        <w:t xml:space="preserve">4. were abstinent from alcohol for 1-8 weeks, and</w:t>
      </w:r>
      <w:r>
        <w:t xml:space="preserve"> </w:t>
      </w:r>
      <w:r>
        <w:t xml:space="preserve">5. were willing to use a single smartphone (personal or study provided) while on study.</w:t>
      </w:r>
    </w:p>
    <w:p>
      <w:pPr>
        <w:pStyle w:val="BodyText"/>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s">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s">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s"/>
          <w:p>
            <w:pPr>
              <w:pStyle w:val="Compact"/>
              <w:jc w:val="center"/>
            </w:pPr>
            <w:r>
              <w:drawing>
                <wp:inline>
                  <wp:extent cx="5334000" cy="4307372"/>
                  <wp:effectExtent b="0" l="0" r="0" t="0"/>
                  <wp:docPr descr="" title="" id="32" name="Picture"/>
                  <a:graphic>
                    <a:graphicData uri="http://schemas.openxmlformats.org/drawingml/2006/picture">
                      <pic:pic>
                        <pic:nvPicPr>
                          <pic:cNvPr descr="index_files/figure-docx/notebooks-mak_figures-fig-methods-output-1.png" id="33" name="Picture"/>
                          <pic:cNvPicPr>
                            <a:picLocks noChangeArrowheads="1" noChangeAspect="1"/>
                          </pic:cNvPicPr>
                        </pic:nvPicPr>
                        <pic:blipFill>
                          <a:blip r:embed="rId31"/>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 point and start of the prediction window. A prediction window either started immediately after the prediction time 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1"/>
        </w:numPr>
      </w:pPr>
      <w:r>
        <w:rPr>
          <w:i/>
          <w:iCs/>
        </w:rPr>
        <w:t xml:space="preserve">Prediction window</w:t>
      </w:r>
      <w:r>
        <w:t xml:space="preserve">: We dummy-coded features for day of the week for the start of the prediction window.</w:t>
      </w:r>
    </w:p>
    <w:p>
      <w:pPr>
        <w:numPr>
          <w:ilvl w:val="0"/>
          <w:numId w:val="1001"/>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1"/>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6"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0.042</w:t>
                  </w:r>
                </w:p>
              </w:tc>
              <w:tc>
                <w:tcPr/>
                <w:p>
                  <w:pPr>
                    <w:pStyle w:val="Compact"/>
                    <w:jc w:val="left"/>
                    <w:jc w:val="center"/>
                  </w:pPr>
                  <w:r>
                    <w:t xml:space="preserve">[0.007, 0.078]</w:t>
                  </w:r>
                </w:p>
              </w:tc>
              <w:tc>
                <w:tcPr/>
                <w:p>
                  <w:pPr>
                    <w:pStyle w:val="Compact"/>
                    <w:jc w:val="left"/>
                    <w:jc w:val="center"/>
                  </w:pPr>
                  <w:r>
                    <w:t xml:space="preserve">0.978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0.114</w:t>
                  </w:r>
                </w:p>
              </w:tc>
              <w:tc>
                <w:tcPr/>
                <w:p>
                  <w:pPr>
                    <w:pStyle w:val="Compact"/>
                    <w:jc w:val="left"/>
                    <w:jc w:val="center"/>
                  </w:pPr>
                  <w:r>
                    <w:t xml:space="preserve">[0.067, 0.162]</w:t>
                  </w:r>
                </w:p>
              </w:tc>
              <w:tc>
                <w:tcPr/>
                <w:p>
                  <w:pPr>
                    <w:pStyle w:val="Compact"/>
                    <w:jc w:val="left"/>
                    <w:jc w:val="center"/>
                  </w:pPr>
                  <w:r>
                    <w:t xml:space="preserve">1</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5" w:name="references"/>
    <w:p>
      <w:pPr>
        <w:pStyle w:val="Heading2"/>
      </w:pPr>
      <w:r>
        <w:t xml:space="preserve">References</w:t>
      </w:r>
    </w:p>
    <w:bookmarkStart w:id="134"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5"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4">
        <w:r>
          <w:rPr>
            <w:rStyle w:val="Hyperlink"/>
          </w:rPr>
          <w:t xml:space="preserve">https://doi.org/10.1016/j.brat.2019.103506</w:t>
        </w:r>
      </w:hyperlink>
      <w:r>
        <w:t xml:space="preserve">.</w:t>
      </w:r>
    </w:p>
    <w:bookmarkEnd w:id="85"/>
    <w:bookmarkStart w:id="86"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6"/>
    <w:bookmarkStart w:id="87"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7"/>
    <w:bookmarkStart w:id="89"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8">
        <w:r>
          <w:rPr>
            <w:rStyle w:val="Hyperlink"/>
          </w:rPr>
          <w:t xml:space="preserve">https://doi.org/10.1016/j.drugalcdep.2006.05.012</w:t>
        </w:r>
      </w:hyperlink>
      <w:r>
        <w:t xml:space="preserve">.</w:t>
      </w:r>
    </w:p>
    <w:bookmarkEnd w:id="89"/>
    <w:bookmarkStart w:id="90"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0"/>
    <w:bookmarkStart w:id="91"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1"/>
    <w:bookmarkStart w:id="92"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2"/>
    <w:bookmarkStart w:id="94"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3">
        <w:r>
          <w:rPr>
            <w:rStyle w:val="Hyperlink"/>
          </w:rPr>
          <w:t xml:space="preserve">https://doi.org/10/gfsjzg</w:t>
        </w:r>
      </w:hyperlink>
      <w:r>
        <w:t xml:space="preserve">.</w:t>
      </w:r>
    </w:p>
    <w:bookmarkEnd w:id="94"/>
    <w:bookmarkStart w:id="96"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5">
        <w:r>
          <w:rPr>
            <w:rStyle w:val="Hyperlink"/>
          </w:rPr>
          <w:t xml:space="preserve">https://doi.org/10.1001/jamanetworkopen.2020.5852</w:t>
        </w:r>
      </w:hyperlink>
      <w:r>
        <w:t xml:space="preserve">.</w:t>
      </w:r>
    </w:p>
    <w:bookmarkEnd w:id="96"/>
    <w:bookmarkStart w:id="98"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7">
        <w:r>
          <w:rPr>
            <w:rStyle w:val="Hyperlink"/>
          </w:rPr>
          <w:t xml:space="preserve">https://doi.org/10.1007/s11920-012-0296-5</w:t>
        </w:r>
      </w:hyperlink>
      <w:r>
        <w:t xml:space="preserve">.</w:t>
      </w:r>
    </w:p>
    <w:bookmarkEnd w:id="98"/>
    <w:bookmarkStart w:id="99"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9"/>
    <w:bookmarkStart w:id="101"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0">
        <w:r>
          <w:rPr>
            <w:rStyle w:val="Hyperlink"/>
          </w:rPr>
          <w:t xml:space="preserve">https://doi.org/10.1007/978-1-4614-6849-3</w:t>
        </w:r>
      </w:hyperlink>
      <w:r>
        <w:t xml:space="preserve">.</w:t>
      </w:r>
    </w:p>
    <w:bookmarkEnd w:id="101"/>
    <w:bookmarkStart w:id="102"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2"/>
    <w:bookmarkStart w:id="103"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3"/>
    <w:bookmarkStart w:id="104"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4"/>
    <w:bookmarkStart w:id="106"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5">
        <w:r>
          <w:rPr>
            <w:rStyle w:val="Hyperlink"/>
          </w:rPr>
          <w:t xml:space="preserve">https://doi.org/10.1001/jama.284.13.1689</w:t>
        </w:r>
      </w:hyperlink>
      <w:r>
        <w:t xml:space="preserve">.</w:t>
      </w:r>
    </w:p>
    <w:bookmarkEnd w:id="106"/>
    <w:bookmarkStart w:id="108"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7">
        <w:r>
          <w:rPr>
            <w:rStyle w:val="Hyperlink"/>
          </w:rPr>
          <w:t xml:space="preserve">https://doi.org/10.1146/annurev-clinpsy-032816-044949</w:t>
        </w:r>
      </w:hyperlink>
      <w:r>
        <w:t xml:space="preserve">.</w:t>
      </w:r>
    </w:p>
    <w:bookmarkEnd w:id="108"/>
    <w:bookmarkStart w:id="110"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09">
        <w:r>
          <w:rPr>
            <w:rStyle w:val="Hyperlink"/>
          </w:rPr>
          <w:t xml:space="preserve">https://doi.org/10.2196/29563</w:t>
        </w:r>
      </w:hyperlink>
      <w:r>
        <w:t xml:space="preserve">.</w:t>
      </w:r>
    </w:p>
    <w:bookmarkEnd w:id="110"/>
    <w:bookmarkStart w:id="112"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1">
        <w:r>
          <w:rPr>
            <w:rStyle w:val="Hyperlink"/>
          </w:rPr>
          <w:t xml:space="preserve">https://doi.org/10.1016/j.jsat.2021.108710</w:t>
        </w:r>
      </w:hyperlink>
      <w:r>
        <w:t xml:space="preserve">.</w:t>
      </w:r>
    </w:p>
    <w:bookmarkEnd w:id="112"/>
    <w:bookmarkStart w:id="114"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3">
        <w:r>
          <w:rPr>
            <w:rStyle w:val="Hyperlink"/>
          </w:rPr>
          <w:t xml:space="preserve">https://doi.org/10.1016/j.drugalcdep.2019.05.017</w:t>
        </w:r>
      </w:hyperlink>
      <w:r>
        <w:t xml:space="preserve">.</w:t>
      </w:r>
    </w:p>
    <w:bookmarkEnd w:id="114"/>
    <w:bookmarkStart w:id="115"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5"/>
    <w:bookmarkStart w:id="117"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6">
        <w:r>
          <w:rPr>
            <w:rStyle w:val="Hyperlink"/>
          </w:rPr>
          <w:t xml:space="preserve">https://doi.org/10.1111/add.13479</w:t>
        </w:r>
      </w:hyperlink>
      <w:r>
        <w:t xml:space="preserve">.</w:t>
      </w:r>
    </w:p>
    <w:bookmarkEnd w:id="117"/>
    <w:bookmarkStart w:id="119"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8">
        <w:r>
          <w:rPr>
            <w:rStyle w:val="Hyperlink"/>
          </w:rPr>
          <w:t xml:space="preserve">https://doi.org/10.1037/adb0000666</w:t>
        </w:r>
      </w:hyperlink>
      <w:r>
        <w:t xml:space="preserve">.</w:t>
      </w:r>
    </w:p>
    <w:bookmarkEnd w:id="119"/>
    <w:bookmarkStart w:id="121"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0">
        <w:r>
          <w:rPr>
            <w:rStyle w:val="Hyperlink"/>
          </w:rPr>
          <w:t xml:space="preserve">https://doi.org/10.1177/1178221820976988</w:t>
        </w:r>
      </w:hyperlink>
      <w:r>
        <w:t xml:space="preserve">.</w:t>
      </w:r>
    </w:p>
    <w:bookmarkEnd w:id="121"/>
    <w:bookmarkStart w:id="122"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2"/>
    <w:bookmarkStart w:id="124"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3">
        <w:r>
          <w:rPr>
            <w:rStyle w:val="Hyperlink"/>
          </w:rPr>
          <w:t xml:space="preserve">https://doi.org/10.1016/j.jsat.2021.108417</w:t>
        </w:r>
      </w:hyperlink>
      <w:r>
        <w:t xml:space="preserve">.</w:t>
      </w:r>
    </w:p>
    <w:bookmarkEnd w:id="124"/>
    <w:bookmarkStart w:id="12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5">
        <w:r>
          <w:rPr>
            <w:rStyle w:val="Hyperlink"/>
          </w:rPr>
          <w:t xml:space="preserve">https://doi.org/10.1037/0003-066X.59.4.224</w:t>
        </w:r>
      </w:hyperlink>
      <w:r>
        <w:t xml:space="preserve">.</w:t>
      </w:r>
    </w:p>
    <w:bookmarkEnd w:id="126"/>
    <w:bookmarkStart w:id="12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7">
        <w:r>
          <w:rPr>
            <w:rStyle w:val="Hyperlink"/>
          </w:rPr>
          <w:t xml:space="preserve">https://doi.org/10.1016/j.cpr.2007.01.002</w:t>
        </w:r>
      </w:hyperlink>
      <w:r>
        <w:t xml:space="preserve">.</w:t>
      </w:r>
    </w:p>
    <w:bookmarkEnd w:id="128"/>
    <w:bookmarkStart w:id="129"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29"/>
    <w:bookmarkStart w:id="13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0">
        <w:r>
          <w:rPr>
            <w:rStyle w:val="Hyperlink"/>
          </w:rPr>
          <w:t xml:space="preserve">https://doi.org/10.2196/41833</w:t>
        </w:r>
      </w:hyperlink>
      <w:r>
        <w:t xml:space="preserve">.</w:t>
      </w:r>
    </w:p>
    <w:bookmarkEnd w:id="131"/>
    <w:bookmarkStart w:id="13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2">
        <w:r>
          <w:rPr>
            <w:rStyle w:val="Hyperlink"/>
          </w:rPr>
          <w:t xml:space="preserve">https://doi.org/10.31234/osf.io/cgsf7</w:t>
        </w:r>
      </w:hyperlink>
      <w:r>
        <w:t xml:space="preserve">.</w:t>
      </w:r>
    </w:p>
    <w:bookmarkEnd w:id="133"/>
    <w:bookmarkEnd w:id="134"/>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w:t>
      </w:r>
      <w:r>
        <w:rPr>
          <w:b/>
          <w:bCs/>
        </w:rPr>
        <w:t xml:space="preserve">derogatislBriefSymptomInventory?</w:t>
      </w:r>
      <w:r>
        <w:t xml:space="preserve">)</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5" Target="https://doi.org/10.1001/jama.284.13.1689" TargetMode="External" /><Relationship Type="http://schemas.openxmlformats.org/officeDocument/2006/relationships/hyperlink" Id="rId95" Target="https://doi.org/10.1001/jamanetworkopen.2020.5852" TargetMode="External" /><Relationship Type="http://schemas.openxmlformats.org/officeDocument/2006/relationships/hyperlink" Id="rId100"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7"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4" Target="https://doi.org/10.1016/j.brat.2019.103506" TargetMode="External" /><Relationship Type="http://schemas.openxmlformats.org/officeDocument/2006/relationships/hyperlink" Id="rId127" Target="https://doi.org/10.1016/j.cpr.2007.01.002" TargetMode="External" /><Relationship Type="http://schemas.openxmlformats.org/officeDocument/2006/relationships/hyperlink" Id="rId88" Target="https://doi.org/10.1016/j.drugalcdep.2006.05.012" TargetMode="External" /><Relationship Type="http://schemas.openxmlformats.org/officeDocument/2006/relationships/hyperlink" Id="rId113"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3" Target="https://doi.org/10.1016/j.jsat.2021.108417" TargetMode="External" /><Relationship Type="http://schemas.openxmlformats.org/officeDocument/2006/relationships/hyperlink" Id="rId111" Target="https://doi.org/10.1016/j.jsat.2021.108710" TargetMode="External" /><Relationship Type="http://schemas.openxmlformats.org/officeDocument/2006/relationships/hyperlink" Id="rId125" Target="https://doi.org/10.1037/0003-066X.59.4.224" TargetMode="External" /><Relationship Type="http://schemas.openxmlformats.org/officeDocument/2006/relationships/hyperlink" Id="rId118" Target="https://doi.org/10.1037/adb0000666" TargetMode="External" /><Relationship Type="http://schemas.openxmlformats.org/officeDocument/2006/relationships/hyperlink" Id="rId116" Target="https://doi.org/10.1111/add.13479" TargetMode="External" /><Relationship Type="http://schemas.openxmlformats.org/officeDocument/2006/relationships/hyperlink" Id="rId107"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0"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09" Target="https://doi.org/10.2196/29563" TargetMode="External" /><Relationship Type="http://schemas.openxmlformats.org/officeDocument/2006/relationships/hyperlink" Id="rId130" Target="https://doi.org/10.2196/41833" TargetMode="External" /><Relationship Type="http://schemas.openxmlformats.org/officeDocument/2006/relationships/hyperlink" Id="rId132" Target="https://doi.org/10.31234/osf.io/cgsf7" TargetMode="External" /><Relationship Type="http://schemas.openxmlformats.org/officeDocument/2006/relationships/hyperlink" Id="rId93"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001/jama.284.13.1689" TargetMode="External" /><Relationship Type="http://schemas.openxmlformats.org/officeDocument/2006/relationships/hyperlink" Id="rId95" Target="https://doi.org/10.1001/jamanetworkopen.2020.5852" TargetMode="External" /><Relationship Type="http://schemas.openxmlformats.org/officeDocument/2006/relationships/hyperlink" Id="rId100"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7"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4" Target="https://doi.org/10.1016/j.brat.2019.103506" TargetMode="External" /><Relationship Type="http://schemas.openxmlformats.org/officeDocument/2006/relationships/hyperlink" Id="rId127" Target="https://doi.org/10.1016/j.cpr.2007.01.002" TargetMode="External" /><Relationship Type="http://schemas.openxmlformats.org/officeDocument/2006/relationships/hyperlink" Id="rId88" Target="https://doi.org/10.1016/j.drugalcdep.2006.05.012" TargetMode="External" /><Relationship Type="http://schemas.openxmlformats.org/officeDocument/2006/relationships/hyperlink" Id="rId113"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3" Target="https://doi.org/10.1016/j.jsat.2021.108417" TargetMode="External" /><Relationship Type="http://schemas.openxmlformats.org/officeDocument/2006/relationships/hyperlink" Id="rId111" Target="https://doi.org/10.1016/j.jsat.2021.108710" TargetMode="External" /><Relationship Type="http://schemas.openxmlformats.org/officeDocument/2006/relationships/hyperlink" Id="rId125" Target="https://doi.org/10.1037/0003-066X.59.4.224" TargetMode="External" /><Relationship Type="http://schemas.openxmlformats.org/officeDocument/2006/relationships/hyperlink" Id="rId118" Target="https://doi.org/10.1037/adb0000666" TargetMode="External" /><Relationship Type="http://schemas.openxmlformats.org/officeDocument/2006/relationships/hyperlink" Id="rId116" Target="https://doi.org/10.1111/add.13479" TargetMode="External" /><Relationship Type="http://schemas.openxmlformats.org/officeDocument/2006/relationships/hyperlink" Id="rId107"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0"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09" Target="https://doi.org/10.2196/29563" TargetMode="External" /><Relationship Type="http://schemas.openxmlformats.org/officeDocument/2006/relationships/hyperlink" Id="rId130" Target="https://doi.org/10.2196/41833" TargetMode="External" /><Relationship Type="http://schemas.openxmlformats.org/officeDocument/2006/relationships/hyperlink" Id="rId132" Target="https://doi.org/10.31234/osf.io/cgsf7" TargetMode="External" /><Relationship Type="http://schemas.openxmlformats.org/officeDocument/2006/relationships/hyperlink" Id="rId93"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2025-02-06T01:14:12Z</dcterms:created>
  <dcterms:modified xsi:type="dcterms:W3CDTF">2025-02-06T01:14:12Z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