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2025-08-20</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.84).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w:t>
      </w:r>
      <w:r>
        <w:t xml:space="preserve">(McLellan et al. 2000; Dennis and Scott 2007)</w:t>
      </w:r>
      <w:r>
        <w:t xml:space="preserve">, substantial co-morbidity with other physical and mental health problems</w:t>
      </w:r>
      <w:r>
        <w:t xml:space="preserve"> </w:t>
      </w:r>
      <w:r>
        <w:t xml:space="preserve">(Substance Abuse and Mental Health Services Administration n.d.; Dennis and Scott 2007)</w:t>
      </w:r>
      <w:r>
        <w:t xml:space="preserve">, and an increased risk of mortality</w:t>
      </w:r>
      <w:r>
        <w:t xml:space="preserve"> </w:t>
      </w:r>
      <w:r>
        <w:t xml:space="preserve">(Hedegaard et al. 2021;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w:t>
      </w:r>
      <w:r>
        <w:t xml:space="preserve"> </w:t>
      </w:r>
      <w:r>
        <w:t xml:space="preserve">(Wagner et al. 2001)</w:t>
      </w:r>
      <w:r>
        <w:t xml:space="preserve">.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An important focus of continuing care during SUD recovery is to prevent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the subjective experiences (e.g., craving, affect, stress, motivation, self-efficacy) that are targets for change in evidence-based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Moreover,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(auROC) of 0.91 and 0.93, respectively.</w:t>
      </w:r>
    </w:p>
    <w:p>
      <w:pPr>
        <w:pStyle w:val="BodyText"/>
      </w:pPr>
      <w:r>
        <w:t xml:space="preserve">Wyant et al. (2024)</w:t>
      </w:r>
      <w:r>
        <w:t xml:space="preserve">’s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be provided to assist them.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recovery monitoring and support system (RMSS) for patients with an alcohol use disorder</w:t>
      </w:r>
      <w:r>
        <w:t xml:space="preserve"> </w:t>
      </w:r>
      <w:r>
        <w:t xml:space="preserve">(Wyant et al. under review)</w:t>
      </w:r>
      <w:r>
        <w:t xml:space="preserve">.</w:t>
      </w:r>
    </w:p>
    <w:p>
      <w:pPr>
        <w:pStyle w:val="BodyText"/>
      </w:pPr>
      <w:r>
        <w:t xml:space="preserve">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w:t>
      </w:r>
      <w:r>
        <w:t xml:space="preserve"> </w:t>
      </w:r>
      <w:r>
        <w:t xml:space="preserve">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w:t>
      </w:r>
      <w:r>
        <w:t xml:space="preserve"> </w:t>
      </w:r>
      <w:r>
        <w:t xml:space="preserve">(Aczel et al. 2019)</w:t>
      </w:r>
      <w:r>
        <w:t xml:space="preserve">.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USA for a 3-month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anticipated risky situations and stressful events encountered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2000)</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This method produced totals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1-day, 3-day, 1-week, and 2-week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5:1 to 1:1).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Bayesian CIs for auROCs for all five models. To evaluate our models’ overall performance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(Platt 1999)</w:t>
      </w:r>
      <w:r>
        <w:t xml:space="preserve">.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bookmarkEnd w:id="47"/>
    <w:bookmarkStart w:id="48"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 hour window for a specific participant), which indicates the</w:t>
      </w:r>
      <w:r>
        <w:t xml:space="preserve"> </w:t>
      </w:r>
      <w:r>
        <w:t xml:space="preserve">“local importance”</w:t>
      </w:r>
      <w:r>
        <w:t xml:space="preserve"> </w:t>
      </w:r>
      <w:r>
        <w:t xml:space="preserve">of that feature</w:t>
      </w:r>
      <w:r>
        <w:t xml:space="preserve"> </w:t>
      </w:r>
      <w:r>
        <w:t xml:space="preserve">(Lundberg and Lee 2017)</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lagged models. Global feature importance plots for all five models are available in the supplement.</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.84)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 .063. For comparison, raw probability scores yielded brier scores of .071 and .077 for the no lag and 2-week lagged models, respectively.</w:t>
      </w:r>
    </w:p>
    <w:p>
      <w:pPr>
        <w:pStyle w:val="BodyText"/>
      </w:pPr>
      <w:hyperlink w:anchor="fig-cal">
        <w:r>
          <w:rPr>
            <w:rStyle w:val="Hyperlink"/>
          </w:rPr>
          <w:t xml:space="preserve">Figure 3</w:t>
        </w:r>
      </w:hyperlink>
      <w:r>
        <w:t xml:space="preserve"> </w:t>
      </w:r>
      <w:r>
        <w:t xml:space="preserve">shows the calibration plots for the raw and calibrated probabilities for the no lag and 2-week lagged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87" w:name="discussion"/>
    <w:p>
      <w:pPr>
        <w:pStyle w:val="Heading1"/>
      </w:pPr>
      <w:r>
        <w:t xml:space="preserve">Discussion</w:t>
      </w:r>
    </w:p>
    <w:bookmarkStart w:id="80" w:name="model-performance"/>
    <w:p>
      <w:pPr>
        <w:pStyle w:val="Heading2"/>
      </w:pPr>
      <w:r>
        <w:t xml:space="preserve">Model Performance</w:t>
      </w:r>
    </w:p>
    <w:p>
      <w:pPr>
        <w:pStyle w:val="FirstParagraph"/>
      </w:pPr>
      <w:r>
        <w:t xml:space="preserve">All the models that we evaluated performed exceptionally well. The no lag model had a .91 median posterior probability for auROC. This model predicts the probability of an immediate (i.e., within 24 hours) lapse back to alcohol use.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End w:id="80"/>
    <w:bookmarkStart w:id="81"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lack of diversity in our training data was likely a key contributor to the poorer model performance in these subgroups. Participants of color group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under review)</w:t>
      </w:r>
      <w:r>
        <w:t xml:space="preserve">. In a separate project, we developed a national recruitment method that allowed us to recruit for racial, ethnic and income diversity while also focusing on much needed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w:t>
      </w:r>
      <w:r>
        <w:t xml:space="preserve"> </w:t>
      </w:r>
      <w:r>
        <w:t xml:space="preserve">(Lee et al. 2023; Lister et al. 2020)</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w:t>
      </w:r>
      <w:r>
        <w:t xml:space="preserve"> </w:t>
      </w:r>
      <w:r>
        <w:t xml:space="preserve">(Fisher 2015; David et al. 2018; Roche et al. 2014; Wright et al. 2016)</w:t>
      </w:r>
      <w:r>
        <w:t xml:space="preserve"> </w:t>
      </w:r>
      <w:r>
        <w:t xml:space="preserve">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(Pulick, Curtin, and Mintz 2025)</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use treatment research due to their childbearing potential</w:t>
      </w:r>
      <w:r>
        <w:t xml:space="preserve"> </w:t>
      </w:r>
      <w:r>
        <w:t xml:space="preserve">(Vannicelli and Nash 1984)</w:t>
      </w:r>
      <w:r>
        <w:t xml:space="preserve">.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(Tausczik and Pennebaker 2010; Blei, Ng, and Jordan 2003; Devlin et al. 2019)</w:t>
      </w:r>
      <w:r>
        <w:t xml:space="preserve">) to text messages and other social media activity by our participants to engineer features that may predict their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(Molnar 2022)</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81"/>
    <w:bookmarkStart w:id="84" w:name="model-characterization-1"/>
    <w:p>
      <w:pPr>
        <w:pStyle w:val="Heading2"/>
      </w:pPr>
      <w:r>
        <w:t xml:space="preserve">Model Characterization</w:t>
      </w:r>
    </w:p>
    <w:bookmarkStart w:id="82"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the lapse event rates. Well-calibrated probabilities are important because they indicate that the predicted probability aligns closely with the true likelihood of an outcome (i.e., a lapse). Our calibrated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82"/>
    <w:bookmarkStart w:id="83"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(Marlatt and Gordon 1985)</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only two weeks into the future.</w:t>
      </w:r>
      <w:r>
        <w:t xml:space="preserve"> </w:t>
      </w:r>
      <w:r>
        <w:t xml:space="preserve">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Self-efficacy may become a more stable predictor of future abstinence success after longer periods of recovery, but our sample was limited to participants in early recovery (&lt;= 8 weeks of abstinence at intake).</w:t>
      </w:r>
    </w:p>
    <w:p>
      <w:pPr>
        <w:pStyle w:val="BodyText"/>
      </w:pPr>
      <w:r>
        <w:t xml:space="preserve">Past use was less important for the 2-week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However,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(Witkiewitz and Marlatt 2007)</w:t>
      </w:r>
      <w:r>
        <w:t xml:space="preserve">.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for lapses back to use may be delayed. It may be that it takes persistent exposure to risks to undermine an abstinence goal and lead to return to alcohol use. Alternatively or additionally, people may be better able to anticipate future risky situations (e.g., vacations, anniversaries of significant dates) than future acute stressors or even their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 like our lagged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(Marlatt and Gordon 1985; Witkiewitz and Marlatt 2004; Rawson et al. 1995)</w:t>
      </w:r>
      <w:r>
        <w:t xml:space="preserve"> </w:t>
      </w:r>
      <w:r>
        <w:t xml:space="preserve">and represent targets for intervention in many existing treatments</w:t>
      </w:r>
      <w:r>
        <w:t xml:space="preserve"> </w:t>
      </w:r>
      <w:r>
        <w:t xml:space="preserve">(McHugh, Hearon, and Otto 2010; Liese and Beck 2022; Bowen et al. 2021; Center for Substance Abuse Treatment 2006)</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(Molnar 2022)</w:t>
      </w:r>
      <w:r>
        <w:t xml:space="preserve">. Alternatively, we may need to more carefully consider the nuanced role that these constructs play in the return to alcohol use during recovery</w:t>
      </w:r>
      <w:r>
        <w:t xml:space="preserve"> </w:t>
      </w:r>
      <w:r>
        <w:t xml:space="preserve">(Fronk et al. 2020)</w:t>
      </w:r>
      <w:r>
        <w:t xml:space="preserve">.</w:t>
      </w:r>
    </w:p>
    <w:bookmarkEnd w:id="83"/>
    <w:bookmarkEnd w:id="84"/>
    <w:bookmarkStart w:id="85"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these models can be used to identify the specific factors that contribute to each lapse risk prediction.</w:t>
      </w:r>
    </w:p>
    <w:p>
      <w:pPr>
        <w:pStyle w:val="BodyText"/>
      </w:pPr>
      <w:r>
        <w:t xml:space="preserve">Our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explicilty support) the user to reflect on recent past successes and/or skills they have developed when their self-efficacy is low.</w:t>
      </w:r>
    </w:p>
    <w:p>
      <w:pPr>
        <w:pStyle w:val="BodyText"/>
      </w:pPr>
      <w:r>
        <w:t xml:space="preserve">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pPr>
        <w:pStyle w:val="BodyText"/>
      </w:pPr>
      <w:r>
        <w:t xml:space="preserve">At this point, it is still unclear the best way to provide risk and support information from our models to people. For a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recovery activity recommendation, the linguistic style and tone of the message) on engagement, trust, clinical outcomes</w:t>
      </w:r>
      <w:r>
        <w:t xml:space="preserve"> </w:t>
      </w:r>
      <w:r>
        <w:t xml:space="preserve">(Wyant et al. under review)</w:t>
      </w:r>
      <w:r>
        <w:t xml:space="preserve">.</w:t>
      </w:r>
    </w:p>
    <w:p>
      <w:pPr>
        <w:pStyle w:val="BodyText"/>
      </w:pPr>
      <w:r>
        <w:t xml:space="preserve">For a system using lagged models, we can imagine that lags longer than two weeks (i.e., more advanced warning) would be better still. In the present study, we were not able to train models with lags longer than two weeks because participants only provided lapse reports for up to three months. With two week lags, we had approximately 17% fewer labeled observations to train models because we had to discard the first two weeks (out of 12 weeks) of labels for each participant. This data loss may be one factor that contributed to the decreases in model performance with increases in lag time and we believed that greater data loss (e.g., 25% for a 3-week lag) was not tenable. We have recently completed data collection on a NIDA funded project where participants provided EMA and other sensed data for up to 12 months</w:t>
      </w:r>
      <w:r>
        <w:t xml:space="preserve"> </w:t>
      </w:r>
      <w:r>
        <w:t xml:space="preserve">(Moshontz et al. 2021)</w:t>
      </w:r>
      <w:r>
        <w:t xml:space="preserve">. These data will allow us to train models with longer lags and to better evaluate the impact of data loss on model performance because lag time can be increased substantially with proportionally less data loss given 52 weeks of labelled observations per participant.</w:t>
      </w:r>
    </w:p>
    <w:p>
      <w:pPr>
        <w:pStyle w:val="BodyText"/>
      </w:pPr>
      <w:r>
        <w:t xml:space="preserve">Our use of features from 4x daily EMA as model inputs may raise concerns about measurement burden. We confirmed that participants can comply with such EMA schedules over this time period and that they find it acceptable given its potential benefits to them</w:t>
      </w:r>
      <w:r>
        <w:t xml:space="preserve"> </w:t>
      </w:r>
      <w:r>
        <w:t xml:space="preserve">(Wyant et al. 2023; see also Jones et al. 2019)</w:t>
      </w:r>
      <w:r>
        <w:t xml:space="preserve">. However, frequent daily surveys may become too burdensome within a RMSS intended for use over many, many months to years for long-term continuing care. We have begun to address this concern by training no lag models with fewer EMAs (1x daily) and have found comparable performance</w:t>
      </w:r>
      <w:r>
        <w:t xml:space="preserve"> </w:t>
      </w:r>
      <w:r>
        <w:t xml:space="preserve">(Pulick, Curtin, and Mintz 2025)</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We have also begun to explore how we can supplement our models with data from lower burden sensing methods. Geolocation, which can be passively sensed, could compliment EMA well.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poentially powerful feautures can be engineered by combining geolocation data with contextual information available in public sources</w:t>
      </w:r>
      <w:r>
        <w:t xml:space="preserve"> </w:t>
      </w:r>
      <w:r>
        <w:t xml:space="preserve">(Huang, Li, and Yue 2010; Xie, Deng, and Zhou 2009)</w:t>
      </w:r>
      <w:r>
        <w:t xml:space="preserve"> </w:t>
      </w:r>
      <w:r>
        <w:t xml:space="preserve">or collected from the user directly</w:t>
      </w:r>
      <w:r>
        <w:t xml:space="preserve"> </w:t>
      </w:r>
      <w:r>
        <w:t xml:space="preserve">(Moshontz et al. 2021)</w:t>
      </w:r>
      <w:r>
        <w:t xml:space="preserve">.</w:t>
      </w:r>
    </w:p>
    <w:bookmarkEnd w:id="85"/>
    <w:bookmarkStart w:id="86" w:name="conclusions"/>
    <w:p>
      <w:pPr>
        <w:pStyle w:val="Heading2"/>
      </w:pPr>
      <w:r>
        <w:t xml:space="preserve">Conclusions</w:t>
      </w:r>
    </w:p>
    <w:p>
      <w:pPr>
        <w:pStyle w:val="FirstParagraph"/>
      </w:pPr>
      <w: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activiites that are persoanlized to their lapse risk and the factors contributing to that risk. The 2-week lagged model could allow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sytem engagement, trust, and clinical outcomes. Passive sensing of model inputs may allow assessment of a broader range of risk factors with less burden for system users. And perhaps most important, model fairness must be improved by descreasing disparities in performace for less priviledged groups. We remain optimistic about the potential to implement these models within a smart RMSS because these barriers are tractable and we have already begun to take several steps to adress them.</w:t>
      </w:r>
    </w:p>
    <w:bookmarkEnd w:id="86"/>
    <w:bookmarkEnd w:id="87"/>
    <w:bookmarkStart w:id="207" w:name="references"/>
    <w:p>
      <w:pPr>
        <w:pStyle w:val="Heading1"/>
      </w:pPr>
      <w:r>
        <w:t xml:space="preserve">References</w:t>
      </w:r>
    </w:p>
    <w:bookmarkStart w:id="206" w:name="refs"/>
    <w:bookmarkStart w:id="89" w:name="X126aebe61d5329fdf5f31356b05d81ee3379203"/>
    <w:p>
      <w:pPr>
        <w:pStyle w:val="Bibliography"/>
      </w:pPr>
      <w:r>
        <w:t xml:space="preserve">Aczel, Balazs, Barnabas Szaszi, Alexandra Sarafoglou, Zoltan Kekecs, Šimon Kucharský, Daniel Benjamin, Christopher D. Chambers, et al. 2019.</w:t>
      </w:r>
      <w:r>
        <w:t xml:space="preserve"> </w:t>
      </w:r>
      <w:r>
        <w:t xml:space="preserve">“A Consensus-Based Transparency Checklist.”</w:t>
      </w:r>
      <w:r>
        <w:t xml:space="preserve"> </w:t>
      </w:r>
      <w:r>
        <w:rPr>
          <w:i/>
          <w:iCs/>
        </w:rPr>
        <w:t xml:space="preserve">Nature Human Behaviour</w:t>
      </w:r>
      <w:r>
        <w:t xml:space="preserve">, December, 1–3.</w:t>
      </w:r>
      <w:r>
        <w:t xml:space="preserve"> </w:t>
      </w:r>
      <w:hyperlink r:id="rId88">
        <w:r>
          <w:rPr>
            <w:rStyle w:val="Hyperlink"/>
          </w:rPr>
          <w:t xml:space="preserve">https://doi.org/10.1038/s41562-019-0772-6</w:t>
        </w:r>
      </w:hyperlink>
      <w:r>
        <w:t xml:space="preserve">.</w:t>
      </w:r>
    </w:p>
    <w:bookmarkEnd w:id="89"/>
    <w:bookmarkStart w:id="91"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90">
        <w:r>
          <w:rPr>
            <w:rStyle w:val="Hyperlink"/>
          </w:rPr>
          <w:t xml:space="preserve">https://doi.org/10.1007/s10488-016-0718-5</w:t>
        </w:r>
      </w:hyperlink>
      <w:r>
        <w:t xml:space="preserve">.</w:t>
      </w:r>
    </w:p>
    <w:bookmarkEnd w:id="91"/>
    <w:bookmarkStart w:id="92" w:name="ref-bleiLatentDirichletAllocation2003"/>
    <w:p>
      <w:pPr>
        <w:pStyle w:val="Bibliography"/>
      </w:pPr>
      <w:r>
        <w:t xml:space="preserve">Blei, David M., Andrew Y. Ng, and Michael I. Jordan. 2003.</w:t>
      </w:r>
      <w:r>
        <w:t xml:space="preserve"> </w:t>
      </w:r>
      <w:r>
        <w:t xml:space="preserve">“Latent Dirichlet Allocation.”</w:t>
      </w:r>
      <w:r>
        <w:t xml:space="preserve"> </w:t>
      </w:r>
      <w:r>
        <w:rPr>
          <w:i/>
          <w:iCs/>
        </w:rPr>
        <w:t xml:space="preserve">J. Mach. Learn. Res.</w:t>
      </w:r>
      <w:r>
        <w:t xml:space="preserve"> </w:t>
      </w:r>
      <w:r>
        <w:t xml:space="preserve">3 (null): 993–1022.</w:t>
      </w:r>
    </w:p>
    <w:bookmarkEnd w:id="92"/>
    <w:bookmarkStart w:id="93"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93"/>
    <w:bookmarkStart w:id="95"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4">
        <w:r>
          <w:rPr>
            <w:rStyle w:val="Hyperlink"/>
          </w:rPr>
          <w:t xml:space="preserve">https://doi.org/10.1146/annurev.clinpsy.3.022806.091455</w:t>
        </w:r>
      </w:hyperlink>
      <w:r>
        <w:t xml:space="preserve">.</w:t>
      </w:r>
    </w:p>
    <w:bookmarkEnd w:id="95"/>
    <w:bookmarkStart w:id="97"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6">
        <w:r>
          <w:rPr>
            <w:rStyle w:val="Hyperlink"/>
          </w:rPr>
          <w:t xml:space="preserve">https://doi.org/10.21231/GNT1-HW21</w:t>
        </w:r>
      </w:hyperlink>
      <w:r>
        <w:t xml:space="preserve">.</w:t>
      </w:r>
    </w:p>
    <w:bookmarkEnd w:id="97"/>
    <w:bookmarkStart w:id="98" w:name="X8e0e943878d1a2c3026b4a46f6c482e09849b94"/>
    <w:p>
      <w:pPr>
        <w:pStyle w:val="Bibliography"/>
      </w:pPr>
      <w:r>
        <w:t xml:space="preserve">Center for Substance Abuse Treatment. 2006.</w:t>
      </w:r>
      <w:r>
        <w:t xml:space="preserve"> </w:t>
      </w:r>
      <w:r>
        <w:rPr>
          <w:i/>
          <w:iCs/>
        </w:rPr>
        <w:t xml:space="preserve">Counselor’s</w:t>
      </w:r>
      <w:r>
        <w:rPr>
          <w:i/>
          <w:iCs/>
        </w:rPr>
        <w:t xml:space="preserve"> </w:t>
      </w:r>
      <w:r>
        <w:rPr>
          <w:i/>
          <w:iCs/>
        </w:rPr>
        <w:t xml:space="preserve">Treatment Manual</w:t>
      </w:r>
      <w:r>
        <w:rPr>
          <w:i/>
          <w:iCs/>
        </w:rPr>
        <w:t xml:space="preserve">:</w:t>
      </w:r>
      <w:r>
        <w:rPr>
          <w:i/>
          <w:iCs/>
        </w:rPr>
        <w:t xml:space="preserve"> </w:t>
      </w:r>
      <w:r>
        <w:rPr>
          <w:i/>
          <w:iCs/>
        </w:rPr>
        <w:t xml:space="preserve">Matrix Intensive Outpatient Treatment</w:t>
      </w:r>
      <w:r>
        <w:rPr>
          <w:i/>
          <w:iCs/>
        </w:rPr>
        <w:t xml:space="preserve"> </w:t>
      </w:r>
      <w:r>
        <w:rPr>
          <w:i/>
          <w:iCs/>
        </w:rPr>
        <w:t xml:space="preserve">for</w:t>
      </w:r>
      <w:r>
        <w:rPr>
          <w:i/>
          <w:iCs/>
        </w:rPr>
        <w:t xml:space="preserve"> </w:t>
      </w:r>
      <w:r>
        <w:rPr>
          <w:i/>
          <w:iCs/>
        </w:rPr>
        <w:t xml:space="preserve">People With Stimulant Use Disorders</w:t>
      </w:r>
      <w:r>
        <w:t xml:space="preserve">.</w:t>
      </w:r>
      <w:r>
        <w:t xml:space="preserve"> </w:t>
      </w:r>
      <w:r>
        <w:t xml:space="preserve">HHS Publication No</w:t>
      </w:r>
      <w:r>
        <w:t xml:space="preserve">. (</w:t>
      </w:r>
      <w:r>
        <w:t xml:space="preserve">SMA</w:t>
      </w:r>
      <w:r>
        <w:t xml:space="preserve">) 13-4152. Rockville, MD:</w:t>
      </w:r>
      <w:r>
        <w:t xml:space="preserve"> </w:t>
      </w:r>
      <w:r>
        <w:t xml:space="preserve">Substance Abuse and Mental Health Services Administration</w:t>
      </w:r>
      <w:r>
        <w:t xml:space="preserve">.</w:t>
      </w:r>
    </w:p>
    <w:bookmarkEnd w:id="98"/>
    <w:bookmarkStart w:id="9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9"/>
    <w:bookmarkStart w:id="101" w:name="Xb70ed90433964dc3a7ede0ee8357d97241623cc"/>
    <w:p>
      <w:pPr>
        <w:pStyle w:val="Bibliography"/>
      </w:pPr>
      <w:r>
        <w:t xml:space="preserve">David, Sarah Jo, Andrew J. Marshall, Emma K. Evanovich, and Gregory H. Mumma. 2018.</w:t>
      </w:r>
      <w:r>
        <w:t xml:space="preserve"> </w:t>
      </w:r>
      <w:r>
        <w:t xml:space="preserve">“Intraindividual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w:t>
      </w:r>
      <w:r>
        <w:t xml:space="preserve"> </w:t>
      </w:r>
      <w:r>
        <w:rPr>
          <w:i/>
          <w:iCs/>
        </w:rPr>
        <w:t xml:space="preserve">Journal of Psychopathology and Behavioral Assessment</w:t>
      </w:r>
      <w:r>
        <w:t xml:space="preserve"> </w:t>
      </w:r>
      <w:r>
        <w:t xml:space="preserve">40 (2): 235–48.</w:t>
      </w:r>
      <w:r>
        <w:t xml:space="preserve"> </w:t>
      </w:r>
      <w:hyperlink r:id="rId100">
        <w:r>
          <w:rPr>
            <w:rStyle w:val="Hyperlink"/>
          </w:rPr>
          <w:t xml:space="preserve">https://doi.org/10.1007/s10862-017-9632-8</w:t>
        </w:r>
      </w:hyperlink>
      <w:r>
        <w:t xml:space="preserve">.</w:t>
      </w:r>
    </w:p>
    <w:bookmarkEnd w:id="101"/>
    <w:bookmarkStart w:id="103" w:name="ref-dennisManagingAddictionChronic2007"/>
    <w:p>
      <w:pPr>
        <w:pStyle w:val="Bibliography"/>
      </w:pPr>
      <w:r>
        <w:t xml:space="preserve">Dennis, Michael, and Christy K Scott. 2007.</w:t>
      </w:r>
      <w:r>
        <w:t xml:space="preserve"> </w:t>
      </w:r>
      <w:r>
        <w:t xml:space="preserve">“</w:t>
      </w:r>
      <w:hyperlink r:id="rId10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103"/>
    <w:bookmarkStart w:id="104"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104"/>
    <w:bookmarkStart w:id="10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105">
        <w:r>
          <w:rPr>
            <w:rStyle w:val="Hyperlink"/>
          </w:rPr>
          <w:t xml:space="preserve">https://doi.org/10.1016/j.brat.2019.103506</w:t>
        </w:r>
      </w:hyperlink>
      <w:r>
        <w:t xml:space="preserve">.</w:t>
      </w:r>
    </w:p>
    <w:bookmarkEnd w:id="106"/>
    <w:bookmarkStart w:id="108" w:name="ref-devlinBERTPretrainingDeep2019"/>
    <w:p>
      <w:pPr>
        <w:pStyle w:val="Bibliography"/>
      </w:pPr>
      <w:r>
        <w:t xml:space="preserve">Devlin, Jacob, Ming-Wei Chang, Kenton Lee, and Kristina Toutanova. 2019.</w:t>
      </w:r>
      <w:r>
        <w:t xml:space="preserve"> </w:t>
      </w:r>
      <w:r>
        <w:t xml:space="preserve">“</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t xml:space="preserve">arXiv.</w:t>
      </w:r>
      <w:r>
        <w:t xml:space="preserve"> </w:t>
      </w:r>
      <w:hyperlink r:id="rId107">
        <w:r>
          <w:rPr>
            <w:rStyle w:val="Hyperlink"/>
          </w:rPr>
          <w:t xml:space="preserve">https://doi.org/10.48550/arXiv.1810.04805</w:t>
        </w:r>
      </w:hyperlink>
      <w:r>
        <w:t xml:space="preserve">.</w:t>
      </w:r>
    </w:p>
    <w:bookmarkEnd w:id="108"/>
    <w:bookmarkStart w:id="110"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9">
        <w:r>
          <w:rPr>
            <w:rStyle w:val="Hyperlink"/>
          </w:rPr>
          <w:t xml:space="preserve">https://doi.org/10.5555/ajhb.2007.31.supp.S47</w:t>
        </w:r>
      </w:hyperlink>
      <w:r>
        <w:t xml:space="preserve">.</w:t>
      </w:r>
    </w:p>
    <w:bookmarkEnd w:id="110"/>
    <w:bookmarkStart w:id="112" w:name="ref-fisherDynamicModelPsychological2015"/>
    <w:p>
      <w:pPr>
        <w:pStyle w:val="Bibliography"/>
      </w:pPr>
      <w:r>
        <w:t xml:space="preserve">Fisher, Aaron J. 2015.</w:t>
      </w:r>
      <w:r>
        <w:t xml:space="preserve"> </w:t>
      </w:r>
      <w:r>
        <w:t xml:space="preserve">“Toward a Dynamic Model of Psychological Assessment:</w:t>
      </w:r>
      <w:r>
        <w:t xml:space="preserve"> </w:t>
      </w:r>
      <w:r>
        <w:t xml:space="preserve">Implications</w:t>
      </w:r>
      <w:r>
        <w:t xml:space="preserve"> </w:t>
      </w:r>
      <w:r>
        <w:t xml:space="preserve">for Personalized Care.”</w:t>
      </w:r>
      <w:r>
        <w:t xml:space="preserve"> </w:t>
      </w:r>
      <w:r>
        <w:rPr>
          <w:i/>
          <w:iCs/>
        </w:rPr>
        <w:t xml:space="preserve">Journal of Consulting and Clinical Psychology</w:t>
      </w:r>
      <w:r>
        <w:t xml:space="preserve"> </w:t>
      </w:r>
      <w:r>
        <w:t xml:space="preserve">83 (4): 825–36.</w:t>
      </w:r>
      <w:r>
        <w:t xml:space="preserve"> </w:t>
      </w:r>
      <w:hyperlink r:id="rId111">
        <w:r>
          <w:rPr>
            <w:rStyle w:val="Hyperlink"/>
          </w:rPr>
          <w:t xml:space="preserve">https://doi.org/10.1037/ccp0000026</w:t>
        </w:r>
      </w:hyperlink>
      <w:r>
        <w:t xml:space="preserve">.</w:t>
      </w:r>
    </w:p>
    <w:bookmarkEnd w:id="112"/>
    <w:bookmarkStart w:id="114" w:name="ref-fronkStressAllostasisSubstance2020"/>
    <w:p>
      <w:pPr>
        <w:pStyle w:val="Bibliography"/>
      </w:pPr>
      <w:r>
        <w:t xml:space="preserve">Fronk, Gaylen E., Sarah J. Sant’Ana, Jesse T. Kaye, and John J. Curtin. 2020.</w:t>
      </w:r>
      <w:r>
        <w:t xml:space="preserve"> </w:t>
      </w:r>
      <w:r>
        <w:t xml:space="preserve">“Stress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 </w:t>
      </w:r>
      <w:r>
        <w:t xml:space="preserve">16 (1): 401–30.</w:t>
      </w:r>
      <w:r>
        <w:t xml:space="preserve"> </w:t>
      </w:r>
      <w:hyperlink r:id="rId113">
        <w:r>
          <w:rPr>
            <w:rStyle w:val="Hyperlink"/>
          </w:rPr>
          <w:t xml:space="preserve">https://doi.org/10.1146/annurev-clinpsy-102419-125016</w:t>
        </w:r>
      </w:hyperlink>
      <w:r>
        <w:t xml:space="preserve">.</w:t>
      </w:r>
    </w:p>
    <w:bookmarkEnd w:id="114"/>
    <w:bookmarkStart w:id="11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15"/>
    <w:bookmarkStart w:id="11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16"/>
    <w:bookmarkStart w:id="118"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17">
        <w:r>
          <w:rPr>
            <w:rStyle w:val="Hyperlink"/>
          </w:rPr>
          <w:t xml:space="preserve">https://doi.org/10.1016/j.drugalcdep.2006.05.012</w:t>
        </w:r>
      </w:hyperlink>
      <w:r>
        <w:t xml:space="preserve">.</w:t>
      </w:r>
    </w:p>
    <w:bookmarkEnd w:id="118"/>
    <w:bookmarkStart w:id="119"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19"/>
    <w:bookmarkStart w:id="120" w:name="ref-hedegaardDrugOverdoseDeaths2021"/>
    <w:p>
      <w:pPr>
        <w:pStyle w:val="Bibliography"/>
      </w:pPr>
      <w:r>
        <w:t xml:space="preserve">Hedegaard, Holly, Arialdi M. Miniño, Merianne Rose Spencer, and Margaret Warner. 2021.</w:t>
      </w:r>
      <w:r>
        <w:t xml:space="preserve"> </w:t>
      </w:r>
      <w:r>
        <w:t xml:space="preserve">“Drug Overdose Deaths in the</w:t>
      </w:r>
      <w:r>
        <w:t xml:space="preserve"> </w:t>
      </w:r>
      <w:r>
        <w:t xml:space="preserve">United States</w:t>
      </w:r>
      <w:r>
        <w:t xml:space="preserve">, 1999–2020.”</w:t>
      </w:r>
    </w:p>
    <w:bookmarkEnd w:id="120"/>
    <w:bookmarkStart w:id="121"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21"/>
    <w:bookmarkStart w:id="123" w:name="ref-huangActivityIdentificationGPS2010"/>
    <w:p>
      <w:pPr>
        <w:pStyle w:val="Bibliography"/>
      </w:pPr>
      <w:r>
        <w:t xml:space="preserve">Huang, Lian, Qingquan Li, and Yang Yue. 2010.</w:t>
      </w:r>
      <w:r>
        <w:t xml:space="preserve"> </w:t>
      </w:r>
      <w:r>
        <w:t xml:space="preserve">“Activity Identification from</w:t>
      </w:r>
      <w:r>
        <w:t xml:space="preserve"> </w:t>
      </w:r>
      <w:r>
        <w:t xml:space="preserve">GPS</w:t>
      </w:r>
      <w:r>
        <w:t xml:space="preserve"> </w:t>
      </w:r>
      <w:r>
        <w:t xml:space="preserve">Trajectories Using Spatial Temporal</w:t>
      </w:r>
      <w:r>
        <w:t xml:space="preserve"> </w:t>
      </w:r>
      <w:r>
        <w:t xml:space="preserve">POIs</w:t>
      </w:r>
      <w:r>
        <w:t xml:space="preserve">’ Attractiveness.”</w:t>
      </w:r>
      <w:r>
        <w:t xml:space="preserve"> </w:t>
      </w:r>
      <w:r>
        <w:t xml:space="preserve">In</w:t>
      </w:r>
      <w:r>
        <w:t xml:space="preserve"> </w:t>
      </w:r>
      <w:r>
        <w:rPr>
          <w:i/>
          <w:iCs/>
        </w:rPr>
        <w:t xml:space="preserve">Proceedings of the 2nd</w:t>
      </w:r>
      <w:r>
        <w:rPr>
          <w:i/>
          <w:iCs/>
        </w:rPr>
        <w:t xml:space="preserve"> </w:t>
      </w:r>
      <w:r>
        <w:rPr>
          <w:i/>
          <w:iCs/>
        </w:rPr>
        <w:t xml:space="preserve">ACM SIGSPATIAL International Workshop</w:t>
      </w:r>
      <w:r>
        <w:rPr>
          <w:i/>
          <w:iCs/>
        </w:rPr>
        <w:t xml:space="preserve"> </w:t>
      </w:r>
      <w:r>
        <w:rPr>
          <w:i/>
          <w:iCs/>
        </w:rPr>
        <w:t xml:space="preserve">on</w:t>
      </w:r>
      <w:r>
        <w:rPr>
          <w:i/>
          <w:iCs/>
        </w:rPr>
        <w:t xml:space="preserve"> </w:t>
      </w:r>
      <w:r>
        <w:rPr>
          <w:i/>
          <w:iCs/>
        </w:rPr>
        <w:t xml:space="preserve">Location Based Social Networks</w:t>
      </w:r>
      <w:r>
        <w:t xml:space="preserve">, 27–30.</w:t>
      </w:r>
      <w:r>
        <w:t xml:space="preserve"> </w:t>
      </w:r>
      <w:r>
        <w:t xml:space="preserve">LBSN</w:t>
      </w:r>
      <w:r>
        <w:t xml:space="preserve"> </w:t>
      </w:r>
      <w:r>
        <w:t xml:space="preserve">’10. New York, NY, USA: Association for Computing Machinery.</w:t>
      </w:r>
      <w:r>
        <w:t xml:space="preserve"> </w:t>
      </w:r>
      <w:hyperlink r:id="rId122">
        <w:r>
          <w:rPr>
            <w:rStyle w:val="Hyperlink"/>
          </w:rPr>
          <w:t xml:space="preserve">https://doi.org/10.1145/1867699.1867704</w:t>
        </w:r>
      </w:hyperlink>
      <w:r>
        <w:t xml:space="preserve">.</w:t>
      </w:r>
    </w:p>
    <w:bookmarkEnd w:id="123"/>
    <w:bookmarkStart w:id="12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24">
        <w:r>
          <w:rPr>
            <w:rStyle w:val="Hyperlink"/>
          </w:rPr>
          <w:t xml:space="preserve">https://doi.org/10/gfsjzg</w:t>
        </w:r>
      </w:hyperlink>
      <w:r>
        <w:t xml:space="preserve">.</w:t>
      </w:r>
    </w:p>
    <w:bookmarkEnd w:id="125"/>
    <w:bookmarkStart w:id="12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26">
        <w:r>
          <w:rPr>
            <w:rStyle w:val="Hyperlink"/>
          </w:rPr>
          <w:t xml:space="preserve">https://doi.org/10.1001/jamanetworkopen.2020.5852</w:t>
        </w:r>
      </w:hyperlink>
      <w:r>
        <w:t xml:space="preserve">.</w:t>
      </w:r>
    </w:p>
    <w:bookmarkEnd w:id="127"/>
    <w:bookmarkStart w:id="12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28">
        <w:r>
          <w:rPr>
            <w:rStyle w:val="Hyperlink"/>
          </w:rPr>
          <w:t xml:space="preserve">https://doi.org/10.1007/s11920-012-0296-5</w:t>
        </w:r>
      </w:hyperlink>
      <w:r>
        <w:t xml:space="preserve">.</w:t>
      </w:r>
    </w:p>
    <w:bookmarkEnd w:id="129"/>
    <w:bookmarkStart w:id="13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30"/>
    <w:bookmarkStart w:id="13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31">
        <w:r>
          <w:rPr>
            <w:rStyle w:val="Hyperlink"/>
          </w:rPr>
          <w:t xml:space="preserve">https://doi.org/10.1007/978-1-4614-6849-3</w:t>
        </w:r>
      </w:hyperlink>
      <w:r>
        <w:t xml:space="preserve">.</w:t>
      </w:r>
    </w:p>
    <w:bookmarkEnd w:id="132"/>
    <w:bookmarkStart w:id="13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33"/>
    <w:bookmarkStart w:id="135" w:name="ref-leeUrbanRuralDisparities2023"/>
    <w:p>
      <w:pPr>
        <w:pStyle w:val="Bibliography"/>
      </w:pPr>
      <w:r>
        <w:t xml:space="preserve">Lee, Jong Hyung, David C. Wheeler, Emily B. Zimmerman, Anika L. Hines, and Derek A. Chapman. 2023.</w:t>
      </w:r>
      <w:r>
        <w:t xml:space="preserve"> </w:t>
      </w:r>
      <w:r>
        <w:t xml:space="preserve">“Urban–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w:t>
      </w:r>
      <w:r>
        <w:t xml:space="preserve"> </w:t>
      </w:r>
      <w:r>
        <w:rPr>
          <w:i/>
          <w:iCs/>
        </w:rPr>
        <w:t xml:space="preserve">American Journal of Preventive Medicine</w:t>
      </w:r>
      <w:r>
        <w:t xml:space="preserve"> </w:t>
      </w:r>
      <w:r>
        <w:t xml:space="preserve">64 (2): 149–56.</w:t>
      </w:r>
      <w:r>
        <w:t xml:space="preserve"> </w:t>
      </w:r>
      <w:hyperlink r:id="rId134">
        <w:r>
          <w:rPr>
            <w:rStyle w:val="Hyperlink"/>
          </w:rPr>
          <w:t xml:space="preserve">https://doi.org/10.1016/j.amepre.2022.08.022</w:t>
        </w:r>
      </w:hyperlink>
      <w:r>
        <w:t xml:space="preserve">.</w:t>
      </w:r>
    </w:p>
    <w:bookmarkEnd w:id="135"/>
    <w:bookmarkStart w:id="136" w:name="X0943ff04c0b05099bf4a8c8078db37e3463cff7"/>
    <w:p>
      <w:pPr>
        <w:pStyle w:val="Bibliography"/>
      </w:pPr>
      <w:r>
        <w:t xml:space="preserve">Liese, Bruce S., and Aaron T. Beck.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First edition. New York: The Guilford Press.</w:t>
      </w:r>
    </w:p>
    <w:bookmarkEnd w:id="136"/>
    <w:bookmarkStart w:id="138" w:name="Xaa720cc9c8d959b428cd2035783815a9cba15e0"/>
    <w:p>
      <w:pPr>
        <w:pStyle w:val="Bibliography"/>
      </w:pPr>
      <w:r>
        <w:t xml:space="preserve">Lister, Jamey J., Addie Weaver, Jennifer D. Ellis, Joseph A. Himle, and David M. Ledgerwood. 2020.</w:t>
      </w:r>
      <w:r>
        <w:t xml:space="preserve"> </w:t>
      </w:r>
      <w:r>
        <w:t xml:space="preserve">“A Systematic Review of Rural-Specific Barriers to Medication Treatment for Opioid Use Disorder in the</w:t>
      </w:r>
      <w:r>
        <w:t xml:space="preserve"> </w:t>
      </w:r>
      <w:r>
        <w:t xml:space="preserve">United States</w:t>
      </w:r>
      <w:r>
        <w:t xml:space="preserve">.”</w:t>
      </w:r>
      <w:r>
        <w:t xml:space="preserve"> </w:t>
      </w:r>
      <w:r>
        <w:rPr>
          <w:i/>
          <w:iCs/>
        </w:rPr>
        <w:t xml:space="preserve">The American Journal of Drug and Alcohol Abuse</w:t>
      </w:r>
      <w:r>
        <w:t xml:space="preserve"> </w:t>
      </w:r>
      <w:r>
        <w:t xml:space="preserve">46 (3): 273–88.</w:t>
      </w:r>
      <w:r>
        <w:t xml:space="preserve"> </w:t>
      </w:r>
      <w:hyperlink r:id="rId137">
        <w:r>
          <w:rPr>
            <w:rStyle w:val="Hyperlink"/>
          </w:rPr>
          <w:t xml:space="preserve">https://doi.org/10.1080/00952990.2019.1694536</w:t>
        </w:r>
      </w:hyperlink>
      <w:r>
        <w:t xml:space="preserve">.</w:t>
      </w:r>
    </w:p>
    <w:bookmarkEnd w:id="138"/>
    <w:bookmarkStart w:id="13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39"/>
    <w:bookmarkStart w:id="14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40"/>
    <w:bookmarkStart w:id="14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41"/>
    <w:bookmarkStart w:id="143" w:name="X1e16a8cc741ec7d68b9bde12ee2c181d9d36a93"/>
    <w:p>
      <w:pPr>
        <w:pStyle w:val="Bibliography"/>
      </w:pPr>
      <w:r>
        <w:t xml:space="preserve">McHugh, R. Kathryn, Bridget A. Hearon, and Michael W. Otto. 2010.</w:t>
      </w:r>
      <w:r>
        <w:t xml:space="preserve"> </w:t>
      </w:r>
      <w:r>
        <w:t xml:space="preserve">“Cognitive-</w:t>
      </w:r>
      <w:r>
        <w:t xml:space="preserve">Behavioral Therapy</w:t>
      </w:r>
      <w:r>
        <w:t xml:space="preserve"> </w:t>
      </w:r>
      <w:r>
        <w:t xml:space="preserve">for</w:t>
      </w:r>
      <w:r>
        <w:t xml:space="preserve"> </w:t>
      </w:r>
      <w:r>
        <w:t xml:space="preserve">Substance Use Disorders</w:t>
      </w:r>
      <w:r>
        <w:t xml:space="preserve">.”</w:t>
      </w:r>
      <w:r>
        <w:t xml:space="preserve"> </w:t>
      </w:r>
      <w:r>
        <w:rPr>
          <w:i/>
          <w:iCs/>
        </w:rPr>
        <w:t xml:space="preserve">The Psychiatric Clinics of North America</w:t>
      </w:r>
      <w:r>
        <w:t xml:space="preserve"> </w:t>
      </w:r>
      <w:r>
        <w:t xml:space="preserve">33 (3): 511–25.</w:t>
      </w:r>
      <w:r>
        <w:t xml:space="preserve"> </w:t>
      </w:r>
      <w:hyperlink r:id="rId142">
        <w:r>
          <w:rPr>
            <w:rStyle w:val="Hyperlink"/>
          </w:rPr>
          <w:t xml:space="preserve">https://doi.org/10.1016/j.psc.2010.04.012</w:t>
        </w:r>
      </w:hyperlink>
      <w:r>
        <w:t xml:space="preserve">.</w:t>
      </w:r>
    </w:p>
    <w:bookmarkEnd w:id="143"/>
    <w:bookmarkStart w:id="145" w:name="ref-mchughSexGenderDifferences2018"/>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w:t>
      </w:r>
      <w:r>
        <w:t xml:space="preserve">66 (December): 12–23.</w:t>
      </w:r>
      <w:r>
        <w:t xml:space="preserve"> </w:t>
      </w:r>
      <w:hyperlink r:id="rId144">
        <w:r>
          <w:rPr>
            <w:rStyle w:val="Hyperlink"/>
          </w:rPr>
          <w:t xml:space="preserve">https://doi.org/10.1016/j.cpr.2017.10.012</w:t>
        </w:r>
      </w:hyperlink>
      <w:r>
        <w:t xml:space="preserve">.</w:t>
      </w:r>
    </w:p>
    <w:bookmarkEnd w:id="145"/>
    <w:bookmarkStart w:id="14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46">
        <w:r>
          <w:rPr>
            <w:rStyle w:val="Hyperlink"/>
          </w:rPr>
          <w:t xml:space="preserve">https://doi.org/10.1001/jama.284.13.1689</w:t>
        </w:r>
      </w:hyperlink>
      <w:r>
        <w:t xml:space="preserve">.</w:t>
      </w:r>
    </w:p>
    <w:bookmarkEnd w:id="147"/>
    <w:bookmarkStart w:id="149"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48">
        <w:r>
          <w:rPr>
            <w:rStyle w:val="Hyperlink"/>
          </w:rPr>
          <w:t xml:space="preserve">https://doi.org/10.1016/j.drugalcdep.2021.108706</w:t>
        </w:r>
      </w:hyperlink>
      <w:r>
        <w:t xml:space="preserve">.</w:t>
      </w:r>
    </w:p>
    <w:bookmarkEnd w:id="149"/>
    <w:bookmarkStart w:id="151"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50">
        <w:r>
          <w:rPr>
            <w:rStyle w:val="Hyperlink"/>
          </w:rPr>
          <w:t xml:space="preserve">https://doi.org/10.1146/annurev-clinpsy-032816-044949</w:t>
        </w:r>
      </w:hyperlink>
      <w:r>
        <w:t xml:space="preserve">.</w:t>
      </w:r>
    </w:p>
    <w:bookmarkEnd w:id="151"/>
    <w:bookmarkStart w:id="152" w:name="X0c0e928dd8ff101aa479012bffab8d24e8c0dcf"/>
    <w:p>
      <w:pPr>
        <w:pStyle w:val="Bibliography"/>
      </w:pPr>
      <w:r>
        <w:t xml:space="preserve">Molnar, Christoph.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Munich, Germany: Independently published.</w:t>
      </w:r>
    </w:p>
    <w:bookmarkEnd w:id="152"/>
    <w:bookmarkStart w:id="154"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53">
        <w:r>
          <w:rPr>
            <w:rStyle w:val="Hyperlink"/>
          </w:rPr>
          <w:t xml:space="preserve">https://doi.org/10.2196/29563</w:t>
        </w:r>
      </w:hyperlink>
      <w:r>
        <w:t xml:space="preserve">.</w:t>
      </w:r>
    </w:p>
    <w:bookmarkEnd w:id="154"/>
    <w:bookmarkStart w:id="156"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55">
        <w:r>
          <w:rPr>
            <w:rStyle w:val="Hyperlink"/>
          </w:rPr>
          <w:t xml:space="preserve">https://doi.org/10.1016/j.jsat.2021.108710</w:t>
        </w:r>
      </w:hyperlink>
      <w:r>
        <w:t xml:space="preserve">.</w:t>
      </w:r>
    </w:p>
    <w:bookmarkEnd w:id="156"/>
    <w:bookmarkStart w:id="158"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57">
        <w:r>
          <w:rPr>
            <w:rStyle w:val="Hyperlink"/>
          </w:rPr>
          <w:t xml:space="preserve">https://doi.org/10.1016/j.drugalcdep.2019.05.017</w:t>
        </w:r>
      </w:hyperlink>
      <w:r>
        <w:t xml:space="preserve">.</w:t>
      </w:r>
    </w:p>
    <w:bookmarkEnd w:id="158"/>
    <w:bookmarkStart w:id="159" w:name="ref-plattProbabilisticOutputsSupport1999"/>
    <w:p>
      <w:pPr>
        <w:pStyle w:val="Bibliography"/>
      </w:pPr>
      <w:r>
        <w:t xml:space="preserve">Platt, John. 1999.</w:t>
      </w:r>
      <w:r>
        <w:t xml:space="preserve"> </w:t>
      </w:r>
      <w:r>
        <w:t xml:space="preserve">“Probabilistic Outputs for Support Vector Machines and Comparisons to Regularized Likelihood Methods.”</w:t>
      </w:r>
      <w:r>
        <w:t xml:space="preserve"> </w:t>
      </w:r>
      <w:r>
        <w:t xml:space="preserve">In</w:t>
      </w:r>
      <w:r>
        <w:t xml:space="preserve"> </w:t>
      </w:r>
      <w:r>
        <w:rPr>
          <w:i/>
          <w:iCs/>
        </w:rPr>
        <w:t xml:space="preserve">Advances in Large Margin Classifiers</w:t>
      </w:r>
      <w:r>
        <w:t xml:space="preserve">, 61–74. MIT Press.</w:t>
      </w:r>
    </w:p>
    <w:bookmarkEnd w:id="159"/>
    <w:bookmarkStart w:id="161" w:name="ref-pulickIdiographicLapsePrediction2025"/>
    <w:p>
      <w:pPr>
        <w:pStyle w:val="Bibliography"/>
      </w:pPr>
      <w:r>
        <w:t xml:space="preserve">Pulick, Eric, John Curtin, and Yonatan Mintz. 2025.</w:t>
      </w:r>
      <w:r>
        <w:t xml:space="preserve"> </w:t>
      </w:r>
      <w:r>
        <w:t xml:space="preserve">“Idiographic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w:t>
      </w:r>
      <w:r>
        <w:t xml:space="preserve"> </w:t>
      </w:r>
      <w:r>
        <w:rPr>
          <w:i/>
          <w:iCs/>
        </w:rPr>
        <w:t xml:space="preserve">JMIR Formative Research</w:t>
      </w:r>
      <w:r>
        <w:t xml:space="preserve"> </w:t>
      </w:r>
      <w:r>
        <w:t xml:space="preserve">9 (1): e73265.</w:t>
      </w:r>
      <w:r>
        <w:t xml:space="preserve"> </w:t>
      </w:r>
      <w:hyperlink r:id="rId160">
        <w:r>
          <w:rPr>
            <w:rStyle w:val="Hyperlink"/>
          </w:rPr>
          <w:t xml:space="preserve">https://doi.org/10.2196/73265</w:t>
        </w:r>
      </w:hyperlink>
      <w:r>
        <w:t xml:space="preserve">.</w:t>
      </w:r>
    </w:p>
    <w:bookmarkEnd w:id="161"/>
    <w:bookmarkStart w:id="163" w:name="Xa1b8899d52f2070e9a46165cf23fe2013b5e4a3"/>
    <w:p>
      <w:pPr>
        <w:pStyle w:val="Bibliography"/>
      </w:pPr>
      <w:r>
        <w:t xml:space="preserve">Rawson, R. A., S. J. Shoptaw, J. L. Obert, M. J. McCann, A. L. Hasson, P. J. Marinelli-Casey, P. R. Brethen, and W. Ling. 1995.</w:t>
      </w:r>
      <w:r>
        <w:t xml:space="preserve"> </w:t>
      </w:r>
      <w:r>
        <w:t xml:space="preserve">“An Intensive Outpatient Approach for Cocaine Abuse Treatment.</w:t>
      </w:r>
      <w:r>
        <w:t xml:space="preserve"> </w:t>
      </w:r>
      <w:r>
        <w:t xml:space="preserve">The Matrix</w:t>
      </w:r>
      <w:r>
        <w:t xml:space="preserve"> </w:t>
      </w:r>
      <w:r>
        <w:t xml:space="preserve">Model.”</w:t>
      </w:r>
      <w:r>
        <w:t xml:space="preserve"> </w:t>
      </w:r>
      <w:r>
        <w:rPr>
          <w:i/>
          <w:iCs/>
        </w:rPr>
        <w:t xml:space="preserve">Journal of Substance Abuse Treatment</w:t>
      </w:r>
      <w:r>
        <w:t xml:space="preserve"> </w:t>
      </w:r>
      <w:r>
        <w:t xml:space="preserve">12 (2): 117–27.</w:t>
      </w:r>
      <w:r>
        <w:t xml:space="preserve"> </w:t>
      </w:r>
      <w:hyperlink r:id="rId162">
        <w:r>
          <w:rPr>
            <w:rStyle w:val="Hyperlink"/>
          </w:rPr>
          <w:t xml:space="preserve">https://doi.org/10.1016/0740-5472(94)00080-b</w:t>
        </w:r>
      </w:hyperlink>
      <w:r>
        <w:t xml:space="preserve">.</w:t>
      </w:r>
    </w:p>
    <w:bookmarkEnd w:id="163"/>
    <w:bookmarkStart w:id="165" w:name="Xc5cdea043ab663a81d5612c8b1e0f7c2b734aab"/>
    <w:p>
      <w:pPr>
        <w:pStyle w:val="Bibliography"/>
      </w:pPr>
      <w:r>
        <w:t xml:space="preserve">Roche, Michael J., Aaron L. Pincus, Amanda L. Rebar, David E. Conroy, and Nilam Ram. 2014.</w:t>
      </w:r>
      <w:r>
        <w:t xml:space="preserve"> </w:t>
      </w:r>
      <w:r>
        <w:t xml:space="preserve">“Enriching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w:t>
      </w:r>
      <w:r>
        <w:t xml:space="preserve"> </w:t>
      </w:r>
      <w:r>
        <w:rPr>
          <w:i/>
          <w:iCs/>
        </w:rPr>
        <w:t xml:space="preserve">Assessment</w:t>
      </w:r>
      <w:r>
        <w:t xml:space="preserve"> </w:t>
      </w:r>
      <w:r>
        <w:t xml:space="preserve">21 (5): 515–28.</w:t>
      </w:r>
      <w:r>
        <w:t xml:space="preserve"> </w:t>
      </w:r>
      <w:hyperlink r:id="rId164">
        <w:r>
          <w:rPr>
            <w:rStyle w:val="Hyperlink"/>
          </w:rPr>
          <w:t xml:space="preserve">https://doi.org/10.1177/1073191114540320</w:t>
        </w:r>
      </w:hyperlink>
      <w:r>
        <w:t xml:space="preserve">.</w:t>
      </w:r>
    </w:p>
    <w:bookmarkEnd w:id="165"/>
    <w:bookmarkStart w:id="16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66"/>
    <w:bookmarkStart w:id="16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67">
        <w:r>
          <w:rPr>
            <w:rStyle w:val="Hyperlink"/>
          </w:rPr>
          <w:t xml:space="preserve">https://doi.org/10.1111/add.13479</w:t>
        </w:r>
      </w:hyperlink>
      <w:r>
        <w:t xml:space="preserve">.</w:t>
      </w:r>
    </w:p>
    <w:bookmarkEnd w:id="168"/>
    <w:bookmarkStart w:id="17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69">
        <w:r>
          <w:rPr>
            <w:rStyle w:val="Hyperlink"/>
          </w:rPr>
          <w:t xml:space="preserve">https://doi.org/10.1037/adb0000666</w:t>
        </w:r>
      </w:hyperlink>
      <w:r>
        <w:t xml:space="preserve">.</w:t>
      </w:r>
    </w:p>
    <w:bookmarkEnd w:id="170"/>
    <w:bookmarkStart w:id="17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71">
        <w:r>
          <w:rPr>
            <w:rStyle w:val="Hyperlink"/>
          </w:rPr>
          <w:t xml:space="preserve">https://doi.org/10.1177/1178221820976988</w:t>
        </w:r>
      </w:hyperlink>
      <w:r>
        <w:t xml:space="preserve">.</w:t>
      </w:r>
    </w:p>
    <w:bookmarkEnd w:id="172"/>
    <w:bookmarkStart w:id="173"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73"/>
    <w:bookmarkStart w:id="174"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74"/>
    <w:bookmarkStart w:id="176" w:name="Xdd108b50209bad1fdcf1a9fcca4dd1d7d3b13e9"/>
    <w:p>
      <w:pPr>
        <w:pStyle w:val="Bibliography"/>
      </w:pPr>
      <w:r>
        <w:t xml:space="preserve">Tausczik, Yla R., and James W. Pennebaker. 2010.</w:t>
      </w:r>
      <w:r>
        <w:t xml:space="preserve"> </w:t>
      </w:r>
      <w:r>
        <w:t xml:space="preserve">“The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w:t>
      </w:r>
      <w:r>
        <w:t xml:space="preserve"> </w:t>
      </w:r>
      <w:r>
        <w:rPr>
          <w:i/>
          <w:iCs/>
        </w:rPr>
        <w:t xml:space="preserve">Journal of Language and Social Psychology</w:t>
      </w:r>
      <w:r>
        <w:t xml:space="preserve"> </w:t>
      </w:r>
      <w:r>
        <w:t xml:space="preserve">29 (1): 24–54.</w:t>
      </w:r>
      <w:r>
        <w:t xml:space="preserve"> </w:t>
      </w:r>
      <w:hyperlink r:id="rId175">
        <w:r>
          <w:rPr>
            <w:rStyle w:val="Hyperlink"/>
          </w:rPr>
          <w:t xml:space="preserve">https://doi.org/10.1177/0261927X09351676</w:t>
        </w:r>
      </w:hyperlink>
      <w:r>
        <w:t xml:space="preserve">.</w:t>
      </w:r>
    </w:p>
    <w:bookmarkEnd w:id="176"/>
    <w:bookmarkStart w:id="178"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77">
        <w:r>
          <w:rPr>
            <w:rStyle w:val="Hyperlink"/>
          </w:rPr>
          <w:t xml:space="preserve">https://doi.org/10.1111/j.1530-0277.1984.tb05523.x</w:t>
        </w:r>
      </w:hyperlink>
      <w:r>
        <w:t xml:space="preserve">.</w:t>
      </w:r>
    </w:p>
    <w:bookmarkEnd w:id="178"/>
    <w:bookmarkStart w:id="180"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79">
        <w:r>
          <w:rPr>
            <w:rStyle w:val="Hyperlink"/>
          </w:rPr>
          <w:t xml:space="preserve">https://doi.org/10.1093/jamia/ocy052</w:t>
        </w:r>
      </w:hyperlink>
      <w:r>
        <w:t xml:space="preserve">.</w:t>
      </w:r>
    </w:p>
    <w:bookmarkEnd w:id="180"/>
    <w:bookmarkStart w:id="182" w:name="ref-wagnerImprovingChronicIllness2001"/>
    <w:p>
      <w:pPr>
        <w:pStyle w:val="Bibliography"/>
      </w:pPr>
      <w:r>
        <w:t xml:space="preserve">Wagner, Edward H., Brian T. Austin, Connie Davis, Mike Hindmarsh, Judith Schaefer, and Amy Bonomi. 2001.</w:t>
      </w:r>
      <w:r>
        <w:t xml:space="preserve"> </w:t>
      </w:r>
      <w:r>
        <w:t xml:space="preserve">“Improving</w:t>
      </w:r>
      <w:r>
        <w:t xml:space="preserve"> </w:t>
      </w:r>
      <w:r>
        <w:t xml:space="preserve">Chronic Illness Care</w:t>
      </w:r>
      <w:r>
        <w:t xml:space="preserve">:</w:t>
      </w:r>
      <w:r>
        <w:t xml:space="preserve"> </w:t>
      </w:r>
      <w:r>
        <w:t xml:space="preserve">Translating Evidence Into Action</w:t>
      </w:r>
      <w:r>
        <w:t xml:space="preserve">.”</w:t>
      </w:r>
      <w:r>
        <w:t xml:space="preserve"> </w:t>
      </w:r>
      <w:r>
        <w:rPr>
          <w:i/>
          <w:iCs/>
        </w:rPr>
        <w:t xml:space="preserve">Health Affairs</w:t>
      </w:r>
      <w:r>
        <w:t xml:space="preserve"> </w:t>
      </w:r>
      <w:r>
        <w:t xml:space="preserve">20 (6): 64–78.</w:t>
      </w:r>
      <w:r>
        <w:t xml:space="preserve"> </w:t>
      </w:r>
      <w:hyperlink r:id="rId181">
        <w:r>
          <w:rPr>
            <w:rStyle w:val="Hyperlink"/>
          </w:rPr>
          <w:t xml:space="preserve">https://doi.org/10.1377/hlthaff.20.6.64</w:t>
        </w:r>
      </w:hyperlink>
      <w:r>
        <w:t xml:space="preserve">.</w:t>
      </w:r>
    </w:p>
    <w:bookmarkEnd w:id="182"/>
    <w:bookmarkStart w:id="184" w:name="ref-walitzerGenderDifferencesAlcohol2006"/>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w:t>
      </w:r>
      <w:r>
        <w:t xml:space="preserve">26 (2): 128–48.</w:t>
      </w:r>
      <w:r>
        <w:t xml:space="preserve"> </w:t>
      </w:r>
      <w:hyperlink r:id="rId183">
        <w:r>
          <w:rPr>
            <w:rStyle w:val="Hyperlink"/>
          </w:rPr>
          <w:t xml:space="preserve">https://doi.org/10.1016/j.cpr.2005.11.003</w:t>
        </w:r>
      </w:hyperlink>
      <w:r>
        <w:t xml:space="preserve">.</w:t>
      </w:r>
    </w:p>
    <w:bookmarkEnd w:id="184"/>
    <w:bookmarkStart w:id="186"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85">
        <w:r>
          <w:rPr>
            <w:rStyle w:val="Hyperlink"/>
          </w:rPr>
          <w:t xml:space="preserve">https://doi.org/10.1016/j.jsat.2021.108417</w:t>
        </w:r>
      </w:hyperlink>
      <w:r>
        <w:t xml:space="preserve">.</w:t>
      </w:r>
    </w:p>
    <w:bookmarkEnd w:id="186"/>
    <w:bookmarkStart w:id="188" w:name="X2d30c84041d97351f676569bf3de3da0c8a9d6d"/>
    <w:p>
      <w:pPr>
        <w:pStyle w:val="Bibliography"/>
      </w:pPr>
      <w:r>
        <w:t xml:space="preserve">WHO ASSIST Working Group. 2002.</w:t>
      </w:r>
      <w:r>
        <w:t xml:space="preserve"> </w:t>
      </w:r>
      <w:r>
        <w:t xml:space="preserve">“</w:t>
      </w:r>
      <w:hyperlink r:id="rId187">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88"/>
    <w:bookmarkStart w:id="190"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89">
        <w:r>
          <w:rPr>
            <w:rStyle w:val="Hyperlink"/>
          </w:rPr>
          <w:t xml:space="preserve">https://doi.org/10.1037/0003-066X.59.4.224</w:t>
        </w:r>
      </w:hyperlink>
      <w:r>
        <w:t xml:space="preserve">.</w:t>
      </w:r>
    </w:p>
    <w:bookmarkEnd w:id="190"/>
    <w:bookmarkStart w:id="192"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91">
        <w:r>
          <w:rPr>
            <w:rStyle w:val="Hyperlink"/>
          </w:rPr>
          <w:t xml:space="preserve">https://doi.org/10.1016/j.cpr.2007.01.002</w:t>
        </w:r>
      </w:hyperlink>
      <w:r>
        <w:t xml:space="preserve">.</w:t>
      </w:r>
    </w:p>
    <w:bookmarkEnd w:id="192"/>
    <w:bookmarkStart w:id="194" w:name="X513fadbf866a4ddf9f29b63741ad369252b4800"/>
    <w:p>
      <w:pPr>
        <w:pStyle w:val="Bibliography"/>
      </w:pPr>
      <w:r>
        <w:t xml:space="preserve">Wright, Aidan G. C., Michael N. Hallquist, Stephanie D. Stepp, Lori N. Scott, Joseph E. Beeney, Sophie A. Lazarus, and Paul A. Pilkonis. 2016.</w:t>
      </w:r>
      <w:r>
        <w:t xml:space="preserve"> </w:t>
      </w:r>
      <w:r>
        <w:t xml:space="preserve">“Modeling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w:t>
      </w:r>
      <w:r>
        <w:t xml:space="preserve"> </w:t>
      </w:r>
      <w:r>
        <w:rPr>
          <w:i/>
          <w:iCs/>
        </w:rPr>
        <w:t xml:space="preserve">Assessment</w:t>
      </w:r>
      <w:r>
        <w:t xml:space="preserve"> </w:t>
      </w:r>
      <w:r>
        <w:t xml:space="preserve">23 (4): 484–95.</w:t>
      </w:r>
      <w:r>
        <w:t xml:space="preserve"> </w:t>
      </w:r>
      <w:hyperlink r:id="rId193">
        <w:r>
          <w:rPr>
            <w:rStyle w:val="Hyperlink"/>
          </w:rPr>
          <w:t xml:space="preserve">https://doi.org/10.1177/1073191116653829</w:t>
        </w:r>
      </w:hyperlink>
      <w:r>
        <w:t xml:space="preserve">.</w:t>
      </w:r>
    </w:p>
    <w:bookmarkEnd w:id="194"/>
    <w:bookmarkStart w:id="196"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95">
        <w:r>
          <w:rPr>
            <w:rStyle w:val="Hyperlink"/>
          </w:rPr>
          <w:t xml:space="preserve">https://doi.org/10.2196/41833</w:t>
        </w:r>
      </w:hyperlink>
      <w:r>
        <w:t xml:space="preserve">.</w:t>
      </w:r>
    </w:p>
    <w:bookmarkEnd w:id="196"/>
    <w:bookmarkStart w:id="197" w:name="X0f0fab553d46f8852e582400eb2e6c745146f48"/>
    <w:p>
      <w:pPr>
        <w:pStyle w:val="Bibliography"/>
      </w:pPr>
      <w:r>
        <w:t xml:space="preserve">Wyant, Kendra, Sarah J. Sant’Ana, Claire E. Punturieri, Jiachen Yu, Gaylen E. Fronk, C. Michael Maggard, Christopher Janssen, et al. under review.</w:t>
      </w:r>
      <w:r>
        <w:t xml:space="preserve"> </w:t>
      </w:r>
      <w:r>
        <w:t xml:space="preserve">“Maximizing Engagement, Trust, and Clinical Benefit of</w:t>
      </w:r>
      <w:r>
        <w:t xml:space="preserve"> </w:t>
      </w:r>
      <w:r>
        <w:t xml:space="preserve">AI-generated</w:t>
      </w:r>
      <w:r>
        <w:t xml:space="preserve"> </w:t>
      </w:r>
      <w:r>
        <w:t xml:space="preserve">Recovery Monitoring and Support Messages for Alcohol Use Disorder:</w:t>
      </w:r>
      <w:r>
        <w:t xml:space="preserve"> </w:t>
      </w:r>
      <w:r>
        <w:t xml:space="preserve">Protocol</w:t>
      </w:r>
      <w:r>
        <w:t xml:space="preserve"> </w:t>
      </w:r>
      <w:r>
        <w:t xml:space="preserve">for an Optimization Study,”</w:t>
      </w:r>
      <w:r>
        <w:t xml:space="preserve"> </w:t>
      </w:r>
      <w:r>
        <w:t xml:space="preserve">under review.</w:t>
      </w:r>
    </w:p>
    <w:bookmarkEnd w:id="197"/>
    <w:bookmarkStart w:id="199"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98">
        <w:r>
          <w:rPr>
            <w:rStyle w:val="Hyperlink"/>
          </w:rPr>
          <w:t xml:space="preserve">https://doi.org/10.31234/osf.io/cgsf7</w:t>
        </w:r>
      </w:hyperlink>
      <w:r>
        <w:t xml:space="preserve">.</w:t>
      </w:r>
    </w:p>
    <w:bookmarkEnd w:id="199"/>
    <w:bookmarkStart w:id="201" w:name="Xdcc3e6c1429a41e0448c7c169835e10027482a3"/>
    <w:p>
      <w:pPr>
        <w:pStyle w:val="Bibliography"/>
      </w:pPr>
      <w:r>
        <w:t xml:space="preserve">Xie, Kexin, Ke Deng, and Xiaofang Zhou. 2009.</w:t>
      </w:r>
      <w:r>
        <w:t xml:space="preserve"> </w:t>
      </w:r>
      <w:r>
        <w:t xml:space="preserve">“From Trajectories to Activities: A Spatio-Temporal Join Approach.”</w:t>
      </w:r>
      <w:r>
        <w:t xml:space="preserve"> </w:t>
      </w:r>
      <w:r>
        <w:t xml:space="preserve">In</w:t>
      </w:r>
      <w:r>
        <w:t xml:space="preserve"> </w:t>
      </w:r>
      <w:r>
        <w:rPr>
          <w:i/>
          <w:iCs/>
        </w:rPr>
        <w:t xml:space="preserve">Proceedings of the 2009</w:t>
      </w:r>
      <w:r>
        <w:rPr>
          <w:i/>
          <w:iCs/>
        </w:rPr>
        <w:t xml:space="preserve"> </w:t>
      </w:r>
      <w:r>
        <w:rPr>
          <w:i/>
          <w:iCs/>
        </w:rPr>
        <w:t xml:space="preserve">International Workshop</w:t>
      </w:r>
      <w:r>
        <w:rPr>
          <w:i/>
          <w:iCs/>
        </w:rPr>
        <w:t xml:space="preserve"> </w:t>
      </w:r>
      <w:r>
        <w:rPr>
          <w:i/>
          <w:iCs/>
        </w:rPr>
        <w:t xml:space="preserve">on</w:t>
      </w:r>
      <w:r>
        <w:rPr>
          <w:i/>
          <w:iCs/>
        </w:rPr>
        <w:t xml:space="preserve"> </w:t>
      </w:r>
      <w:r>
        <w:rPr>
          <w:i/>
          <w:iCs/>
        </w:rPr>
        <w:t xml:space="preserve">Location Based Social Networks</w:t>
      </w:r>
      <w:r>
        <w:t xml:space="preserve">, 25–32.</w:t>
      </w:r>
      <w:r>
        <w:t xml:space="preserve"> </w:t>
      </w:r>
      <w:r>
        <w:t xml:space="preserve">LBSN</w:t>
      </w:r>
      <w:r>
        <w:t xml:space="preserve"> </w:t>
      </w:r>
      <w:r>
        <w:t xml:space="preserve">’09. New York, NY, USA: Association for Computing Machinery.</w:t>
      </w:r>
      <w:r>
        <w:t xml:space="preserve"> </w:t>
      </w:r>
      <w:hyperlink r:id="rId200">
        <w:r>
          <w:rPr>
            <w:rStyle w:val="Hyperlink"/>
          </w:rPr>
          <w:t xml:space="preserve">https://doi.org/10.1145/1629890.1629897</w:t>
        </w:r>
      </w:hyperlink>
      <w:r>
        <w:t xml:space="preserve">.</w:t>
      </w:r>
    </w:p>
    <w:bookmarkEnd w:id="201"/>
    <w:bookmarkStart w:id="203"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202">
        <w:r>
          <w:rPr>
            <w:rStyle w:val="Hyperlink"/>
          </w:rPr>
          <w:t xml:space="preserve">https://doi.org/10.1177/1077558712458541</w:t>
        </w:r>
      </w:hyperlink>
      <w:r>
        <w:t xml:space="preserve">.</w:t>
      </w:r>
    </w:p>
    <w:bookmarkEnd w:id="203"/>
    <w:bookmarkStart w:id="205"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204">
        <w:r>
          <w:rPr>
            <w:rStyle w:val="Hyperlink"/>
          </w:rPr>
          <w:t xml:space="preserve">https://doi.org/10.7326/M14-0295</w:t>
        </w:r>
      </w:hyperlink>
      <w:r>
        <w:t xml:space="preserve">.</w:t>
      </w:r>
    </w:p>
    <w:bookmarkEnd w:id="205"/>
    <w:bookmarkEnd w:id="206"/>
    <w:bookmarkEnd w:id="2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46" Target="https://doi.org/10.1001/jama.284.13.1689" TargetMode="External" /><Relationship Type="http://schemas.openxmlformats.org/officeDocument/2006/relationships/hyperlink" Id="rId126" Target="https://doi.org/10.1001/jamanetworkopen.2020.5852" TargetMode="External" /><Relationship Type="http://schemas.openxmlformats.org/officeDocument/2006/relationships/hyperlink" Id="rId131" Target="https://doi.org/10.1007/978-1-4614-6849-3" TargetMode="External" /><Relationship Type="http://schemas.openxmlformats.org/officeDocument/2006/relationships/hyperlink" Id="rId90" Target="https://doi.org/10.1007/s10488-016-0718-5" TargetMode="External" /><Relationship Type="http://schemas.openxmlformats.org/officeDocument/2006/relationships/hyperlink" Id="rId100" Target="https://doi.org/10.1007/s10862-017-9632-8" TargetMode="External" /><Relationship Type="http://schemas.openxmlformats.org/officeDocument/2006/relationships/hyperlink" Id="rId128" Target="https://doi.org/10.1007/s11920-012-0296-5" TargetMode="External" /><Relationship Type="http://schemas.openxmlformats.org/officeDocument/2006/relationships/hyperlink" Id="rId162" Target="https://doi.org/10.1016/0740-5472(94)00080-b" TargetMode="External" /><Relationship Type="http://schemas.openxmlformats.org/officeDocument/2006/relationships/hyperlink" Id="rId134" Target="https://doi.org/10.1016/j.amepre.2022.08.022" TargetMode="External" /><Relationship Type="http://schemas.openxmlformats.org/officeDocument/2006/relationships/hyperlink" Id="rId105" Target="https://doi.org/10.1016/j.brat.2019.103506" TargetMode="External" /><Relationship Type="http://schemas.openxmlformats.org/officeDocument/2006/relationships/hyperlink" Id="rId183" Target="https://doi.org/10.1016/j.cpr.2005.11.003" TargetMode="External" /><Relationship Type="http://schemas.openxmlformats.org/officeDocument/2006/relationships/hyperlink" Id="rId191" Target="https://doi.org/10.1016/j.cpr.2007.01.002" TargetMode="External" /><Relationship Type="http://schemas.openxmlformats.org/officeDocument/2006/relationships/hyperlink" Id="rId144" Target="https://doi.org/10.1016/j.cpr.2017.10.012" TargetMode="External" /><Relationship Type="http://schemas.openxmlformats.org/officeDocument/2006/relationships/hyperlink" Id="rId117" Target="https://doi.org/10.1016/j.drugalcdep.2006.05.012" TargetMode="External" /><Relationship Type="http://schemas.openxmlformats.org/officeDocument/2006/relationships/hyperlink" Id="rId157" Target="https://doi.org/10.1016/j.drugalcdep.2019.05.017" TargetMode="External" /><Relationship Type="http://schemas.openxmlformats.org/officeDocument/2006/relationships/hyperlink" Id="rId148" Target="https://doi.org/10.1016/j.drugalcdep.2021.108706" TargetMode="External" /><Relationship Type="http://schemas.openxmlformats.org/officeDocument/2006/relationships/hyperlink" Id="rId185" Target="https://doi.org/10.1016/j.jsat.2021.108417" TargetMode="External" /><Relationship Type="http://schemas.openxmlformats.org/officeDocument/2006/relationships/hyperlink" Id="rId155" Target="https://doi.org/10.1016/j.jsat.2021.108710" TargetMode="External" /><Relationship Type="http://schemas.openxmlformats.org/officeDocument/2006/relationships/hyperlink" Id="rId142" Target="https://doi.org/10.1016/j.psc.2010.04.012" TargetMode="External" /><Relationship Type="http://schemas.openxmlformats.org/officeDocument/2006/relationships/hyperlink" Id="rId189" Target="https://doi.org/10.1037/0003-066X.59.4.224" TargetMode="External" /><Relationship Type="http://schemas.openxmlformats.org/officeDocument/2006/relationships/hyperlink" Id="rId169" Target="https://doi.org/10.1037/adb0000666" TargetMode="External" /><Relationship Type="http://schemas.openxmlformats.org/officeDocument/2006/relationships/hyperlink" Id="rId111" Target="https://doi.org/10.1037/ccp0000026" TargetMode="External" /><Relationship Type="http://schemas.openxmlformats.org/officeDocument/2006/relationships/hyperlink" Id="rId88" Target="https://doi.org/10.1038/s41562-019-0772-6" TargetMode="External" /><Relationship Type="http://schemas.openxmlformats.org/officeDocument/2006/relationships/hyperlink" Id="rId137" Target="https://doi.org/10.1080/00952990.2019.1694536" TargetMode="External" /><Relationship Type="http://schemas.openxmlformats.org/officeDocument/2006/relationships/hyperlink" Id="rId179" Target="https://doi.org/10.1093/jamia/ocy052" TargetMode="External" /><Relationship Type="http://schemas.openxmlformats.org/officeDocument/2006/relationships/hyperlink" Id="rId167" Target="https://doi.org/10.1111/add.13479" TargetMode="External" /><Relationship Type="http://schemas.openxmlformats.org/officeDocument/2006/relationships/hyperlink" Id="rId177" Target="https://doi.org/10.1111/j.1530-0277.1984.tb05523.x" TargetMode="External" /><Relationship Type="http://schemas.openxmlformats.org/officeDocument/2006/relationships/hyperlink" Id="rId200" Target="https://doi.org/10.1145/1629890.1629897" TargetMode="External" /><Relationship Type="http://schemas.openxmlformats.org/officeDocument/2006/relationships/hyperlink" Id="rId122" Target="https://doi.org/10.1145/1867699.1867704" TargetMode="External" /><Relationship Type="http://schemas.openxmlformats.org/officeDocument/2006/relationships/hyperlink" Id="rId150" Target="https://doi.org/10.1146/annurev-clinpsy-032816-044949" TargetMode="External" /><Relationship Type="http://schemas.openxmlformats.org/officeDocument/2006/relationships/hyperlink" Id="rId113" Target="https://doi.org/10.1146/annurev-clinpsy-102419-125016" TargetMode="External" /><Relationship Type="http://schemas.openxmlformats.org/officeDocument/2006/relationships/hyperlink" Id="rId94" Target="https://doi.org/10.1146/annurev.clinpsy.3.022806.091455" TargetMode="External" /><Relationship Type="http://schemas.openxmlformats.org/officeDocument/2006/relationships/hyperlink" Id="rId175" Target="https://doi.org/10.1177/0261927X09351676" TargetMode="External" /><Relationship Type="http://schemas.openxmlformats.org/officeDocument/2006/relationships/hyperlink" Id="rId164" Target="https://doi.org/10.1177/1073191114540320" TargetMode="External" /><Relationship Type="http://schemas.openxmlformats.org/officeDocument/2006/relationships/hyperlink" Id="rId193" Target="https://doi.org/10.1177/1073191116653829" TargetMode="External" /><Relationship Type="http://schemas.openxmlformats.org/officeDocument/2006/relationships/hyperlink" Id="rId202" Target="https://doi.org/10.1177/1077558712458541" TargetMode="External" /><Relationship Type="http://schemas.openxmlformats.org/officeDocument/2006/relationships/hyperlink" Id="rId171" Target="https://doi.org/10.1177/1178221820976988" TargetMode="External" /><Relationship Type="http://schemas.openxmlformats.org/officeDocument/2006/relationships/hyperlink" Id="rId181" Target="https://doi.org/10.1377/hlthaff.20.6.64" TargetMode="External" /><Relationship Type="http://schemas.openxmlformats.org/officeDocument/2006/relationships/hyperlink" Id="rId96" Target="https://doi.org/10.21231/GNT1-HW21" TargetMode="External" /><Relationship Type="http://schemas.openxmlformats.org/officeDocument/2006/relationships/hyperlink" Id="rId153" Target="https://doi.org/10.2196/29563" TargetMode="External" /><Relationship Type="http://schemas.openxmlformats.org/officeDocument/2006/relationships/hyperlink" Id="rId195" Target="https://doi.org/10.2196/41833" TargetMode="External" /><Relationship Type="http://schemas.openxmlformats.org/officeDocument/2006/relationships/hyperlink" Id="rId160" Target="https://doi.org/10.2196/73265" TargetMode="External" /><Relationship Type="http://schemas.openxmlformats.org/officeDocument/2006/relationships/hyperlink" Id="rId198" Target="https://doi.org/10.31234/osf.io/cgsf7" TargetMode="External" /><Relationship Type="http://schemas.openxmlformats.org/officeDocument/2006/relationships/hyperlink" Id="rId107" Target="https://doi.org/10.48550/arXiv.1810.04805" TargetMode="External" /><Relationship Type="http://schemas.openxmlformats.org/officeDocument/2006/relationships/hyperlink" Id="rId109" Target="https://doi.org/10.5555/ajhb.2007.31.supp.S47" TargetMode="External" /><Relationship Type="http://schemas.openxmlformats.org/officeDocument/2006/relationships/hyperlink" Id="rId204" Target="https://doi.org/10.7326/M14-0295" TargetMode="External" /><Relationship Type="http://schemas.openxmlformats.org/officeDocument/2006/relationships/hyperlink" Id="rId12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2" Target="https://www.ncbi.nlm.nih.gov/pmc/articles/PMC2797101" TargetMode="External" /><Relationship Type="http://schemas.openxmlformats.org/officeDocument/2006/relationships/hyperlink" Id="rId187"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46" Target="https://doi.org/10.1001/jama.284.13.1689" TargetMode="External" /><Relationship Type="http://schemas.openxmlformats.org/officeDocument/2006/relationships/hyperlink" Id="rId126" Target="https://doi.org/10.1001/jamanetworkopen.2020.5852" TargetMode="External" /><Relationship Type="http://schemas.openxmlformats.org/officeDocument/2006/relationships/hyperlink" Id="rId131" Target="https://doi.org/10.1007/978-1-4614-6849-3" TargetMode="External" /><Relationship Type="http://schemas.openxmlformats.org/officeDocument/2006/relationships/hyperlink" Id="rId90" Target="https://doi.org/10.1007/s10488-016-0718-5" TargetMode="External" /><Relationship Type="http://schemas.openxmlformats.org/officeDocument/2006/relationships/hyperlink" Id="rId100" Target="https://doi.org/10.1007/s10862-017-9632-8" TargetMode="External" /><Relationship Type="http://schemas.openxmlformats.org/officeDocument/2006/relationships/hyperlink" Id="rId128" Target="https://doi.org/10.1007/s11920-012-0296-5" TargetMode="External" /><Relationship Type="http://schemas.openxmlformats.org/officeDocument/2006/relationships/hyperlink" Id="rId162" Target="https://doi.org/10.1016/0740-5472(94)00080-b" TargetMode="External" /><Relationship Type="http://schemas.openxmlformats.org/officeDocument/2006/relationships/hyperlink" Id="rId134" Target="https://doi.org/10.1016/j.amepre.2022.08.022" TargetMode="External" /><Relationship Type="http://schemas.openxmlformats.org/officeDocument/2006/relationships/hyperlink" Id="rId105" Target="https://doi.org/10.1016/j.brat.2019.103506" TargetMode="External" /><Relationship Type="http://schemas.openxmlformats.org/officeDocument/2006/relationships/hyperlink" Id="rId183" Target="https://doi.org/10.1016/j.cpr.2005.11.003" TargetMode="External" /><Relationship Type="http://schemas.openxmlformats.org/officeDocument/2006/relationships/hyperlink" Id="rId191" Target="https://doi.org/10.1016/j.cpr.2007.01.002" TargetMode="External" /><Relationship Type="http://schemas.openxmlformats.org/officeDocument/2006/relationships/hyperlink" Id="rId144" Target="https://doi.org/10.1016/j.cpr.2017.10.012" TargetMode="External" /><Relationship Type="http://schemas.openxmlformats.org/officeDocument/2006/relationships/hyperlink" Id="rId117" Target="https://doi.org/10.1016/j.drugalcdep.2006.05.012" TargetMode="External" /><Relationship Type="http://schemas.openxmlformats.org/officeDocument/2006/relationships/hyperlink" Id="rId157" Target="https://doi.org/10.1016/j.drugalcdep.2019.05.017" TargetMode="External" /><Relationship Type="http://schemas.openxmlformats.org/officeDocument/2006/relationships/hyperlink" Id="rId148" Target="https://doi.org/10.1016/j.drugalcdep.2021.108706" TargetMode="External" /><Relationship Type="http://schemas.openxmlformats.org/officeDocument/2006/relationships/hyperlink" Id="rId185" Target="https://doi.org/10.1016/j.jsat.2021.108417" TargetMode="External" /><Relationship Type="http://schemas.openxmlformats.org/officeDocument/2006/relationships/hyperlink" Id="rId155" Target="https://doi.org/10.1016/j.jsat.2021.108710" TargetMode="External" /><Relationship Type="http://schemas.openxmlformats.org/officeDocument/2006/relationships/hyperlink" Id="rId142" Target="https://doi.org/10.1016/j.psc.2010.04.012" TargetMode="External" /><Relationship Type="http://schemas.openxmlformats.org/officeDocument/2006/relationships/hyperlink" Id="rId189" Target="https://doi.org/10.1037/0003-066X.59.4.224" TargetMode="External" /><Relationship Type="http://schemas.openxmlformats.org/officeDocument/2006/relationships/hyperlink" Id="rId169" Target="https://doi.org/10.1037/adb0000666" TargetMode="External" /><Relationship Type="http://schemas.openxmlformats.org/officeDocument/2006/relationships/hyperlink" Id="rId111" Target="https://doi.org/10.1037/ccp0000026" TargetMode="External" /><Relationship Type="http://schemas.openxmlformats.org/officeDocument/2006/relationships/hyperlink" Id="rId88" Target="https://doi.org/10.1038/s41562-019-0772-6" TargetMode="External" /><Relationship Type="http://schemas.openxmlformats.org/officeDocument/2006/relationships/hyperlink" Id="rId137" Target="https://doi.org/10.1080/00952990.2019.1694536" TargetMode="External" /><Relationship Type="http://schemas.openxmlformats.org/officeDocument/2006/relationships/hyperlink" Id="rId179" Target="https://doi.org/10.1093/jamia/ocy052" TargetMode="External" /><Relationship Type="http://schemas.openxmlformats.org/officeDocument/2006/relationships/hyperlink" Id="rId167" Target="https://doi.org/10.1111/add.13479" TargetMode="External" /><Relationship Type="http://schemas.openxmlformats.org/officeDocument/2006/relationships/hyperlink" Id="rId177" Target="https://doi.org/10.1111/j.1530-0277.1984.tb05523.x" TargetMode="External" /><Relationship Type="http://schemas.openxmlformats.org/officeDocument/2006/relationships/hyperlink" Id="rId200" Target="https://doi.org/10.1145/1629890.1629897" TargetMode="External" /><Relationship Type="http://schemas.openxmlformats.org/officeDocument/2006/relationships/hyperlink" Id="rId122" Target="https://doi.org/10.1145/1867699.1867704" TargetMode="External" /><Relationship Type="http://schemas.openxmlformats.org/officeDocument/2006/relationships/hyperlink" Id="rId150" Target="https://doi.org/10.1146/annurev-clinpsy-032816-044949" TargetMode="External" /><Relationship Type="http://schemas.openxmlformats.org/officeDocument/2006/relationships/hyperlink" Id="rId113" Target="https://doi.org/10.1146/annurev-clinpsy-102419-125016" TargetMode="External" /><Relationship Type="http://schemas.openxmlformats.org/officeDocument/2006/relationships/hyperlink" Id="rId94" Target="https://doi.org/10.1146/annurev.clinpsy.3.022806.091455" TargetMode="External" /><Relationship Type="http://schemas.openxmlformats.org/officeDocument/2006/relationships/hyperlink" Id="rId175" Target="https://doi.org/10.1177/0261927X09351676" TargetMode="External" /><Relationship Type="http://schemas.openxmlformats.org/officeDocument/2006/relationships/hyperlink" Id="rId164" Target="https://doi.org/10.1177/1073191114540320" TargetMode="External" /><Relationship Type="http://schemas.openxmlformats.org/officeDocument/2006/relationships/hyperlink" Id="rId193" Target="https://doi.org/10.1177/1073191116653829" TargetMode="External" /><Relationship Type="http://schemas.openxmlformats.org/officeDocument/2006/relationships/hyperlink" Id="rId202" Target="https://doi.org/10.1177/1077558712458541" TargetMode="External" /><Relationship Type="http://schemas.openxmlformats.org/officeDocument/2006/relationships/hyperlink" Id="rId171" Target="https://doi.org/10.1177/1178221820976988" TargetMode="External" /><Relationship Type="http://schemas.openxmlformats.org/officeDocument/2006/relationships/hyperlink" Id="rId181" Target="https://doi.org/10.1377/hlthaff.20.6.64" TargetMode="External" /><Relationship Type="http://schemas.openxmlformats.org/officeDocument/2006/relationships/hyperlink" Id="rId96" Target="https://doi.org/10.21231/GNT1-HW21" TargetMode="External" /><Relationship Type="http://schemas.openxmlformats.org/officeDocument/2006/relationships/hyperlink" Id="rId153" Target="https://doi.org/10.2196/29563" TargetMode="External" /><Relationship Type="http://schemas.openxmlformats.org/officeDocument/2006/relationships/hyperlink" Id="rId195" Target="https://doi.org/10.2196/41833" TargetMode="External" /><Relationship Type="http://schemas.openxmlformats.org/officeDocument/2006/relationships/hyperlink" Id="rId160" Target="https://doi.org/10.2196/73265" TargetMode="External" /><Relationship Type="http://schemas.openxmlformats.org/officeDocument/2006/relationships/hyperlink" Id="rId198" Target="https://doi.org/10.31234/osf.io/cgsf7" TargetMode="External" /><Relationship Type="http://schemas.openxmlformats.org/officeDocument/2006/relationships/hyperlink" Id="rId107" Target="https://doi.org/10.48550/arXiv.1810.04805" TargetMode="External" /><Relationship Type="http://schemas.openxmlformats.org/officeDocument/2006/relationships/hyperlink" Id="rId109" Target="https://doi.org/10.5555/ajhb.2007.31.supp.S47" TargetMode="External" /><Relationship Type="http://schemas.openxmlformats.org/officeDocument/2006/relationships/hyperlink" Id="rId204" Target="https://doi.org/10.7326/M14-0295" TargetMode="External" /><Relationship Type="http://schemas.openxmlformats.org/officeDocument/2006/relationships/hyperlink" Id="rId12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2" Target="https://www.ncbi.nlm.nih.gov/pmc/articles/PMC2797101" TargetMode="External" /><Relationship Type="http://schemas.openxmlformats.org/officeDocument/2006/relationships/hyperlink" Id="rId187"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2025-08-20T14:34:32Z</dcterms:created>
  <dcterms:modified xsi:type="dcterms:W3CDTF">2025-08-20T14:34:32Z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.84).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2025-08-20</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