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w:t>
      </w:r>
      <w:r>
        <w:t xml:space="preserve">and sex assigned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assigned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assigned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assigned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assigned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Assigned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assigned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assigned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assigned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Li, and Yue 2010; Xie, Deng, and Zhou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aeLeveragingMobilePhone2023"/>
    <w:p>
      <w:pPr>
        <w:pStyle w:val="Bibliography"/>
      </w:pPr>
      <w:r>
        <w:t xml:space="preserve">Bae, Sang Won, Brian Suffoletto, Tongze Zhang, Tammy Chung, Melik Ozolcer, Mohammad Rahul Islam, and Anind Dey. 2023.</w:t>
      </w:r>
      <w:r>
        <w:t xml:space="preserve"> </w:t>
      </w:r>
      <w:r>
        <w:t xml:space="preserve">“Leveraging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 February.</w:t>
      </w:r>
      <w:r>
        <w:t xml:space="preserve"> </w:t>
      </w:r>
      <w:hyperlink r:id="rId89">
        <w:r>
          <w:rPr>
            <w:rStyle w:val="Hyperlink"/>
          </w:rPr>
          <w:t xml:space="preserve">https://doi.org/10.2196/39862</w:t>
        </w:r>
      </w:hyperlink>
      <w:r>
        <w:t xml:space="preserve">.</w:t>
      </w:r>
    </w:p>
    <w:bookmarkEnd w:id="90"/>
    <w:bookmarkStart w:id="9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1">
        <w:r>
          <w:rPr>
            <w:rStyle w:val="Hyperlink"/>
          </w:rPr>
          <w:t xml:space="preserve">https://doi.org/10.1007/s10488-016-0718-5</w:t>
        </w:r>
      </w:hyperlink>
      <w:r>
        <w:t xml:space="preserve">.</w:t>
      </w:r>
    </w:p>
    <w:bookmarkEnd w:id="92"/>
    <w:bookmarkStart w:id="93"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3"/>
    <w:bookmarkStart w:id="9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4"/>
    <w:bookmarkStart w:id="9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5">
        <w:r>
          <w:rPr>
            <w:rStyle w:val="Hyperlink"/>
          </w:rPr>
          <w:t xml:space="preserve">https://doi.org/10.1146/annurev.clinpsy.3.022806.091455</w:t>
        </w:r>
      </w:hyperlink>
      <w:r>
        <w:t xml:space="preserve">.</w:t>
      </w:r>
    </w:p>
    <w:bookmarkEnd w:id="96"/>
    <w:bookmarkStart w:id="9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7">
        <w:r>
          <w:rPr>
            <w:rStyle w:val="Hyperlink"/>
          </w:rPr>
          <w:t xml:space="preserve">https://doi.org/10.21231/GNT1-HW21</w:t>
        </w:r>
      </w:hyperlink>
      <w:r>
        <w:t xml:space="preserve">.</w:t>
      </w:r>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100"/>
    <w:bookmarkStart w:id="102"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1">
        <w:r>
          <w:rPr>
            <w:rStyle w:val="Hyperlink"/>
          </w:rPr>
          <w:t xml:space="preserve">https://doi.org/10.1007/s10862-017-9632-8</w:t>
        </w:r>
      </w:hyperlink>
      <w:r>
        <w:t xml:space="preserve">.</w:t>
      </w:r>
    </w:p>
    <w:bookmarkEnd w:id="102"/>
    <w:bookmarkStart w:id="104" w:name="ref-dennisManagingAddictionChronic2007"/>
    <w:p>
      <w:pPr>
        <w:pStyle w:val="Bibliography"/>
      </w:pPr>
      <w:r>
        <w:t xml:space="preserve">Dennis, Michael, and Christy K Scott. 2007.</w:t>
      </w:r>
      <w:r>
        <w:t xml:space="preserve"> </w:t>
      </w:r>
      <w:r>
        <w:t xml:space="preserve">“</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8">
        <w:r>
          <w:rPr>
            <w:rStyle w:val="Hyperlink"/>
          </w:rPr>
          <w:t xml:space="preserve">https://doi.org/10.48550/arXiv.1810.04805</w:t>
        </w:r>
      </w:hyperlink>
      <w:r>
        <w:t xml:space="preserve">.</w:t>
      </w:r>
    </w:p>
    <w:bookmarkEnd w:id="109"/>
    <w:bookmarkStart w:id="11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10">
        <w:r>
          <w:rPr>
            <w:rStyle w:val="Hyperlink"/>
          </w:rPr>
          <w:t xml:space="preserve">https://doi.org/10.5555/ajhb.2007.31.supp.S47</w:t>
        </w:r>
      </w:hyperlink>
      <w:r>
        <w:t xml:space="preserve">.</w:t>
      </w:r>
    </w:p>
    <w:bookmarkEnd w:id="111"/>
    <w:bookmarkStart w:id="113"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2">
        <w:r>
          <w:rPr>
            <w:rStyle w:val="Hyperlink"/>
          </w:rPr>
          <w:t xml:space="preserve">https://doi.org/10.1037/ccp0000026</w:t>
        </w:r>
      </w:hyperlink>
      <w:r>
        <w:t xml:space="preserve">.</w:t>
      </w:r>
    </w:p>
    <w:bookmarkEnd w:id="113"/>
    <w:bookmarkStart w:id="115"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4">
        <w:r>
          <w:rPr>
            <w:rStyle w:val="Hyperlink"/>
          </w:rPr>
          <w:t xml:space="preserve">https://doi.org/10.1146/annurev-clinpsy-102419-125016</w:t>
        </w:r>
      </w:hyperlink>
      <w:r>
        <w:t xml:space="preserve">.</w:t>
      </w:r>
    </w:p>
    <w:bookmarkEnd w:id="115"/>
    <w:bookmarkStart w:id="11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7"/>
    <w:bookmarkStart w:id="11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8">
        <w:r>
          <w:rPr>
            <w:rStyle w:val="Hyperlink"/>
          </w:rPr>
          <w:t xml:space="preserve">https://doi.org/10.1016/j.drugalcdep.2006.05.012</w:t>
        </w:r>
      </w:hyperlink>
      <w:r>
        <w:t xml:space="preserve">.</w:t>
      </w:r>
    </w:p>
    <w:bookmarkEnd w:id="119"/>
    <w:bookmarkStart w:id="12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20"/>
    <w:bookmarkStart w:id="121"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1"/>
    <w:bookmarkStart w:id="12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2"/>
    <w:bookmarkStart w:id="124"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3">
        <w:r>
          <w:rPr>
            <w:rStyle w:val="Hyperlink"/>
          </w:rPr>
          <w:t xml:space="preserve">https://doi.org/10.1145/1867699.1867704</w:t>
        </w:r>
      </w:hyperlink>
      <w:r>
        <w:t xml:space="preserve">.</w:t>
      </w:r>
    </w:p>
    <w:bookmarkEnd w:id="124"/>
    <w:bookmarkStart w:id="12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5">
        <w:r>
          <w:rPr>
            <w:rStyle w:val="Hyperlink"/>
          </w:rPr>
          <w:t xml:space="preserve">https://doi.org/10/gfsjzg</w:t>
        </w:r>
      </w:hyperlink>
      <w:r>
        <w:t xml:space="preserve">.</w:t>
      </w:r>
    </w:p>
    <w:bookmarkEnd w:id="126"/>
    <w:bookmarkStart w:id="12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7">
        <w:r>
          <w:rPr>
            <w:rStyle w:val="Hyperlink"/>
          </w:rPr>
          <w:t xml:space="preserve">https://doi.org/10.1001/jamanetworkopen.2020.5852</w:t>
        </w:r>
      </w:hyperlink>
      <w:r>
        <w:t xml:space="preserve">.</w:t>
      </w:r>
    </w:p>
    <w:bookmarkEnd w:id="128"/>
    <w:bookmarkStart w:id="13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9">
        <w:r>
          <w:rPr>
            <w:rStyle w:val="Hyperlink"/>
          </w:rPr>
          <w:t xml:space="preserve">https://doi.org/10.1007/s11920-012-0296-5</w:t>
        </w:r>
      </w:hyperlink>
      <w:r>
        <w:t xml:space="preserve">.</w:t>
      </w:r>
    </w:p>
    <w:bookmarkEnd w:id="130"/>
    <w:bookmarkStart w:id="13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1"/>
    <w:bookmarkStart w:id="13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2">
        <w:r>
          <w:rPr>
            <w:rStyle w:val="Hyperlink"/>
          </w:rPr>
          <w:t xml:space="preserve">https://doi.org/10.1007/978-1-4614-6849-3</w:t>
        </w:r>
      </w:hyperlink>
      <w:r>
        <w:t xml:space="preserve">.</w:t>
      </w:r>
    </w:p>
    <w:bookmarkEnd w:id="133"/>
    <w:bookmarkStart w:id="13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4"/>
    <w:bookmarkStart w:id="136"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5">
        <w:r>
          <w:rPr>
            <w:rStyle w:val="Hyperlink"/>
          </w:rPr>
          <w:t xml:space="preserve">https://doi.org/10.1016/j.amepre.2022.08.022</w:t>
        </w:r>
      </w:hyperlink>
      <w:r>
        <w:t xml:space="preserve">.</w:t>
      </w:r>
    </w:p>
    <w:bookmarkEnd w:id="136"/>
    <w:bookmarkStart w:id="137"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7"/>
    <w:bookmarkStart w:id="139"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8">
        <w:r>
          <w:rPr>
            <w:rStyle w:val="Hyperlink"/>
          </w:rPr>
          <w:t xml:space="preserve">https://doi.org/10.1080/00952990.2019.1694536</w:t>
        </w:r>
      </w:hyperlink>
      <w:r>
        <w:t xml:space="preserve">.</w:t>
      </w:r>
    </w:p>
    <w:bookmarkEnd w:id="139"/>
    <w:bookmarkStart w:id="14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40"/>
    <w:bookmarkStart w:id="14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1"/>
    <w:bookmarkStart w:id="14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2"/>
    <w:bookmarkStart w:id="144"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3">
        <w:r>
          <w:rPr>
            <w:rStyle w:val="Hyperlink"/>
          </w:rPr>
          <w:t xml:space="preserve">https://doi.org/10.1016/j.psc.2010.04.012</w:t>
        </w:r>
      </w:hyperlink>
      <w:r>
        <w:t xml:space="preserve">.</w:t>
      </w:r>
    </w:p>
    <w:bookmarkEnd w:id="144"/>
    <w:bookmarkStart w:id="146"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5">
        <w:r>
          <w:rPr>
            <w:rStyle w:val="Hyperlink"/>
          </w:rPr>
          <w:t xml:space="preserve">https://doi.org/10.1016/j.cpr.2017.10.012</w:t>
        </w:r>
      </w:hyperlink>
      <w:r>
        <w:t xml:space="preserve">.</w:t>
      </w:r>
    </w:p>
    <w:bookmarkEnd w:id="146"/>
    <w:bookmarkStart w:id="148"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7">
        <w:r>
          <w:rPr>
            <w:rStyle w:val="Hyperlink"/>
          </w:rPr>
          <w:t xml:space="preserve">https://doi.org/10.1001/jama.284.13.1689</w:t>
        </w:r>
      </w:hyperlink>
      <w:r>
        <w:t xml:space="preserve">.</w:t>
      </w:r>
    </w:p>
    <w:bookmarkEnd w:id="148"/>
    <w:bookmarkStart w:id="150"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9">
        <w:r>
          <w:rPr>
            <w:rStyle w:val="Hyperlink"/>
          </w:rPr>
          <w:t xml:space="preserve">https://doi.org/10.1016/j.drugalcdep.2021.108706</w:t>
        </w:r>
      </w:hyperlink>
      <w:r>
        <w:t xml:space="preserve">.</w:t>
      </w:r>
    </w:p>
    <w:bookmarkEnd w:id="150"/>
    <w:bookmarkStart w:id="152"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1">
        <w:r>
          <w:rPr>
            <w:rStyle w:val="Hyperlink"/>
          </w:rPr>
          <w:t xml:space="preserve">https://doi.org/10.1146/annurev-clinpsy-032816-044949</w:t>
        </w:r>
      </w:hyperlink>
      <w:r>
        <w:t xml:space="preserve">.</w:t>
      </w:r>
    </w:p>
    <w:bookmarkEnd w:id="152"/>
    <w:bookmarkStart w:id="153"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3"/>
    <w:bookmarkStart w:id="15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4">
        <w:r>
          <w:rPr>
            <w:rStyle w:val="Hyperlink"/>
          </w:rPr>
          <w:t xml:space="preserve">https://doi.org/10.2196/29563</w:t>
        </w:r>
      </w:hyperlink>
      <w:r>
        <w:t xml:space="preserve">.</w:t>
      </w:r>
    </w:p>
    <w:bookmarkEnd w:id="155"/>
    <w:bookmarkStart w:id="15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6">
        <w:r>
          <w:rPr>
            <w:rStyle w:val="Hyperlink"/>
          </w:rPr>
          <w:t xml:space="preserve">https://doi.org/10.1016/j.jsat.2021.108710</w:t>
        </w:r>
      </w:hyperlink>
      <w:r>
        <w:t xml:space="preserve">.</w:t>
      </w:r>
    </w:p>
    <w:bookmarkEnd w:id="157"/>
    <w:bookmarkStart w:id="15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8">
        <w:r>
          <w:rPr>
            <w:rStyle w:val="Hyperlink"/>
          </w:rPr>
          <w:t xml:space="preserve">https://doi.org/10.1016/j.drugalcdep.2019.05.017</w:t>
        </w:r>
      </w:hyperlink>
      <w:r>
        <w:t xml:space="preserve">.</w:t>
      </w:r>
    </w:p>
    <w:bookmarkEnd w:id="159"/>
    <w:bookmarkStart w:id="160"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60"/>
    <w:bookmarkStart w:id="162"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1">
        <w:r>
          <w:rPr>
            <w:rStyle w:val="Hyperlink"/>
          </w:rPr>
          <w:t xml:space="preserve">https://doi.org/10.2196/73265</w:t>
        </w:r>
      </w:hyperlink>
      <w:r>
        <w:t xml:space="preserve">.</w:t>
      </w:r>
    </w:p>
    <w:bookmarkEnd w:id="162"/>
    <w:bookmarkStart w:id="164"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3">
        <w:r>
          <w:rPr>
            <w:rStyle w:val="Hyperlink"/>
          </w:rPr>
          <w:t xml:space="preserve">https://doi.org/10.1016/0740-5472(94)00080-b</w:t>
        </w:r>
      </w:hyperlink>
      <w:r>
        <w:t xml:space="preserve">.</w:t>
      </w:r>
    </w:p>
    <w:bookmarkEnd w:id="164"/>
    <w:bookmarkStart w:id="166"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5">
        <w:r>
          <w:rPr>
            <w:rStyle w:val="Hyperlink"/>
          </w:rPr>
          <w:t xml:space="preserve">https://doi.org/10.1177/1073191114540320</w:t>
        </w:r>
      </w:hyperlink>
      <w:r>
        <w:t xml:space="preserve">.</w:t>
      </w:r>
    </w:p>
    <w:bookmarkEnd w:id="166"/>
    <w:bookmarkStart w:id="16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7"/>
    <w:bookmarkStart w:id="16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8">
        <w:r>
          <w:rPr>
            <w:rStyle w:val="Hyperlink"/>
          </w:rPr>
          <w:t xml:space="preserve">https://doi.org/10.1111/add.13479</w:t>
        </w:r>
      </w:hyperlink>
      <w:r>
        <w:t xml:space="preserve">.</w:t>
      </w:r>
    </w:p>
    <w:bookmarkEnd w:id="169"/>
    <w:bookmarkStart w:id="17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70">
        <w:r>
          <w:rPr>
            <w:rStyle w:val="Hyperlink"/>
          </w:rPr>
          <w:t xml:space="preserve">https://doi.org/10.1037/adb0000666</w:t>
        </w:r>
      </w:hyperlink>
      <w:r>
        <w:t xml:space="preserve">.</w:t>
      </w:r>
    </w:p>
    <w:bookmarkEnd w:id="171"/>
    <w:bookmarkStart w:id="17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2">
        <w:r>
          <w:rPr>
            <w:rStyle w:val="Hyperlink"/>
          </w:rPr>
          <w:t xml:space="preserve">https://doi.org/10.1177/1178221820976988</w:t>
        </w:r>
      </w:hyperlink>
      <w:r>
        <w:t xml:space="preserve">.</w:t>
      </w:r>
    </w:p>
    <w:bookmarkEnd w:id="173"/>
    <w:bookmarkStart w:id="17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5"/>
    <w:bookmarkStart w:id="177"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6">
        <w:r>
          <w:rPr>
            <w:rStyle w:val="Hyperlink"/>
          </w:rPr>
          <w:t xml:space="preserve">https://doi.org/10.1177/0261927X09351676</w:t>
        </w:r>
      </w:hyperlink>
      <w:r>
        <w:t xml:space="preserve">.</w:t>
      </w:r>
    </w:p>
    <w:bookmarkEnd w:id="177"/>
    <w:bookmarkStart w:id="179"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8">
        <w:r>
          <w:rPr>
            <w:rStyle w:val="Hyperlink"/>
          </w:rPr>
          <w:t xml:space="preserve">https://doi.org/10.1111/j.1530-0277.1984.tb05523.x</w:t>
        </w:r>
      </w:hyperlink>
      <w:r>
        <w:t xml:space="preserve">.</w:t>
      </w:r>
    </w:p>
    <w:bookmarkEnd w:id="179"/>
    <w:bookmarkStart w:id="181"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80">
        <w:r>
          <w:rPr>
            <w:rStyle w:val="Hyperlink"/>
          </w:rPr>
          <w:t xml:space="preserve">https://doi.org/10.1093/jamia/ocy052</w:t>
        </w:r>
      </w:hyperlink>
      <w:r>
        <w:t xml:space="preserve">.</w:t>
      </w:r>
    </w:p>
    <w:bookmarkEnd w:id="181"/>
    <w:bookmarkStart w:id="183"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2">
        <w:r>
          <w:rPr>
            <w:rStyle w:val="Hyperlink"/>
          </w:rPr>
          <w:t xml:space="preserve">https://doi.org/10.1377/hlthaff.20.6.64</w:t>
        </w:r>
      </w:hyperlink>
      <w:r>
        <w:t xml:space="preserve">.</w:t>
      </w:r>
    </w:p>
    <w:bookmarkEnd w:id="183"/>
    <w:bookmarkStart w:id="185"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4">
        <w:r>
          <w:rPr>
            <w:rStyle w:val="Hyperlink"/>
          </w:rPr>
          <w:t xml:space="preserve">https://doi.org/10.1016/j.cpr.2005.11.003</w:t>
        </w:r>
      </w:hyperlink>
      <w:r>
        <w:t xml:space="preserve">.</w:t>
      </w:r>
    </w:p>
    <w:bookmarkEnd w:id="185"/>
    <w:bookmarkStart w:id="18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6">
        <w:r>
          <w:rPr>
            <w:rStyle w:val="Hyperlink"/>
          </w:rPr>
          <w:t xml:space="preserve">https://doi.org/10.1016/j.jsat.2021.108417</w:t>
        </w:r>
      </w:hyperlink>
      <w:r>
        <w:t xml:space="preserve">.</w:t>
      </w:r>
    </w:p>
    <w:bookmarkEnd w:id="187"/>
    <w:bookmarkStart w:id="189" w:name="X2d30c84041d97351f676569bf3de3da0c8a9d6d"/>
    <w:p>
      <w:pPr>
        <w:pStyle w:val="Bibliography"/>
      </w:pPr>
      <w:r>
        <w:t xml:space="preserve">WHO ASSIST Working Group. 2002.</w:t>
      </w:r>
      <w:r>
        <w:t xml:space="preserve"> </w:t>
      </w:r>
      <w:r>
        <w:t xml:space="preserve">“</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9"/>
    <w:bookmarkStart w:id="19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90">
        <w:r>
          <w:rPr>
            <w:rStyle w:val="Hyperlink"/>
          </w:rPr>
          <w:t xml:space="preserve">https://doi.org/10.1037/0003-066X.59.4.224</w:t>
        </w:r>
      </w:hyperlink>
      <w:r>
        <w:t xml:space="preserve">.</w:t>
      </w:r>
    </w:p>
    <w:bookmarkEnd w:id="191"/>
    <w:bookmarkStart w:id="19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2">
        <w:r>
          <w:rPr>
            <w:rStyle w:val="Hyperlink"/>
          </w:rPr>
          <w:t xml:space="preserve">https://doi.org/10.1016/j.cpr.2007.01.002</w:t>
        </w:r>
      </w:hyperlink>
      <w:r>
        <w:t xml:space="preserve">.</w:t>
      </w:r>
    </w:p>
    <w:bookmarkEnd w:id="193"/>
    <w:bookmarkStart w:id="195"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4">
        <w:r>
          <w:rPr>
            <w:rStyle w:val="Hyperlink"/>
          </w:rPr>
          <w:t xml:space="preserve">https://doi.org/10.1177/1073191116653829</w:t>
        </w:r>
      </w:hyperlink>
      <w:r>
        <w:t xml:space="preserve">.</w:t>
      </w:r>
    </w:p>
    <w:bookmarkEnd w:id="195"/>
    <w:bookmarkStart w:id="19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6">
        <w:r>
          <w:rPr>
            <w:rStyle w:val="Hyperlink"/>
          </w:rPr>
          <w:t xml:space="preserve">https://doi.org/10.2196/41833</w:t>
        </w:r>
      </w:hyperlink>
      <w:r>
        <w:t xml:space="preserve">.</w:t>
      </w:r>
    </w:p>
    <w:bookmarkEnd w:id="197"/>
    <w:bookmarkStart w:id="198"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8"/>
    <w:bookmarkStart w:id="20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9">
        <w:r>
          <w:rPr>
            <w:rStyle w:val="Hyperlink"/>
          </w:rPr>
          <w:t xml:space="preserve">https://doi.org/10.31234/osf.io/cgsf7</w:t>
        </w:r>
      </w:hyperlink>
      <w:r>
        <w:t xml:space="preserve">.</w:t>
      </w:r>
    </w:p>
    <w:bookmarkEnd w:id="200"/>
    <w:bookmarkStart w:id="202"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1">
        <w:r>
          <w:rPr>
            <w:rStyle w:val="Hyperlink"/>
          </w:rPr>
          <w:t xml:space="preserve">https://doi.org/10.1145/1629890.1629897</w:t>
        </w:r>
      </w:hyperlink>
      <w:r>
        <w:t xml:space="preserve">.</w:t>
      </w:r>
    </w:p>
    <w:bookmarkEnd w:id="202"/>
    <w:bookmarkStart w:id="20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3">
        <w:r>
          <w:rPr>
            <w:rStyle w:val="Hyperlink"/>
          </w:rPr>
          <w:t xml:space="preserve">https://doi.org/10.1177/1077558712458541</w:t>
        </w:r>
      </w:hyperlink>
      <w:r>
        <w:t xml:space="preserve">.</w:t>
      </w:r>
    </w:p>
    <w:bookmarkEnd w:id="204"/>
    <w:bookmarkStart w:id="20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5">
        <w:r>
          <w:rPr>
            <w:rStyle w:val="Hyperlink"/>
          </w:rPr>
          <w:t xml:space="preserve">https://doi.org/10.7326/M14-0295</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2025-08-22T15:19:41Z</dcterms:created>
  <dcterms:modified xsi:type="dcterms:W3CDTF">2025-08-22T15:19:41Z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