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Claire E. Punturieri</w:t>
      </w:r>
    </w:p>
    <w:p>
      <w:pPr>
        <w:pStyle w:val="Author"/>
      </w:pPr>
      <w:r>
        <w:t xml:space="preserve">John J. Curtin</w:t>
      </w:r>
    </w:p>
    <w:p>
      <w:pPr>
        <w:pStyle w:val="Date"/>
      </w:pPr>
      <w:r>
        <w:t xml:space="preserve">2025-08-22</w:t>
      </w:r>
    </w:p>
    <w:p>
      <w:pPr>
        <w:pStyle w:val="AbstractTitle"/>
      </w:pPr>
      <w:r>
        <w:t xml:space="preserve">Abstract</w:t>
      </w:r>
    </w:p>
    <w:p>
      <w:pPr>
        <w:pStyle w:val="Abstract"/>
      </w:pPr>
      <w:r>
        <w:t xml:space="preserve">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(McLellan et al. 2000; Dennis and Scott 2007)</w:t>
      </w:r>
      <w:r>
        <w:t xml:space="preserve">, substantial co-morbidity with other physical and mental health problems</w:t>
      </w:r>
      <w:r>
        <w:t xml:space="preserve"> </w:t>
      </w:r>
      <w:r>
        <w:t xml:space="preserve">(Substance Abuse and Mental Health Services Administration n.d.; Dennis and Scott 2007)</w:t>
      </w:r>
      <w:r>
        <w:t xml:space="preserve">, and an increased risk of mortality</w:t>
      </w:r>
      <w:r>
        <w:t xml:space="preserve"> </w:t>
      </w:r>
      <w:r>
        <w:t xml:space="preserve">(Hedegaard et al. 2021;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Moreover,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suggested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These studies also used resampling methods (e.g., cross-validation) that prioritize model generalizability to increase the likelihood these models will perform well with new people.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we developed models that predict lapses in the immediate future (i.e., the next day and even the next hour) with areas under the receiver operating characteristic curve (auROCs)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then be provided. For example, if predicted lapse probability is high due to frequent craving, the individual could be reminded about the benefits of urge surfing or distracting activities during brief periods when cravings arise. Conversely, guided relaxation techniques could be recommended if lapse probability is high due to recent past and anticipated stressors that day. Patients could also be assisted to implement any of these recommendations using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 (AUD)</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implementation.</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w:t>
      </w:r>
      <w:r>
        <w:t xml:space="preserve">and sex at birth</w:t>
      </w:r>
      <w:r>
        <w:t xml:space="preserve"> </w:t>
      </w:r>
      <w:r>
        <w:t xml:space="preserve">(Greenfield et al. 2007; Kilaru et al. 2020)</w:t>
      </w:r>
      <w:r>
        <w:t xml:space="preserve">. Finally, we calculated Shapley values for feature categories defined by EMA items to better understand how these models generate predictions and how these features can be used to tailor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preregistration,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192 participants in early recovery from AUD in Madison, Wisconsin, USA for a 3-month longitudinal study.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Of the 192 eligible participants,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reviewed the meaning of each question with a member of the research team during their intake visit to ensure consistent question interpretation.</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 On the first EMA each day, participants also rated anticipated risky situations, stressful events,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2000)</w:t>
      </w:r>
      <w:r>
        <w:t xml:space="preserve">) to characterize our sample. DSM-5 AUD symptom count and presence of psychological symptoms were also used to determine eligibility. Demographics were included as features in our models. A subset of these variables (sex at birth, race, ethnicity, and income) were used for model fairness analyses, as they have documented disparities in treatment access and outcomes. 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(version 4.4.2)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w:t>
      </w:r>
    </w:p>
    <w:p>
      <w:pPr>
        <w:pStyle w:val="BodyText"/>
      </w:pPr>
      <w:r>
        <w:t xml:space="preserve">Given this structure, our models provided hour-by-hour predicted probabilities of an alcohol lapse in a future 24-hour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24-hour periods staring at midnight that day, or 24-hour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dates and times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the baseline (no lag) model; 270,911 labels for the 1-day lagged model; 264,362 labels for the 3-day lagged model; 251,458 labels for the 1-week lagged model; and 228,420 labels for the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the no lag model, the prediction timepoint was at the start of prediction window, so all data prior to the start of the prediction window were included. For the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at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non-White and/or Hispanic), marital status (married vs. not married vs. other), education (high school or less vs. some college vs. college degree), and employment status (employed vs. unemployed).</w:t>
      </w:r>
    </w:p>
    <w:p>
      <w:pPr>
        <w:numPr>
          <w:ilvl w:val="0"/>
          <w:numId w:val="1002"/>
        </w:numPr>
      </w:pPr>
      <w:r>
        <w:rPr>
          <w:i/>
          <w:iCs/>
        </w:rPr>
        <w:t xml:space="preserve">Previous EMA responses</w:t>
      </w:r>
      <w:r>
        <w:t xml:space="preserve">: We calculated raw and change features using EMAs in varying feature scoring epochs (i.e., 12, 24, 48, 72, and 168 hours) before the prediction timepoint for all EMA items. Raw features included min, max, and median scores for each EMA item across all EMAs in each epoch for a given participant. We calculated change features by subtracting each participant’s baseline mean score for each EMA item from their raw feature. These baseline mean scores were calculated using all of a participant’s EMAs collected from the start of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 Candidate model configurations differed across sensible values for key hyperparameters. Configurations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(1-day lag vs. no lag, 3-day lag vs. no lag, 1-week lag vs. no lag, 2-week lag vs. no lag). The second set compared adjacently lagged models (3-day lag vs. 1-day lag, 1-week lag vs. 3-day lag, 2-week lag vs. 1-week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(non-White and/or Hispanic vs. non-Hispanic White), income (below poverty line vs. above poverty line</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[0.88-0.91],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12,000 posterior samples (4 chains × 3,000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smaller than 0 for all baseline and adjacent lag contrasts. Median auROC differences less than 0 indicate the more lagged model, on average, performed worse than the more immediate model (e.g., 1-day lag – no lag, 3-day lag – 1-day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smaller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1-day vs. No lag</w:t>
                  </w:r>
                </w:p>
              </w:tc>
              <w:tc>
                <w:tcPr/>
                <w:p>
                  <w:pPr>
                    <w:pStyle w:val="Compact"/>
                    <w:jc w:val="left"/>
                    <w:jc w:val="center"/>
                  </w:pPr>
                  <w:r>
                    <w:t xml:space="preserve">-0.021</w:t>
                  </w:r>
                </w:p>
              </w:tc>
              <w:tc>
                <w:tcPr/>
                <w:p>
                  <w:pPr>
                    <w:pStyle w:val="Compact"/>
                    <w:jc w:val="left"/>
                    <w:jc w:val="center"/>
                  </w:pPr>
                  <w:r>
                    <w:t xml:space="preserve">[-0.025, -0.017]</w:t>
                  </w:r>
                </w:p>
              </w:tc>
              <w:tc>
                <w:tcPr/>
                <w:p>
                  <w:pPr>
                    <w:pStyle w:val="Compact"/>
                    <w:jc w:val="left"/>
                    <w:jc w:val="center"/>
                  </w:pPr>
                  <w:r>
                    <w:t xml:space="preserve">1</w:t>
                  </w:r>
                </w:p>
              </w:tc>
            </w:tr>
            <w:tr>
              <w:tc>
                <w:tcPr/>
                <w:p>
                  <w:pPr>
                    <w:pStyle w:val="Compact"/>
                    <w:jc w:val="left"/>
                    <w:jc w:val="center"/>
                  </w:pPr>
                  <w:r>
                    <w:t xml:space="preserve">3-day vs. No lag</w:t>
                  </w:r>
                </w:p>
              </w:tc>
              <w:tc>
                <w:tcPr/>
                <w:p>
                  <w:pPr>
                    <w:pStyle w:val="Compact"/>
                    <w:jc w:val="left"/>
                    <w:jc w:val="center"/>
                  </w:pPr>
                  <w:r>
                    <w:t xml:space="preserve">-0.03</w:t>
                  </w:r>
                </w:p>
              </w:tc>
              <w:tc>
                <w:tcPr/>
                <w:p>
                  <w:pPr>
                    <w:pStyle w:val="Compact"/>
                    <w:jc w:val="left"/>
                    <w:jc w:val="center"/>
                  </w:pPr>
                  <w:r>
                    <w:t xml:space="preserve">[-0.035, -0.025]</w:t>
                  </w:r>
                </w:p>
              </w:tc>
              <w:tc>
                <w:tcPr/>
                <w:p>
                  <w:pPr>
                    <w:pStyle w:val="Compact"/>
                    <w:jc w:val="left"/>
                    <w:jc w:val="center"/>
                  </w:pPr>
                  <w:r>
                    <w:t xml:space="preserve">1</w:t>
                  </w:r>
                </w:p>
              </w:tc>
            </w:tr>
            <w:tr>
              <w:tc>
                <w:tcPr/>
                <w:p>
                  <w:pPr>
                    <w:pStyle w:val="Compact"/>
                    <w:jc w:val="left"/>
                    <w:jc w:val="center"/>
                  </w:pPr>
                  <w:r>
                    <w:t xml:space="preserve">1-week vs. No lag</w:t>
                  </w:r>
                </w:p>
              </w:tc>
              <w:tc>
                <w:tcPr/>
                <w:p>
                  <w:pPr>
                    <w:pStyle w:val="Compact"/>
                    <w:jc w:val="left"/>
                    <w:jc w:val="center"/>
                  </w:pPr>
                  <w:r>
                    <w:t xml:space="preserve">-0.042</w:t>
                  </w:r>
                </w:p>
              </w:tc>
              <w:tc>
                <w:tcPr/>
                <w:p>
                  <w:pPr>
                    <w:pStyle w:val="Compact"/>
                    <w:jc w:val="left"/>
                    <w:jc w:val="center"/>
                  </w:pPr>
                  <w:r>
                    <w:t xml:space="preserve">[-0.048, -0.037]</w:t>
                  </w:r>
                </w:p>
              </w:tc>
              <w:tc>
                <w:tcPr/>
                <w:p>
                  <w:pPr>
                    <w:pStyle w:val="Compact"/>
                    <w:jc w:val="left"/>
                    <w:jc w:val="center"/>
                  </w:pPr>
                  <w:r>
                    <w:t xml:space="preserve">1</w:t>
                  </w:r>
                </w:p>
              </w:tc>
            </w:tr>
            <w:tr>
              <w:tc>
                <w:tcPr/>
                <w:p>
                  <w:pPr>
                    <w:pStyle w:val="Compact"/>
                    <w:jc w:val="left"/>
                    <w:jc w:val="center"/>
                  </w:pPr>
                  <w:r>
                    <w:t xml:space="preserve">2-week vs. No lag</w:t>
                  </w:r>
                </w:p>
              </w:tc>
              <w:tc>
                <w:tcPr/>
                <w:p>
                  <w:pPr>
                    <w:pStyle w:val="Compact"/>
                    <w:jc w:val="left"/>
                    <w:jc w:val="center"/>
                  </w:pPr>
                  <w:r>
                    <w:t xml:space="preserve">-0.062</w:t>
                  </w:r>
                </w:p>
              </w:tc>
              <w:tc>
                <w:tcPr/>
                <w:p>
                  <w:pPr>
                    <w:pStyle w:val="Compact"/>
                    <w:jc w:val="left"/>
                    <w:jc w:val="center"/>
                  </w:pPr>
                  <w:r>
                    <w:t xml:space="preserve">[-0.07, -0.056]</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3-day vs. 1-day</w:t>
                  </w:r>
                </w:p>
              </w:tc>
              <w:tc>
                <w:tcPr/>
                <w:p>
                  <w:pPr>
                    <w:pStyle w:val="Compact"/>
                    <w:jc w:val="left"/>
                    <w:jc w:val="center"/>
                  </w:pPr>
                  <w:r>
                    <w:t xml:space="preserve">-0.009</w:t>
                  </w:r>
                </w:p>
              </w:tc>
              <w:tc>
                <w:tcPr/>
                <w:p>
                  <w:pPr>
                    <w:pStyle w:val="Compact"/>
                    <w:jc w:val="left"/>
                    <w:jc w:val="center"/>
                  </w:pPr>
                  <w:r>
                    <w:t xml:space="preserve">[-0.013, -0.005]</w:t>
                  </w:r>
                </w:p>
              </w:tc>
              <w:tc>
                <w:tcPr/>
                <w:p>
                  <w:pPr>
                    <w:pStyle w:val="Compact"/>
                    <w:jc w:val="left"/>
                    <w:jc w:val="center"/>
                  </w:pPr>
                  <w:r>
                    <w:t xml:space="preserve">1</w:t>
                  </w:r>
                </w:p>
              </w:tc>
            </w:tr>
            <w:tr>
              <w:tc>
                <w:tcPr/>
                <w:p>
                  <w:pPr>
                    <w:pStyle w:val="Compact"/>
                    <w:jc w:val="left"/>
                    <w:jc w:val="center"/>
                  </w:pPr>
                  <w:r>
                    <w:t xml:space="preserve">1-week vs. 3-day</w:t>
                  </w:r>
                </w:p>
              </w:tc>
              <w:tc>
                <w:tcPr/>
                <w:p>
                  <w:pPr>
                    <w:pStyle w:val="Compact"/>
                    <w:jc w:val="left"/>
                    <w:jc w:val="center"/>
                  </w:pPr>
                  <w:r>
                    <w:t xml:space="preserve">-0.012</w:t>
                  </w:r>
                </w:p>
              </w:tc>
              <w:tc>
                <w:tcPr/>
                <w:p>
                  <w:pPr>
                    <w:pStyle w:val="Compact"/>
                    <w:jc w:val="left"/>
                    <w:jc w:val="center"/>
                  </w:pPr>
                  <w:r>
                    <w:t xml:space="preserve">[-0.017, -0.008]</w:t>
                  </w:r>
                </w:p>
              </w:tc>
              <w:tc>
                <w:tcPr/>
                <w:p>
                  <w:pPr>
                    <w:pStyle w:val="Compact"/>
                    <w:jc w:val="left"/>
                    <w:jc w:val="center"/>
                  </w:pPr>
                  <w:r>
                    <w:t xml:space="preserve">1</w:t>
                  </w:r>
                </w:p>
              </w:tc>
            </w:tr>
            <w:tr>
              <w:tc>
                <w:tcPr/>
                <w:p>
                  <w:pPr>
                    <w:pStyle w:val="Compact"/>
                    <w:jc w:val="left"/>
                    <w:jc w:val="center"/>
                  </w:pPr>
                  <w:r>
                    <w:t xml:space="preserve">2-week vs. 1-week</w:t>
                  </w:r>
                </w:p>
              </w:tc>
              <w:tc>
                <w:tcPr/>
                <w:p>
                  <w:pPr>
                    <w:pStyle w:val="Compact"/>
                    <w:jc w:val="left"/>
                    <w:jc w:val="center"/>
                  </w:pPr>
                  <w:r>
                    <w:t xml:space="preserve">-0.02</w:t>
                  </w:r>
                </w:p>
              </w:tc>
              <w:tc>
                <w:tcPr/>
                <w:p>
                  <w:pPr>
                    <w:pStyle w:val="Compact"/>
                    <w:jc w:val="left"/>
                    <w:jc w:val="center"/>
                  </w:pPr>
                  <w:r>
                    <w:t xml:space="preserve">[-0.026, -0.015]</w:t>
                  </w:r>
                </w:p>
              </w:tc>
              <w:tc>
                <w:tcPr/>
                <w:p>
                  <w:pPr>
                    <w:pStyle w:val="Compact"/>
                    <w:jc w:val="left"/>
                    <w:jc w:val="center"/>
                  </w:pPr>
                  <w:r>
                    <w:t xml:space="preserve">1</w:t>
                  </w:r>
                </w:p>
              </w:tc>
            </w:tr>
            <w:tr>
              <w:tc>
                <w:tcPr/>
                <w:p>
                  <w:pPr>
                    <w:pStyle w:val="Compact"/>
                    <w:jc w:val="left"/>
                    <w:jc w:val="center"/>
                  </w:pPr>
                  <w:r>
                    <w:t xml:space="preserve"> </w:t>
                  </w:r>
                  <w:r>
                    <w:t xml:space="preserve">Median auROC differences less than 0 indicate the more lagged model, on average, performed worse than the more immediate model (e.g., 1-day lag - no lag, 3-day lag - 1-day lag). Bayesian CI represents the range of values where there is a 95% probability that the true auROC difference lies within that range. Probability indicates the posterior probability that this difference is smaller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smaller than 0 for the three fairness contrasts: race/ethnicity (non-White and/or Hispanic;</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 line;</w:t>
      </w:r>
      <w:r>
        <w:t xml:space="preserve"> </w:t>
      </w:r>
      <w:r>
        <w:rPr>
          <w:i/>
          <w:iCs/>
        </w:rPr>
        <w:t xml:space="preserve">N</w:t>
      </w:r>
      <w:r>
        <w:t xml:space="preserve"> </w:t>
      </w:r>
      <w:r>
        <w:t xml:space="preserve">= 49 vs. above poverty line;</w:t>
      </w:r>
      <w:r>
        <w:t xml:space="preserve"> </w:t>
      </w:r>
      <w:r>
        <w:rPr>
          <w:i/>
          <w:iCs/>
        </w:rPr>
        <w:t xml:space="preserve">N</w:t>
      </w:r>
      <w:r>
        <w:t xml:space="preserve"> </w:t>
      </w:r>
      <w:r>
        <w:t xml:space="preserve">= 102). Median auROC differences less than 0 indicate the model, on average, performed worse for the non-advantaged group (female, non-White, below poverty line) compared to the advantaged group (male, non-Hispanic White, and above poverty line).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.84) that our models performed worse for the non-advantaged groups compared to the advantaged groups. On average, across all five models, there was a median decrease in auROC of 0.13 (range 0.13-0.17) for participants who were non-White and/or Hispanic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non-White and/or Hispanic vs. 8%, non-Hispanic White), income (12%, below poverty line vs. 7%, above poverty line),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smaller than 0 for fairness contrasts for the no lag and 2-week lagged models.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-0.043</w:t>
                  </w:r>
                </w:p>
              </w:tc>
              <w:tc>
                <w:tcPr/>
                <w:p>
                  <w:pPr>
                    <w:pStyle w:val="Compact"/>
                    <w:jc w:val="left"/>
                    <w:jc w:val="center"/>
                  </w:pPr>
                  <w:r>
                    <w:t xml:space="preserve">[-0.059, -0.028]</w:t>
                  </w:r>
                </w:p>
              </w:tc>
              <w:tc>
                <w:tcPr/>
                <w:p>
                  <w:pPr>
                    <w:pStyle w:val="Compact"/>
                    <w:jc w:val="left"/>
                    <w:jc w:val="center"/>
                  </w:pPr>
                  <w:r>
                    <w:t xml:space="preserve">1</w:t>
                  </w:r>
                </w:p>
              </w:tc>
            </w:tr>
            <w:tr>
              <w:tc>
                <w:tcPr/>
                <w:p>
                  <w:pPr>
                    <w:pStyle w:val="Compact"/>
                    <w:jc w:val="left"/>
                    <w:jc w:val="center"/>
                  </w:pPr>
                  <w:r>
                    <w:t xml:space="preserve">non-White and/or Hispanic vs. non-Hispanic White</w:t>
                  </w:r>
                </w:p>
              </w:tc>
              <w:tc>
                <w:tcPr/>
                <w:p>
                  <w:pPr>
                    <w:pStyle w:val="Compact"/>
                    <w:jc w:val="left"/>
                    <w:jc w:val="center"/>
                  </w:pPr>
                  <w:r>
                    <w:t xml:space="preserve">-0.131</w:t>
                  </w:r>
                </w:p>
              </w:tc>
              <w:tc>
                <w:tcPr/>
                <w:p>
                  <w:pPr>
                    <w:pStyle w:val="Compact"/>
                    <w:jc w:val="left"/>
                    <w:jc w:val="center"/>
                  </w:pPr>
                  <w:r>
                    <w:t xml:space="preserve">[-0.222, -0.057]</w:t>
                  </w:r>
                </w:p>
              </w:tc>
              <w:tc>
                <w:tcPr/>
                <w:p>
                  <w:pPr>
                    <w:pStyle w:val="Compact"/>
                    <w:jc w:val="left"/>
                    <w:jc w:val="center"/>
                  </w:pPr>
                  <w:r>
                    <w:t xml:space="preserve">0.999</w:t>
                  </w:r>
                </w:p>
              </w:tc>
            </w:tr>
            <w:tr>
              <w:tc>
                <w:tcPr/>
                <w:p>
                  <w:pPr>
                    <w:pStyle w:val="Compact"/>
                    <w:jc w:val="left"/>
                    <w:jc w:val="center"/>
                  </w:pPr>
                  <w:r>
                    <w:t xml:space="preserve">below poverty line vs. above poverty line</w:t>
                  </w:r>
                </w:p>
              </w:tc>
              <w:tc>
                <w:tcPr/>
                <w:p>
                  <w:pPr>
                    <w:pStyle w:val="Compact"/>
                    <w:jc w:val="left"/>
                    <w:jc w:val="center"/>
                  </w:pPr>
                  <w:r>
                    <w:t xml:space="preserve">-0.012</w:t>
                  </w:r>
                </w:p>
              </w:tc>
              <w:tc>
                <w:tcPr/>
                <w:p>
                  <w:pPr>
                    <w:pStyle w:val="Compact"/>
                    <w:jc w:val="left"/>
                    <w:jc w:val="center"/>
                  </w:pPr>
                  <w:r>
                    <w:t xml:space="preserve">[-0.033, 0.007]</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-0.098</w:t>
                  </w:r>
                </w:p>
              </w:tc>
              <w:tc>
                <w:tcPr/>
                <w:p>
                  <w:pPr>
                    <w:pStyle w:val="Compact"/>
                    <w:jc w:val="left"/>
                    <w:jc w:val="center"/>
                  </w:pPr>
                  <w:r>
                    <w:t xml:space="preserve">[-0.125, -0.073]</w:t>
                  </w:r>
                </w:p>
              </w:tc>
              <w:tc>
                <w:tcPr/>
                <w:p>
                  <w:pPr>
                    <w:pStyle w:val="Compact"/>
                    <w:jc w:val="left"/>
                    <w:jc w:val="center"/>
                  </w:pPr>
                  <w:r>
                    <w:t xml:space="preserve">1</w:t>
                  </w:r>
                </w:p>
              </w:tc>
            </w:tr>
            <w:tr>
              <w:tc>
                <w:tcPr/>
                <w:p>
                  <w:pPr>
                    <w:pStyle w:val="Compact"/>
                    <w:jc w:val="left"/>
                    <w:jc w:val="center"/>
                  </w:pPr>
                  <w:r>
                    <w:t xml:space="preserve">non-White and/or Hispanic vs. non-Hispanic White</w:t>
                  </w:r>
                </w:p>
              </w:tc>
              <w:tc>
                <w:tcPr/>
                <w:p>
                  <w:pPr>
                    <w:pStyle w:val="Compact"/>
                    <w:jc w:val="left"/>
                    <w:jc w:val="center"/>
                  </w:pPr>
                  <w:r>
                    <w:t xml:space="preserve">-0.13</w:t>
                  </w:r>
                </w:p>
              </w:tc>
              <w:tc>
                <w:tcPr/>
                <w:p>
                  <w:pPr>
                    <w:pStyle w:val="Compact"/>
                    <w:jc w:val="left"/>
                    <w:jc w:val="center"/>
                  </w:pPr>
                  <w:r>
                    <w:t xml:space="preserve">[-0.208, -0.058]</w:t>
                  </w:r>
                </w:p>
              </w:tc>
              <w:tc>
                <w:tcPr/>
                <w:p>
                  <w:pPr>
                    <w:pStyle w:val="Compact"/>
                    <w:jc w:val="left"/>
                    <w:jc w:val="center"/>
                  </w:pPr>
                  <w:r>
                    <w:t xml:space="preserve">0.998</w:t>
                  </w:r>
                </w:p>
              </w:tc>
            </w:tr>
            <w:tr>
              <w:tc>
                <w:tcPr/>
                <w:p>
                  <w:pPr>
                    <w:pStyle w:val="Compact"/>
                    <w:jc w:val="left"/>
                    <w:jc w:val="center"/>
                  </w:pPr>
                  <w:r>
                    <w:t xml:space="preserve">below poverty line vs. above poverty line</w:t>
                  </w:r>
                </w:p>
              </w:tc>
              <w:tc>
                <w:tcPr/>
                <w:p>
                  <w:pPr>
                    <w:pStyle w:val="Compact"/>
                    <w:jc w:val="left"/>
                    <w:jc w:val="center"/>
                  </w:pPr>
                  <w:r>
                    <w:t xml:space="preserve">-0.039</w:t>
                  </w:r>
                </w:p>
              </w:tc>
              <w:tc>
                <w:tcPr/>
                <w:p>
                  <w:pPr>
                    <w:pStyle w:val="Compact"/>
                    <w:jc w:val="left"/>
                    <w:jc w:val="center"/>
                  </w:pPr>
                  <w:r>
                    <w:t xml:space="preserve">[-0.073, -0.008]</w:t>
                  </w:r>
                </w:p>
              </w:tc>
              <w:tc>
                <w:tcPr/>
                <w:p>
                  <w:pPr>
                    <w:pStyle w:val="Compact"/>
                    <w:jc w:val="left"/>
                    <w:jc w:val="center"/>
                  </w:pPr>
                  <w:r>
                    <w:t xml:space="preserve">0.98</w:t>
                  </w:r>
                </w:p>
              </w:tc>
            </w:tr>
            <w:tr>
              <w:tc>
                <w:tcPr/>
                <w:p>
                  <w:pPr>
                    <w:pStyle w:val="Compact"/>
                    <w:jc w:val="left"/>
                    <w:jc w:val="center"/>
                  </w:pPr>
                  <w:r>
                    <w:t xml:space="preserve"> </w:t>
                  </w:r>
                  <w:r>
                    <w:t xml:space="preserve">Median auROC differences less than 0 indicate the model, on average, performed worse for the disadvantaged group (female, non-White and/or Hispanic, income below poverty line) compared to the advantaged group (male, non-Hispanic White, income above poverty line). Bayesian CI represents the range of values where there is a 95% probability that the true auROC difference lies within that range. Probability indicates the posterior probability that this difference is smaller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.063. For comparison, raw probability scores yielded Brier scores of .071 and .077 for the no lag and 2-week lagged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6" w:name="discussion"/>
    <w:p>
      <w:pPr>
        <w:pStyle w:val="Heading1"/>
      </w:pPr>
      <w:r>
        <w:t xml:space="preserve">Discussion</w:t>
      </w:r>
    </w:p>
    <w:p>
      <w:pPr>
        <w:pStyle w:val="FirstParagraph"/>
      </w:pPr>
      <w:r>
        <w:t xml:space="preserve">All the models that we evaluated performed exceptionally well. The no lag model, which predicts the probability of an immediate (i.e., within 24 hours) lapse back to alcohol use, had a .91 median posterior probability for auROC.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Start w:id="80"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(non-White and/or Hispanic vs. non-Hispanic White), income (below poverty line vs. above poverty line), and sex at birth (female vs. male).</w:t>
      </w:r>
    </w:p>
    <w:p>
      <w:pPr>
        <w:pStyle w:val="BodyText"/>
      </w:pPr>
      <w:r>
        <w:t xml:space="preserve">All models performed worse for people who were non-White and/or Hispanic, and for people who had an income below the poverty line. The lack of diversity in our training data was likely a key contributor to the poorer model performance in these subgroups. Participants of color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enabled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w:t>
      </w:r>
      <w:r>
        <w:t xml:space="preserve"> </w:t>
      </w:r>
      <w:r>
        <w:t xml:space="preserve">(Fisher 2015; David et al. 2018; Roche et al. 2014; Wright et al. 2016)</w:t>
      </w:r>
      <w:r>
        <w:t xml:space="preserve"> </w:t>
      </w:r>
      <w:r>
        <w:t xml:space="preserve">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0"/>
    <w:bookmarkStart w:id="83" w:name="model-characterization-1"/>
    <w:p>
      <w:pPr>
        <w:pStyle w:val="Heading2"/>
      </w:pPr>
      <w:r>
        <w:t xml:space="preserve">Model Characterization</w:t>
      </w:r>
    </w:p>
    <w:bookmarkStart w:id="81"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lapse event rates. Well-calibrated probabilities indicate that the predicted probability aligns closely with the true likelihood of an outcome (i.e., a lapse). Our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necessarily be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1"/>
    <w:bookmarkStart w:id="82"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(where people may be encouraged to take a</w:t>
      </w:r>
      <w:r>
        <w:t xml:space="preserve"> </w:t>
      </w:r>
      <w:r>
        <w:t xml:space="preserve">“one day at a time”</w:t>
      </w:r>
      <w:r>
        <w:t xml:space="preserve"> </w:t>
      </w:r>
      <w:r>
        <w:t xml:space="preserve">mindset).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on lapses back to use may be delayed. It may be that persistent exposure to risks is necessary to undermine an abstinence goal and lead to return to alcohol use. Alternatively or additionally, people may also be better able to anticipate future risky situations (e.g., vacations, anniversaries of significant dates) than future acute stressors or even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roles that these constructs play (e.g., within the context of individual coping strategies, social support or environmental factors) in the return to alcohol use during recovery</w:t>
      </w:r>
      <w:r>
        <w:t xml:space="preserve"> </w:t>
      </w:r>
      <w:r>
        <w:t xml:space="preserve">(Fronk et al. 2020)</w:t>
      </w:r>
      <w:r>
        <w:t xml:space="preserve">.</w:t>
      </w:r>
    </w:p>
    <w:bookmarkEnd w:id="82"/>
    <w:bookmarkEnd w:id="83"/>
    <w:bookmarkStart w:id="84"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an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The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an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the first two weeks (out of 12 weeks) of labels for each participant were discarded. This data loss may be one factor that contributed to the decreases in model performance with increases in lag time and we believed that greater data loss (e.g., 25% for a 3-week lag) would not be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an RMSS intended for use over many, many months to years for long-term continuing care. We have begun to address this concern by training no lag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w:t>
      </w:r>
      <w:r>
        <w:t xml:space="preserve"> </w:t>
      </w:r>
      <w:r>
        <w:t xml:space="preserve">(Bae et al. 2023)</w:t>
      </w:r>
      <w:r>
        <w:t xml:space="preserve">.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 (e.g., census data, alcohol outlet density)</w:t>
      </w:r>
      <w:r>
        <w:t xml:space="preserve"> </w:t>
      </w:r>
      <w:r>
        <w:t xml:space="preserve">(Huang, Li, and Yue 2010; Xie, Deng, and Zhou 2009)</w:t>
      </w:r>
      <w:r>
        <w:t xml:space="preserve"> </w:t>
      </w:r>
      <w:r>
        <w:t xml:space="preserve">or collected from the user directly (e.g., self-evaluated riskiness of a given location)</w:t>
      </w:r>
      <w:r>
        <w:t xml:space="preserve"> </w:t>
      </w:r>
      <w:r>
        <w:t xml:space="preserve">(Moshontz et al. 2021)</w:t>
      </w:r>
      <w:r>
        <w:t xml:space="preserve">.</w:t>
      </w:r>
    </w:p>
    <w:bookmarkEnd w:id="84"/>
    <w:bookmarkStart w:id="85"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enable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risk factors with less burden for system users. Perhaps most important, model fairness must be improved by decreasing disparities in performance for less privileged groups. We remain optimistic about the potential to implement these models within a smart RMSS because these barriers, while challenging, are surmountable.</w:t>
      </w:r>
    </w:p>
    <w:bookmarkEnd w:id="85"/>
    <w:bookmarkEnd w:id="86"/>
    <w:bookmarkStart w:id="208" w:name="references"/>
    <w:p>
      <w:pPr>
        <w:pStyle w:val="Heading1"/>
      </w:pPr>
      <w:r>
        <w:t xml:space="preserve">References</w:t>
      </w:r>
    </w:p>
    <w:bookmarkStart w:id="207" w:name="refs"/>
    <w:bookmarkStart w:id="88" w:name="X126aebe61d5329fdf5f31356b05d81ee3379203"/>
    <w:p>
      <w:pPr>
        <w:pStyle w:val="Bibliography"/>
      </w:pPr>
      <w:r>
        <w:t xml:space="preserve">Aczel, Balazs, Barnabas Szaszi, Alexandra Sarafoglou, Zoltan Kekecs, Šimon Kucharský, Daniel Benjamin, Christopher D. Chambers, et al. 2019.</w:t>
      </w:r>
      <w:r>
        <w:t xml:space="preserve"> </w:t>
      </w:r>
      <w:r>
        <w:t xml:space="preserve">“A Consensus-Based Transparency Checklist.”</w:t>
      </w:r>
      <w:r>
        <w:t xml:space="preserve"> </w:t>
      </w:r>
      <w:r>
        <w:rPr>
          <w:i/>
          <w:iCs/>
        </w:rPr>
        <w:t xml:space="preserve">Nature Human Behaviour</w:t>
      </w:r>
      <w:r>
        <w:t xml:space="preserve">, December, 1–3.</w:t>
      </w:r>
      <w:r>
        <w:t xml:space="preserve"> </w:t>
      </w:r>
      <w:hyperlink r:id="rId87">
        <w:r>
          <w:rPr>
            <w:rStyle w:val="Hyperlink"/>
          </w:rPr>
          <w:t xml:space="preserve">https://doi.org/10.1038/s41562-019-0772-6</w:t>
        </w:r>
      </w:hyperlink>
      <w:r>
        <w:t xml:space="preserve">.</w:t>
      </w:r>
    </w:p>
    <w:bookmarkEnd w:id="88"/>
    <w:bookmarkStart w:id="90" w:name="ref-baeLeveragingMobilePhone2023"/>
    <w:p>
      <w:pPr>
        <w:pStyle w:val="Bibliography"/>
      </w:pPr>
      <w:r>
        <w:t xml:space="preserve">Bae, Sang Won, Brian Suffoletto, Tongze Zhang, Tammy Chung, Melik Ozolcer, Mohammad Rahul Islam, and Anind Dey. 2023.</w:t>
      </w:r>
      <w:r>
        <w:t xml:space="preserve"> </w:t>
      </w:r>
      <w:r>
        <w:t xml:space="preserve">“Leveraging</w:t>
      </w:r>
      <w:r>
        <w:t xml:space="preserve"> </w:t>
      </w:r>
      <w:r>
        <w:t xml:space="preserve">Mobile Phone Sensors</w:t>
      </w:r>
      <w:r>
        <w:t xml:space="preserve">,</w:t>
      </w:r>
      <w:r>
        <w:t xml:space="preserve"> </w:t>
      </w:r>
      <w:r>
        <w:t xml:space="preserve">Machine Learning</w:t>
      </w:r>
      <w:r>
        <w:t xml:space="preserve"> </w:t>
      </w:r>
      <w:r>
        <w:t xml:space="preserve">and</w:t>
      </w:r>
      <w:r>
        <w:t xml:space="preserve"> </w:t>
      </w:r>
      <w:r>
        <w:t xml:space="preserve">Explainable Artificial Intelligence</w:t>
      </w:r>
      <w:r>
        <w:t xml:space="preserve"> </w:t>
      </w:r>
      <w:r>
        <w:t xml:space="preserve">to</w:t>
      </w:r>
      <w:r>
        <w:t xml:space="preserve"> </w:t>
      </w:r>
      <w:r>
        <w:t xml:space="preserve">Predict Imminent Same-Day Binge Drinking Events</w:t>
      </w:r>
      <w:r>
        <w:t xml:space="preserve"> </w:t>
      </w:r>
      <w:r>
        <w:t xml:space="preserve">to</w:t>
      </w:r>
      <w:r>
        <w:t xml:space="preserve"> </w:t>
      </w:r>
      <w:r>
        <w:t xml:space="preserve">Support Just-In-Time Adaptive Interventions</w:t>
      </w:r>
      <w:r>
        <w:t xml:space="preserve">:</w:t>
      </w:r>
      <w:r>
        <w:t xml:space="preserve"> </w:t>
      </w:r>
      <w:r>
        <w:t xml:space="preserve">A Feasibility Study</w:t>
      </w:r>
      <w:r>
        <w:t xml:space="preserve">.”</w:t>
      </w:r>
      <w:r>
        <w:t xml:space="preserve"> </w:t>
      </w:r>
      <w:r>
        <w:rPr>
          <w:i/>
          <w:iCs/>
        </w:rPr>
        <w:t xml:space="preserve">JMIR Formative Research</w:t>
      </w:r>
      <w:r>
        <w:t xml:space="preserve">, February.</w:t>
      </w:r>
      <w:r>
        <w:t xml:space="preserve"> </w:t>
      </w:r>
      <w:hyperlink r:id="rId89">
        <w:r>
          <w:rPr>
            <w:rStyle w:val="Hyperlink"/>
          </w:rPr>
          <w:t xml:space="preserve">https://doi.org/10.2196/39862</w:t>
        </w:r>
      </w:hyperlink>
      <w:r>
        <w:t xml:space="preserve">.</w:t>
      </w:r>
    </w:p>
    <w:bookmarkEnd w:id="90"/>
    <w:bookmarkStart w:id="92"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91">
        <w:r>
          <w:rPr>
            <w:rStyle w:val="Hyperlink"/>
          </w:rPr>
          <w:t xml:space="preserve">https://doi.org/10.1007/s10488-016-0718-5</w:t>
        </w:r>
      </w:hyperlink>
      <w:r>
        <w:t xml:space="preserve">.</w:t>
      </w:r>
    </w:p>
    <w:bookmarkEnd w:id="92"/>
    <w:bookmarkStart w:id="93"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3"/>
    <w:bookmarkStart w:id="9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4"/>
    <w:bookmarkStart w:id="9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5">
        <w:r>
          <w:rPr>
            <w:rStyle w:val="Hyperlink"/>
          </w:rPr>
          <w:t xml:space="preserve">https://doi.org/10.1146/annurev.clinpsy.3.022806.091455</w:t>
        </w:r>
      </w:hyperlink>
      <w:r>
        <w:t xml:space="preserve">.</w:t>
      </w:r>
    </w:p>
    <w:bookmarkEnd w:id="96"/>
    <w:bookmarkStart w:id="9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7">
        <w:r>
          <w:rPr>
            <w:rStyle w:val="Hyperlink"/>
          </w:rPr>
          <w:t xml:space="preserve">https://doi.org/10.21231/GNT1-HW21</w:t>
        </w:r>
      </w:hyperlink>
      <w:r>
        <w:t xml:space="preserve">.</w:t>
      </w:r>
    </w:p>
    <w:bookmarkEnd w:id="98"/>
    <w:bookmarkStart w:id="99"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9"/>
    <w:bookmarkStart w:id="100"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100"/>
    <w:bookmarkStart w:id="102"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101">
        <w:r>
          <w:rPr>
            <w:rStyle w:val="Hyperlink"/>
          </w:rPr>
          <w:t xml:space="preserve">https://doi.org/10.1007/s10862-017-9632-8</w:t>
        </w:r>
      </w:hyperlink>
      <w:r>
        <w:t xml:space="preserve">.</w:t>
      </w:r>
    </w:p>
    <w:bookmarkEnd w:id="102"/>
    <w:bookmarkStart w:id="104" w:name="ref-dennisManagingAddictionChronic2007"/>
    <w:p>
      <w:pPr>
        <w:pStyle w:val="Bibliography"/>
      </w:pPr>
      <w:r>
        <w:t xml:space="preserve">Dennis, Michael, and Christy K Scott. 2007.</w:t>
      </w:r>
      <w:r>
        <w:t xml:space="preserve"> </w:t>
      </w:r>
      <w:r>
        <w:t xml:space="preserve">“</w:t>
      </w:r>
      <w:hyperlink r:id="rId103">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4"/>
    <w:bookmarkStart w:id="105"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5"/>
    <w:bookmarkStart w:id="107"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6">
        <w:r>
          <w:rPr>
            <w:rStyle w:val="Hyperlink"/>
          </w:rPr>
          <w:t xml:space="preserve">https://doi.org/10.1016/j.brat.2019.103506</w:t>
        </w:r>
      </w:hyperlink>
      <w:r>
        <w:t xml:space="preserve">.</w:t>
      </w:r>
    </w:p>
    <w:bookmarkEnd w:id="107"/>
    <w:bookmarkStart w:id="109"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8">
        <w:r>
          <w:rPr>
            <w:rStyle w:val="Hyperlink"/>
          </w:rPr>
          <w:t xml:space="preserve">https://doi.org/10.48550/arXiv.1810.04805</w:t>
        </w:r>
      </w:hyperlink>
      <w:r>
        <w:t xml:space="preserve">.</w:t>
      </w:r>
    </w:p>
    <w:bookmarkEnd w:id="109"/>
    <w:bookmarkStart w:id="111"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10">
        <w:r>
          <w:rPr>
            <w:rStyle w:val="Hyperlink"/>
          </w:rPr>
          <w:t xml:space="preserve">https://doi.org/10.5555/ajhb.2007.31.supp.S47</w:t>
        </w:r>
      </w:hyperlink>
      <w:r>
        <w:t xml:space="preserve">.</w:t>
      </w:r>
    </w:p>
    <w:bookmarkEnd w:id="111"/>
    <w:bookmarkStart w:id="113"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12">
        <w:r>
          <w:rPr>
            <w:rStyle w:val="Hyperlink"/>
          </w:rPr>
          <w:t xml:space="preserve">https://doi.org/10.1037/ccp0000026</w:t>
        </w:r>
      </w:hyperlink>
      <w:r>
        <w:t xml:space="preserve">.</w:t>
      </w:r>
    </w:p>
    <w:bookmarkEnd w:id="113"/>
    <w:bookmarkStart w:id="115"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4">
        <w:r>
          <w:rPr>
            <w:rStyle w:val="Hyperlink"/>
          </w:rPr>
          <w:t xml:space="preserve">https://doi.org/10.1146/annurev-clinpsy-102419-125016</w:t>
        </w:r>
      </w:hyperlink>
      <w:r>
        <w:t xml:space="preserve">.</w:t>
      </w:r>
    </w:p>
    <w:bookmarkEnd w:id="115"/>
    <w:bookmarkStart w:id="116"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6"/>
    <w:bookmarkStart w:id="117"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7"/>
    <w:bookmarkStart w:id="119"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8">
        <w:r>
          <w:rPr>
            <w:rStyle w:val="Hyperlink"/>
          </w:rPr>
          <w:t xml:space="preserve">https://doi.org/10.1016/j.drugalcdep.2006.05.012</w:t>
        </w:r>
      </w:hyperlink>
      <w:r>
        <w:t xml:space="preserve">.</w:t>
      </w:r>
    </w:p>
    <w:bookmarkEnd w:id="119"/>
    <w:bookmarkStart w:id="120"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20"/>
    <w:bookmarkStart w:id="121" w:name="ref-hedegaardDrugOverdoseDeaths2021"/>
    <w:p>
      <w:pPr>
        <w:pStyle w:val="Bibliography"/>
      </w:pPr>
      <w:r>
        <w:t xml:space="preserve">Hedegaard, Holly, Arialdi M. Miniño, Merianne Rose Spencer, and Margaret Warner. 2021.</w:t>
      </w:r>
      <w:r>
        <w:t xml:space="preserve"> </w:t>
      </w:r>
      <w:r>
        <w:t xml:space="preserve">“Drug Overdose Deaths in the</w:t>
      </w:r>
      <w:r>
        <w:t xml:space="preserve"> </w:t>
      </w:r>
      <w:r>
        <w:t xml:space="preserve">United States</w:t>
      </w:r>
      <w:r>
        <w:t xml:space="preserve">, 1999–2020.”</w:t>
      </w:r>
    </w:p>
    <w:bookmarkEnd w:id="121"/>
    <w:bookmarkStart w:id="122"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22"/>
    <w:bookmarkStart w:id="124" w:name="ref-huangActivityIdentificationGPS2010"/>
    <w:p>
      <w:pPr>
        <w:pStyle w:val="Bibliography"/>
      </w:pPr>
      <w:r>
        <w:t xml:space="preserve">Huang, Lian, Qingquan Li, and Yang Yue. 2010.</w:t>
      </w:r>
      <w:r>
        <w:t xml:space="preserve"> </w:t>
      </w:r>
      <w:r>
        <w:t xml:space="preserve">“Activity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w:t>
      </w:r>
      <w:r>
        <w:t xml:space="preserve"> </w:t>
      </w:r>
      <w:r>
        <w:t xml:space="preserve">In</w:t>
      </w:r>
      <w:r>
        <w:t xml:space="preserve"> </w:t>
      </w:r>
      <w:r>
        <w:rPr>
          <w:i/>
          <w:iCs/>
        </w:rPr>
        <w:t xml:space="preserve">Proceedings of the 2nd</w:t>
      </w:r>
      <w:r>
        <w:rPr>
          <w:i/>
          <w:iCs/>
        </w:rPr>
        <w:t xml:space="preserve"> </w:t>
      </w:r>
      <w:r>
        <w:rPr>
          <w:i/>
          <w:iCs/>
        </w:rPr>
        <w:t xml:space="preserve">ACM SIGSPATIAL International Workshop</w:t>
      </w:r>
      <w:r>
        <w:rPr>
          <w:i/>
          <w:iCs/>
        </w:rPr>
        <w:t xml:space="preserve"> </w:t>
      </w:r>
      <w:r>
        <w:rPr>
          <w:i/>
          <w:iCs/>
        </w:rPr>
        <w:t xml:space="preserve">on</w:t>
      </w:r>
      <w:r>
        <w:rPr>
          <w:i/>
          <w:iCs/>
        </w:rPr>
        <w:t xml:space="preserve"> </w:t>
      </w:r>
      <w:r>
        <w:rPr>
          <w:i/>
          <w:iCs/>
        </w:rPr>
        <w:t xml:space="preserve">Location Based Social Networks</w:t>
      </w:r>
      <w:r>
        <w:t xml:space="preserve">, 27–30.</w:t>
      </w:r>
      <w:r>
        <w:t xml:space="preserve"> </w:t>
      </w:r>
      <w:r>
        <w:t xml:space="preserve">LBSN</w:t>
      </w:r>
      <w:r>
        <w:t xml:space="preserve"> </w:t>
      </w:r>
      <w:r>
        <w:t xml:space="preserve">’10. New York, NY, USA: Association for Computing Machinery.</w:t>
      </w:r>
      <w:r>
        <w:t xml:space="preserve"> </w:t>
      </w:r>
      <w:hyperlink r:id="rId123">
        <w:r>
          <w:rPr>
            <w:rStyle w:val="Hyperlink"/>
          </w:rPr>
          <w:t xml:space="preserve">https://doi.org/10.1145/1867699.1867704</w:t>
        </w:r>
      </w:hyperlink>
      <w:r>
        <w:t xml:space="preserve">.</w:t>
      </w:r>
    </w:p>
    <w:bookmarkEnd w:id="124"/>
    <w:bookmarkStart w:id="126"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5">
        <w:r>
          <w:rPr>
            <w:rStyle w:val="Hyperlink"/>
          </w:rPr>
          <w:t xml:space="preserve">https://doi.org/10/gfsjzg</w:t>
        </w:r>
      </w:hyperlink>
      <w:r>
        <w:t xml:space="preserve">.</w:t>
      </w:r>
    </w:p>
    <w:bookmarkEnd w:id="126"/>
    <w:bookmarkStart w:id="128"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7">
        <w:r>
          <w:rPr>
            <w:rStyle w:val="Hyperlink"/>
          </w:rPr>
          <w:t xml:space="preserve">https://doi.org/10.1001/jamanetworkopen.2020.5852</w:t>
        </w:r>
      </w:hyperlink>
      <w:r>
        <w:t xml:space="preserve">.</w:t>
      </w:r>
    </w:p>
    <w:bookmarkEnd w:id="128"/>
    <w:bookmarkStart w:id="130"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9">
        <w:r>
          <w:rPr>
            <w:rStyle w:val="Hyperlink"/>
          </w:rPr>
          <w:t xml:space="preserve">https://doi.org/10.1007/s11920-012-0296-5</w:t>
        </w:r>
      </w:hyperlink>
      <w:r>
        <w:t xml:space="preserve">.</w:t>
      </w:r>
    </w:p>
    <w:bookmarkEnd w:id="130"/>
    <w:bookmarkStart w:id="131"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31"/>
    <w:bookmarkStart w:id="133"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32">
        <w:r>
          <w:rPr>
            <w:rStyle w:val="Hyperlink"/>
          </w:rPr>
          <w:t xml:space="preserve">https://doi.org/10.1007/978-1-4614-6849-3</w:t>
        </w:r>
      </w:hyperlink>
      <w:r>
        <w:t xml:space="preserve">.</w:t>
      </w:r>
    </w:p>
    <w:bookmarkEnd w:id="133"/>
    <w:bookmarkStart w:id="134"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34"/>
    <w:bookmarkStart w:id="136"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5">
        <w:r>
          <w:rPr>
            <w:rStyle w:val="Hyperlink"/>
          </w:rPr>
          <w:t xml:space="preserve">https://doi.org/10.1016/j.amepre.2022.08.022</w:t>
        </w:r>
      </w:hyperlink>
      <w:r>
        <w:t xml:space="preserve">.</w:t>
      </w:r>
    </w:p>
    <w:bookmarkEnd w:id="136"/>
    <w:bookmarkStart w:id="137"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7"/>
    <w:bookmarkStart w:id="139"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8">
        <w:r>
          <w:rPr>
            <w:rStyle w:val="Hyperlink"/>
          </w:rPr>
          <w:t xml:space="preserve">https://doi.org/10.1080/00952990.2019.1694536</w:t>
        </w:r>
      </w:hyperlink>
      <w:r>
        <w:t xml:space="preserve">.</w:t>
      </w:r>
    </w:p>
    <w:bookmarkEnd w:id="139"/>
    <w:bookmarkStart w:id="140"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40"/>
    <w:bookmarkStart w:id="141"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41"/>
    <w:bookmarkStart w:id="142"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42"/>
    <w:bookmarkStart w:id="144"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43">
        <w:r>
          <w:rPr>
            <w:rStyle w:val="Hyperlink"/>
          </w:rPr>
          <w:t xml:space="preserve">https://doi.org/10.1016/j.psc.2010.04.012</w:t>
        </w:r>
      </w:hyperlink>
      <w:r>
        <w:t xml:space="preserve">.</w:t>
      </w:r>
    </w:p>
    <w:bookmarkEnd w:id="144"/>
    <w:bookmarkStart w:id="146"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5">
        <w:r>
          <w:rPr>
            <w:rStyle w:val="Hyperlink"/>
          </w:rPr>
          <w:t xml:space="preserve">https://doi.org/10.1016/j.cpr.2017.10.012</w:t>
        </w:r>
      </w:hyperlink>
      <w:r>
        <w:t xml:space="preserve">.</w:t>
      </w:r>
    </w:p>
    <w:bookmarkEnd w:id="146"/>
    <w:bookmarkStart w:id="148"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7">
        <w:r>
          <w:rPr>
            <w:rStyle w:val="Hyperlink"/>
          </w:rPr>
          <w:t xml:space="preserve">https://doi.org/10.1001/jama.284.13.1689</w:t>
        </w:r>
      </w:hyperlink>
      <w:r>
        <w:t xml:space="preserve">.</w:t>
      </w:r>
    </w:p>
    <w:bookmarkEnd w:id="148"/>
    <w:bookmarkStart w:id="150"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9">
        <w:r>
          <w:rPr>
            <w:rStyle w:val="Hyperlink"/>
          </w:rPr>
          <w:t xml:space="preserve">https://doi.org/10.1016/j.drugalcdep.2021.108706</w:t>
        </w:r>
      </w:hyperlink>
      <w:r>
        <w:t xml:space="preserve">.</w:t>
      </w:r>
    </w:p>
    <w:bookmarkEnd w:id="150"/>
    <w:bookmarkStart w:id="152"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51">
        <w:r>
          <w:rPr>
            <w:rStyle w:val="Hyperlink"/>
          </w:rPr>
          <w:t xml:space="preserve">https://doi.org/10.1146/annurev-clinpsy-032816-044949</w:t>
        </w:r>
      </w:hyperlink>
      <w:r>
        <w:t xml:space="preserve">.</w:t>
      </w:r>
    </w:p>
    <w:bookmarkEnd w:id="152"/>
    <w:bookmarkStart w:id="153"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53"/>
    <w:bookmarkStart w:id="155"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54">
        <w:r>
          <w:rPr>
            <w:rStyle w:val="Hyperlink"/>
          </w:rPr>
          <w:t xml:space="preserve">https://doi.org/10.2196/29563</w:t>
        </w:r>
      </w:hyperlink>
      <w:r>
        <w:t xml:space="preserve">.</w:t>
      </w:r>
    </w:p>
    <w:bookmarkEnd w:id="155"/>
    <w:bookmarkStart w:id="157"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6">
        <w:r>
          <w:rPr>
            <w:rStyle w:val="Hyperlink"/>
          </w:rPr>
          <w:t xml:space="preserve">https://doi.org/10.1016/j.jsat.2021.108710</w:t>
        </w:r>
      </w:hyperlink>
      <w:r>
        <w:t xml:space="preserve">.</w:t>
      </w:r>
    </w:p>
    <w:bookmarkEnd w:id="157"/>
    <w:bookmarkStart w:id="159"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8">
        <w:r>
          <w:rPr>
            <w:rStyle w:val="Hyperlink"/>
          </w:rPr>
          <w:t xml:space="preserve">https://doi.org/10.1016/j.drugalcdep.2019.05.017</w:t>
        </w:r>
      </w:hyperlink>
      <w:r>
        <w:t xml:space="preserve">.</w:t>
      </w:r>
    </w:p>
    <w:bookmarkEnd w:id="159"/>
    <w:bookmarkStart w:id="160"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60"/>
    <w:bookmarkStart w:id="162"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61">
        <w:r>
          <w:rPr>
            <w:rStyle w:val="Hyperlink"/>
          </w:rPr>
          <w:t xml:space="preserve">https://doi.org/10.2196/73265</w:t>
        </w:r>
      </w:hyperlink>
      <w:r>
        <w:t xml:space="preserve">.</w:t>
      </w:r>
    </w:p>
    <w:bookmarkEnd w:id="162"/>
    <w:bookmarkStart w:id="164"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63">
        <w:r>
          <w:rPr>
            <w:rStyle w:val="Hyperlink"/>
          </w:rPr>
          <w:t xml:space="preserve">https://doi.org/10.1016/0740-5472(94)00080-b</w:t>
        </w:r>
      </w:hyperlink>
      <w:r>
        <w:t xml:space="preserve">.</w:t>
      </w:r>
    </w:p>
    <w:bookmarkEnd w:id="164"/>
    <w:bookmarkStart w:id="166"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65">
        <w:r>
          <w:rPr>
            <w:rStyle w:val="Hyperlink"/>
          </w:rPr>
          <w:t xml:space="preserve">https://doi.org/10.1177/1073191114540320</w:t>
        </w:r>
      </w:hyperlink>
      <w:r>
        <w:t xml:space="preserve">.</w:t>
      </w:r>
    </w:p>
    <w:bookmarkEnd w:id="166"/>
    <w:bookmarkStart w:id="16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7"/>
    <w:bookmarkStart w:id="16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8">
        <w:r>
          <w:rPr>
            <w:rStyle w:val="Hyperlink"/>
          </w:rPr>
          <w:t xml:space="preserve">https://doi.org/10.1111/add.13479</w:t>
        </w:r>
      </w:hyperlink>
      <w:r>
        <w:t xml:space="preserve">.</w:t>
      </w:r>
    </w:p>
    <w:bookmarkEnd w:id="169"/>
    <w:bookmarkStart w:id="17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70">
        <w:r>
          <w:rPr>
            <w:rStyle w:val="Hyperlink"/>
          </w:rPr>
          <w:t xml:space="preserve">https://doi.org/10.1037/adb0000666</w:t>
        </w:r>
      </w:hyperlink>
      <w:r>
        <w:t xml:space="preserve">.</w:t>
      </w:r>
    </w:p>
    <w:bookmarkEnd w:id="171"/>
    <w:bookmarkStart w:id="17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72">
        <w:r>
          <w:rPr>
            <w:rStyle w:val="Hyperlink"/>
          </w:rPr>
          <w:t xml:space="preserve">https://doi.org/10.1177/1178221820976988</w:t>
        </w:r>
      </w:hyperlink>
      <w:r>
        <w:t xml:space="preserve">.</w:t>
      </w:r>
    </w:p>
    <w:bookmarkEnd w:id="173"/>
    <w:bookmarkStart w:id="17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4"/>
    <w:bookmarkStart w:id="17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75"/>
    <w:bookmarkStart w:id="177"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6">
        <w:r>
          <w:rPr>
            <w:rStyle w:val="Hyperlink"/>
          </w:rPr>
          <w:t xml:space="preserve">https://doi.org/10.1177/0261927X09351676</w:t>
        </w:r>
      </w:hyperlink>
      <w:r>
        <w:t xml:space="preserve">.</w:t>
      </w:r>
    </w:p>
    <w:bookmarkEnd w:id="177"/>
    <w:bookmarkStart w:id="179"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8">
        <w:r>
          <w:rPr>
            <w:rStyle w:val="Hyperlink"/>
          </w:rPr>
          <w:t xml:space="preserve">https://doi.org/10.1111/j.1530-0277.1984.tb05523.x</w:t>
        </w:r>
      </w:hyperlink>
      <w:r>
        <w:t xml:space="preserve">.</w:t>
      </w:r>
    </w:p>
    <w:bookmarkEnd w:id="179"/>
    <w:bookmarkStart w:id="181"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80">
        <w:r>
          <w:rPr>
            <w:rStyle w:val="Hyperlink"/>
          </w:rPr>
          <w:t xml:space="preserve">https://doi.org/10.1093/jamia/ocy052</w:t>
        </w:r>
      </w:hyperlink>
      <w:r>
        <w:t xml:space="preserve">.</w:t>
      </w:r>
    </w:p>
    <w:bookmarkEnd w:id="181"/>
    <w:bookmarkStart w:id="183" w:name="ref-wagnerImprovingChronicIllness2001"/>
    <w:p>
      <w:pPr>
        <w:pStyle w:val="Bibliography"/>
      </w:pPr>
      <w:r>
        <w:t xml:space="preserve">Wagner, Edward H., Brian T. Austin, Connie Davis, Mike Hindmarsh, Judith Schaefer, and Amy Bonomi. 2001.</w:t>
      </w:r>
      <w:r>
        <w:t xml:space="preserve"> </w:t>
      </w:r>
      <w:r>
        <w:t xml:space="preserve">“Improving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 </w:t>
      </w:r>
      <w:r>
        <w:t xml:space="preserve">20 (6): 64–78.</w:t>
      </w:r>
      <w:r>
        <w:t xml:space="preserve"> </w:t>
      </w:r>
      <w:hyperlink r:id="rId182">
        <w:r>
          <w:rPr>
            <w:rStyle w:val="Hyperlink"/>
          </w:rPr>
          <w:t xml:space="preserve">https://doi.org/10.1377/hlthaff.20.6.64</w:t>
        </w:r>
      </w:hyperlink>
      <w:r>
        <w:t xml:space="preserve">.</w:t>
      </w:r>
    </w:p>
    <w:bookmarkEnd w:id="183"/>
    <w:bookmarkStart w:id="185"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84">
        <w:r>
          <w:rPr>
            <w:rStyle w:val="Hyperlink"/>
          </w:rPr>
          <w:t xml:space="preserve">https://doi.org/10.1016/j.cpr.2005.11.003</w:t>
        </w:r>
      </w:hyperlink>
      <w:r>
        <w:t xml:space="preserve">.</w:t>
      </w:r>
    </w:p>
    <w:bookmarkEnd w:id="185"/>
    <w:bookmarkStart w:id="187"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86">
        <w:r>
          <w:rPr>
            <w:rStyle w:val="Hyperlink"/>
          </w:rPr>
          <w:t xml:space="preserve">https://doi.org/10.1016/j.jsat.2021.108417</w:t>
        </w:r>
      </w:hyperlink>
      <w:r>
        <w:t xml:space="preserve">.</w:t>
      </w:r>
    </w:p>
    <w:bookmarkEnd w:id="187"/>
    <w:bookmarkStart w:id="189" w:name="X2d30c84041d97351f676569bf3de3da0c8a9d6d"/>
    <w:p>
      <w:pPr>
        <w:pStyle w:val="Bibliography"/>
      </w:pPr>
      <w:r>
        <w:t xml:space="preserve">WHO ASSIST Working Group. 2002.</w:t>
      </w:r>
      <w:r>
        <w:t xml:space="preserve"> </w:t>
      </w:r>
      <w:r>
        <w:t xml:space="preserve">“</w:t>
      </w:r>
      <w:hyperlink r:id="rId188">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9"/>
    <w:bookmarkStart w:id="191"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90">
        <w:r>
          <w:rPr>
            <w:rStyle w:val="Hyperlink"/>
          </w:rPr>
          <w:t xml:space="preserve">https://doi.org/10.1037/0003-066X.59.4.224</w:t>
        </w:r>
      </w:hyperlink>
      <w:r>
        <w:t xml:space="preserve">.</w:t>
      </w:r>
    </w:p>
    <w:bookmarkEnd w:id="191"/>
    <w:bookmarkStart w:id="193"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92">
        <w:r>
          <w:rPr>
            <w:rStyle w:val="Hyperlink"/>
          </w:rPr>
          <w:t xml:space="preserve">https://doi.org/10.1016/j.cpr.2007.01.002</w:t>
        </w:r>
      </w:hyperlink>
      <w:r>
        <w:t xml:space="preserve">.</w:t>
      </w:r>
    </w:p>
    <w:bookmarkEnd w:id="193"/>
    <w:bookmarkStart w:id="195"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94">
        <w:r>
          <w:rPr>
            <w:rStyle w:val="Hyperlink"/>
          </w:rPr>
          <w:t xml:space="preserve">https://doi.org/10.1177/1073191116653829</w:t>
        </w:r>
      </w:hyperlink>
      <w:r>
        <w:t xml:space="preserve">.</w:t>
      </w:r>
    </w:p>
    <w:bookmarkEnd w:id="195"/>
    <w:bookmarkStart w:id="197"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96">
        <w:r>
          <w:rPr>
            <w:rStyle w:val="Hyperlink"/>
          </w:rPr>
          <w:t xml:space="preserve">https://doi.org/10.2196/41833</w:t>
        </w:r>
      </w:hyperlink>
      <w:r>
        <w:t xml:space="preserve">.</w:t>
      </w:r>
    </w:p>
    <w:bookmarkEnd w:id="197"/>
    <w:bookmarkStart w:id="198" w:name="X0f0fab553d46f8852e582400eb2e6c745146f48"/>
    <w:p>
      <w:pPr>
        <w:pStyle w:val="Bibliography"/>
      </w:pPr>
      <w:r>
        <w:t xml:space="preserve">Wyant, Kendra, Sarah J. Sant’Ana, Claire E. Punturieri, Jiachen Yu, Gaylen E. Fronk, C. Michael Maggard, Christopher Janssen, et al. under review.</w:t>
      </w:r>
      <w:r>
        <w:t xml:space="preserve"> </w:t>
      </w:r>
      <w:r>
        <w:t xml:space="preserve">“Maximizing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w:t>
      </w:r>
      <w:r>
        <w:t xml:space="preserve"> </w:t>
      </w:r>
      <w:r>
        <w:t xml:space="preserve">under review.</w:t>
      </w:r>
    </w:p>
    <w:bookmarkEnd w:id="198"/>
    <w:bookmarkStart w:id="200"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9">
        <w:r>
          <w:rPr>
            <w:rStyle w:val="Hyperlink"/>
          </w:rPr>
          <w:t xml:space="preserve">https://doi.org/10.31234/osf.io/cgsf7</w:t>
        </w:r>
      </w:hyperlink>
      <w:r>
        <w:t xml:space="preserve">.</w:t>
      </w:r>
    </w:p>
    <w:bookmarkEnd w:id="200"/>
    <w:bookmarkStart w:id="202" w:name="Xdcc3e6c1429a41e0448c7c169835e10027482a3"/>
    <w:p>
      <w:pPr>
        <w:pStyle w:val="Bibliography"/>
      </w:pPr>
      <w:r>
        <w:t xml:space="preserve">Xie, Kexin, Ke Deng, and Xiaofang Zhou. 2009.</w:t>
      </w:r>
      <w:r>
        <w:t xml:space="preserve"> </w:t>
      </w:r>
      <w:r>
        <w:t xml:space="preserve">“From Trajectories to Activities: A Spatio-Temporal Join Approach.”</w:t>
      </w:r>
      <w:r>
        <w:t xml:space="preserve"> </w:t>
      </w:r>
      <w:r>
        <w:t xml:space="preserve">In</w:t>
      </w:r>
      <w:r>
        <w:t xml:space="preserve"> </w:t>
      </w:r>
      <w:r>
        <w:rPr>
          <w:i/>
          <w:iCs/>
        </w:rPr>
        <w:t xml:space="preserve">Proceedings of the 2009</w:t>
      </w:r>
      <w:r>
        <w:rPr>
          <w:i/>
          <w:iCs/>
        </w:rPr>
        <w:t xml:space="preserve"> </w:t>
      </w:r>
      <w:r>
        <w:rPr>
          <w:i/>
          <w:iCs/>
        </w:rPr>
        <w:t xml:space="preserve">International Workshop</w:t>
      </w:r>
      <w:r>
        <w:rPr>
          <w:i/>
          <w:iCs/>
        </w:rPr>
        <w:t xml:space="preserve"> </w:t>
      </w:r>
      <w:r>
        <w:rPr>
          <w:i/>
          <w:iCs/>
        </w:rPr>
        <w:t xml:space="preserve">on</w:t>
      </w:r>
      <w:r>
        <w:rPr>
          <w:i/>
          <w:iCs/>
        </w:rPr>
        <w:t xml:space="preserve"> </w:t>
      </w:r>
      <w:r>
        <w:rPr>
          <w:i/>
          <w:iCs/>
        </w:rPr>
        <w:t xml:space="preserve">Location Based Social Networks</w:t>
      </w:r>
      <w:r>
        <w:t xml:space="preserve">, 25–32.</w:t>
      </w:r>
      <w:r>
        <w:t xml:space="preserve"> </w:t>
      </w:r>
      <w:r>
        <w:t xml:space="preserve">LBSN</w:t>
      </w:r>
      <w:r>
        <w:t xml:space="preserve"> </w:t>
      </w:r>
      <w:r>
        <w:t xml:space="preserve">’09. New York, NY, USA: Association for Computing Machinery.</w:t>
      </w:r>
      <w:r>
        <w:t xml:space="preserve"> </w:t>
      </w:r>
      <w:hyperlink r:id="rId201">
        <w:r>
          <w:rPr>
            <w:rStyle w:val="Hyperlink"/>
          </w:rPr>
          <w:t xml:space="preserve">https://doi.org/10.1145/1629890.1629897</w:t>
        </w:r>
      </w:hyperlink>
      <w:r>
        <w:t xml:space="preserve">.</w:t>
      </w:r>
    </w:p>
    <w:bookmarkEnd w:id="202"/>
    <w:bookmarkStart w:id="204"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203">
        <w:r>
          <w:rPr>
            <w:rStyle w:val="Hyperlink"/>
          </w:rPr>
          <w:t xml:space="preserve">https://doi.org/10.1177/1077558712458541</w:t>
        </w:r>
      </w:hyperlink>
      <w:r>
        <w:t xml:space="preserve">.</w:t>
      </w:r>
    </w:p>
    <w:bookmarkEnd w:id="204"/>
    <w:bookmarkStart w:id="206"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205">
        <w:r>
          <w:rPr>
            <w:rStyle w:val="Hyperlink"/>
          </w:rPr>
          <w:t xml:space="preserve">https://doi.org/10.7326/M14-0295</w:t>
        </w:r>
      </w:hyperlink>
      <w:r>
        <w:t xml:space="preserve">.</w:t>
      </w:r>
    </w:p>
    <w:bookmarkEnd w:id="206"/>
    <w:bookmarkEnd w:id="207"/>
    <w:bookmarkEnd w:id="2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7" Target="https://doi.org/10.1001/jama.284.13.1689" TargetMode="External" /><Relationship Type="http://schemas.openxmlformats.org/officeDocument/2006/relationships/hyperlink" Id="rId127" Target="https://doi.org/10.1001/jamanetworkopen.2020.5852" TargetMode="External" /><Relationship Type="http://schemas.openxmlformats.org/officeDocument/2006/relationships/hyperlink" Id="rId132" Target="https://doi.org/10.1007/978-1-4614-6849-3" TargetMode="External" /><Relationship Type="http://schemas.openxmlformats.org/officeDocument/2006/relationships/hyperlink" Id="rId91" Target="https://doi.org/10.1007/s10488-016-0718-5" TargetMode="External" /><Relationship Type="http://schemas.openxmlformats.org/officeDocument/2006/relationships/hyperlink" Id="rId101" Target="https://doi.org/10.1007/s10862-017-9632-8" TargetMode="External" /><Relationship Type="http://schemas.openxmlformats.org/officeDocument/2006/relationships/hyperlink" Id="rId129" Target="https://doi.org/10.1007/s11920-012-0296-5" TargetMode="External" /><Relationship Type="http://schemas.openxmlformats.org/officeDocument/2006/relationships/hyperlink" Id="rId163" Target="https://doi.org/10.1016/0740-5472(94)00080-b" TargetMode="External" /><Relationship Type="http://schemas.openxmlformats.org/officeDocument/2006/relationships/hyperlink" Id="rId135" Target="https://doi.org/10.1016/j.amepre.2022.08.022" TargetMode="External" /><Relationship Type="http://schemas.openxmlformats.org/officeDocument/2006/relationships/hyperlink" Id="rId106" Target="https://doi.org/10.1016/j.brat.2019.103506" TargetMode="External" /><Relationship Type="http://schemas.openxmlformats.org/officeDocument/2006/relationships/hyperlink" Id="rId184" Target="https://doi.org/10.1016/j.cpr.2005.11.003" TargetMode="External" /><Relationship Type="http://schemas.openxmlformats.org/officeDocument/2006/relationships/hyperlink" Id="rId192" Target="https://doi.org/10.1016/j.cpr.2007.01.002" TargetMode="External" /><Relationship Type="http://schemas.openxmlformats.org/officeDocument/2006/relationships/hyperlink" Id="rId145" Target="https://doi.org/10.1016/j.cpr.2017.10.012" TargetMode="External" /><Relationship Type="http://schemas.openxmlformats.org/officeDocument/2006/relationships/hyperlink" Id="rId118" Target="https://doi.org/10.1016/j.drugalcdep.2006.05.012" TargetMode="External" /><Relationship Type="http://schemas.openxmlformats.org/officeDocument/2006/relationships/hyperlink" Id="rId158" Target="https://doi.org/10.1016/j.drugalcdep.2019.05.017" TargetMode="External" /><Relationship Type="http://schemas.openxmlformats.org/officeDocument/2006/relationships/hyperlink" Id="rId149" Target="https://doi.org/10.1016/j.drugalcdep.2021.108706" TargetMode="External" /><Relationship Type="http://schemas.openxmlformats.org/officeDocument/2006/relationships/hyperlink" Id="rId186" Target="https://doi.org/10.1016/j.jsat.2021.108417" TargetMode="External" /><Relationship Type="http://schemas.openxmlformats.org/officeDocument/2006/relationships/hyperlink" Id="rId156" Target="https://doi.org/10.1016/j.jsat.2021.108710" TargetMode="External" /><Relationship Type="http://schemas.openxmlformats.org/officeDocument/2006/relationships/hyperlink" Id="rId143" Target="https://doi.org/10.1016/j.psc.2010.04.012" TargetMode="External" /><Relationship Type="http://schemas.openxmlformats.org/officeDocument/2006/relationships/hyperlink" Id="rId190" Target="https://doi.org/10.1037/0003-066X.59.4.224" TargetMode="External" /><Relationship Type="http://schemas.openxmlformats.org/officeDocument/2006/relationships/hyperlink" Id="rId170" Target="https://doi.org/10.1037/adb0000666" TargetMode="External" /><Relationship Type="http://schemas.openxmlformats.org/officeDocument/2006/relationships/hyperlink" Id="rId112"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8" Target="https://doi.org/10.1080/00952990.2019.1694536" TargetMode="External" /><Relationship Type="http://schemas.openxmlformats.org/officeDocument/2006/relationships/hyperlink" Id="rId180" Target="https://doi.org/10.1093/jamia/ocy052" TargetMode="External" /><Relationship Type="http://schemas.openxmlformats.org/officeDocument/2006/relationships/hyperlink" Id="rId168" Target="https://doi.org/10.1111/add.13479" TargetMode="External" /><Relationship Type="http://schemas.openxmlformats.org/officeDocument/2006/relationships/hyperlink" Id="rId178" Target="https://doi.org/10.1111/j.1530-0277.1984.tb05523.x" TargetMode="External" /><Relationship Type="http://schemas.openxmlformats.org/officeDocument/2006/relationships/hyperlink" Id="rId201" Target="https://doi.org/10.1145/1629890.1629897" TargetMode="External" /><Relationship Type="http://schemas.openxmlformats.org/officeDocument/2006/relationships/hyperlink" Id="rId123" Target="https://doi.org/10.1145/1867699.1867704" TargetMode="External" /><Relationship Type="http://schemas.openxmlformats.org/officeDocument/2006/relationships/hyperlink" Id="rId151" Target="https://doi.org/10.1146/annurev-clinpsy-032816-044949" TargetMode="External" /><Relationship Type="http://schemas.openxmlformats.org/officeDocument/2006/relationships/hyperlink" Id="rId114" Target="https://doi.org/10.1146/annurev-clinpsy-102419-125016" TargetMode="External" /><Relationship Type="http://schemas.openxmlformats.org/officeDocument/2006/relationships/hyperlink" Id="rId95" Target="https://doi.org/10.1146/annurev.clinpsy.3.022806.091455" TargetMode="External" /><Relationship Type="http://schemas.openxmlformats.org/officeDocument/2006/relationships/hyperlink" Id="rId176" Target="https://doi.org/10.1177/0261927X09351676" TargetMode="External" /><Relationship Type="http://schemas.openxmlformats.org/officeDocument/2006/relationships/hyperlink" Id="rId165" Target="https://doi.org/10.1177/1073191114540320" TargetMode="External" /><Relationship Type="http://schemas.openxmlformats.org/officeDocument/2006/relationships/hyperlink" Id="rId194" Target="https://doi.org/10.1177/1073191116653829" TargetMode="External" /><Relationship Type="http://schemas.openxmlformats.org/officeDocument/2006/relationships/hyperlink" Id="rId203" Target="https://doi.org/10.1177/1077558712458541" TargetMode="External" /><Relationship Type="http://schemas.openxmlformats.org/officeDocument/2006/relationships/hyperlink" Id="rId172" Target="https://doi.org/10.1177/1178221820976988" TargetMode="External" /><Relationship Type="http://schemas.openxmlformats.org/officeDocument/2006/relationships/hyperlink" Id="rId182" Target="https://doi.org/10.1377/hlthaff.20.6.64" TargetMode="External" /><Relationship Type="http://schemas.openxmlformats.org/officeDocument/2006/relationships/hyperlink" Id="rId97" Target="https://doi.org/10.21231/GNT1-HW21" TargetMode="External" /><Relationship Type="http://schemas.openxmlformats.org/officeDocument/2006/relationships/hyperlink" Id="rId154" Target="https://doi.org/10.2196/29563" TargetMode="External" /><Relationship Type="http://schemas.openxmlformats.org/officeDocument/2006/relationships/hyperlink" Id="rId89" Target="https://doi.org/10.2196/39862" TargetMode="External" /><Relationship Type="http://schemas.openxmlformats.org/officeDocument/2006/relationships/hyperlink" Id="rId196" Target="https://doi.org/10.2196/41833" TargetMode="External" /><Relationship Type="http://schemas.openxmlformats.org/officeDocument/2006/relationships/hyperlink" Id="rId161" Target="https://doi.org/10.2196/73265" TargetMode="External" /><Relationship Type="http://schemas.openxmlformats.org/officeDocument/2006/relationships/hyperlink" Id="rId199" Target="https://doi.org/10.31234/osf.io/cgsf7" TargetMode="External" /><Relationship Type="http://schemas.openxmlformats.org/officeDocument/2006/relationships/hyperlink" Id="rId108" Target="https://doi.org/10.48550/arXiv.1810.04805" TargetMode="External" /><Relationship Type="http://schemas.openxmlformats.org/officeDocument/2006/relationships/hyperlink" Id="rId110" Target="https://doi.org/10.5555/ajhb.2007.31.supp.S47" TargetMode="External" /><Relationship Type="http://schemas.openxmlformats.org/officeDocument/2006/relationships/hyperlink" Id="rId205" Target="https://doi.org/10.7326/M14-0295" TargetMode="External" /><Relationship Type="http://schemas.openxmlformats.org/officeDocument/2006/relationships/hyperlink" Id="rId125"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3" Target="https://www.ncbi.nlm.nih.gov/pmc/articles/PMC2797101" TargetMode="External" /><Relationship Type="http://schemas.openxmlformats.org/officeDocument/2006/relationships/hyperlink" Id="rId188"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7" Target="https://doi.org/10.1001/jama.284.13.1689" TargetMode="External" /><Relationship Type="http://schemas.openxmlformats.org/officeDocument/2006/relationships/hyperlink" Id="rId127" Target="https://doi.org/10.1001/jamanetworkopen.2020.5852" TargetMode="External" /><Relationship Type="http://schemas.openxmlformats.org/officeDocument/2006/relationships/hyperlink" Id="rId132" Target="https://doi.org/10.1007/978-1-4614-6849-3" TargetMode="External" /><Relationship Type="http://schemas.openxmlformats.org/officeDocument/2006/relationships/hyperlink" Id="rId91" Target="https://doi.org/10.1007/s10488-016-0718-5" TargetMode="External" /><Relationship Type="http://schemas.openxmlformats.org/officeDocument/2006/relationships/hyperlink" Id="rId101" Target="https://doi.org/10.1007/s10862-017-9632-8" TargetMode="External" /><Relationship Type="http://schemas.openxmlformats.org/officeDocument/2006/relationships/hyperlink" Id="rId129" Target="https://doi.org/10.1007/s11920-012-0296-5" TargetMode="External" /><Relationship Type="http://schemas.openxmlformats.org/officeDocument/2006/relationships/hyperlink" Id="rId163" Target="https://doi.org/10.1016/0740-5472(94)00080-b" TargetMode="External" /><Relationship Type="http://schemas.openxmlformats.org/officeDocument/2006/relationships/hyperlink" Id="rId135" Target="https://doi.org/10.1016/j.amepre.2022.08.022" TargetMode="External" /><Relationship Type="http://schemas.openxmlformats.org/officeDocument/2006/relationships/hyperlink" Id="rId106" Target="https://doi.org/10.1016/j.brat.2019.103506" TargetMode="External" /><Relationship Type="http://schemas.openxmlformats.org/officeDocument/2006/relationships/hyperlink" Id="rId184" Target="https://doi.org/10.1016/j.cpr.2005.11.003" TargetMode="External" /><Relationship Type="http://schemas.openxmlformats.org/officeDocument/2006/relationships/hyperlink" Id="rId192" Target="https://doi.org/10.1016/j.cpr.2007.01.002" TargetMode="External" /><Relationship Type="http://schemas.openxmlformats.org/officeDocument/2006/relationships/hyperlink" Id="rId145" Target="https://doi.org/10.1016/j.cpr.2017.10.012" TargetMode="External" /><Relationship Type="http://schemas.openxmlformats.org/officeDocument/2006/relationships/hyperlink" Id="rId118" Target="https://doi.org/10.1016/j.drugalcdep.2006.05.012" TargetMode="External" /><Relationship Type="http://schemas.openxmlformats.org/officeDocument/2006/relationships/hyperlink" Id="rId158" Target="https://doi.org/10.1016/j.drugalcdep.2019.05.017" TargetMode="External" /><Relationship Type="http://schemas.openxmlformats.org/officeDocument/2006/relationships/hyperlink" Id="rId149" Target="https://doi.org/10.1016/j.drugalcdep.2021.108706" TargetMode="External" /><Relationship Type="http://schemas.openxmlformats.org/officeDocument/2006/relationships/hyperlink" Id="rId186" Target="https://doi.org/10.1016/j.jsat.2021.108417" TargetMode="External" /><Relationship Type="http://schemas.openxmlformats.org/officeDocument/2006/relationships/hyperlink" Id="rId156" Target="https://doi.org/10.1016/j.jsat.2021.108710" TargetMode="External" /><Relationship Type="http://schemas.openxmlformats.org/officeDocument/2006/relationships/hyperlink" Id="rId143" Target="https://doi.org/10.1016/j.psc.2010.04.012" TargetMode="External" /><Relationship Type="http://schemas.openxmlformats.org/officeDocument/2006/relationships/hyperlink" Id="rId190" Target="https://doi.org/10.1037/0003-066X.59.4.224" TargetMode="External" /><Relationship Type="http://schemas.openxmlformats.org/officeDocument/2006/relationships/hyperlink" Id="rId170" Target="https://doi.org/10.1037/adb0000666" TargetMode="External" /><Relationship Type="http://schemas.openxmlformats.org/officeDocument/2006/relationships/hyperlink" Id="rId112"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8" Target="https://doi.org/10.1080/00952990.2019.1694536" TargetMode="External" /><Relationship Type="http://schemas.openxmlformats.org/officeDocument/2006/relationships/hyperlink" Id="rId180" Target="https://doi.org/10.1093/jamia/ocy052" TargetMode="External" /><Relationship Type="http://schemas.openxmlformats.org/officeDocument/2006/relationships/hyperlink" Id="rId168" Target="https://doi.org/10.1111/add.13479" TargetMode="External" /><Relationship Type="http://schemas.openxmlformats.org/officeDocument/2006/relationships/hyperlink" Id="rId178" Target="https://doi.org/10.1111/j.1530-0277.1984.tb05523.x" TargetMode="External" /><Relationship Type="http://schemas.openxmlformats.org/officeDocument/2006/relationships/hyperlink" Id="rId201" Target="https://doi.org/10.1145/1629890.1629897" TargetMode="External" /><Relationship Type="http://schemas.openxmlformats.org/officeDocument/2006/relationships/hyperlink" Id="rId123" Target="https://doi.org/10.1145/1867699.1867704" TargetMode="External" /><Relationship Type="http://schemas.openxmlformats.org/officeDocument/2006/relationships/hyperlink" Id="rId151" Target="https://doi.org/10.1146/annurev-clinpsy-032816-044949" TargetMode="External" /><Relationship Type="http://schemas.openxmlformats.org/officeDocument/2006/relationships/hyperlink" Id="rId114" Target="https://doi.org/10.1146/annurev-clinpsy-102419-125016" TargetMode="External" /><Relationship Type="http://schemas.openxmlformats.org/officeDocument/2006/relationships/hyperlink" Id="rId95" Target="https://doi.org/10.1146/annurev.clinpsy.3.022806.091455" TargetMode="External" /><Relationship Type="http://schemas.openxmlformats.org/officeDocument/2006/relationships/hyperlink" Id="rId176" Target="https://doi.org/10.1177/0261927X09351676" TargetMode="External" /><Relationship Type="http://schemas.openxmlformats.org/officeDocument/2006/relationships/hyperlink" Id="rId165" Target="https://doi.org/10.1177/1073191114540320" TargetMode="External" /><Relationship Type="http://schemas.openxmlformats.org/officeDocument/2006/relationships/hyperlink" Id="rId194" Target="https://doi.org/10.1177/1073191116653829" TargetMode="External" /><Relationship Type="http://schemas.openxmlformats.org/officeDocument/2006/relationships/hyperlink" Id="rId203" Target="https://doi.org/10.1177/1077558712458541" TargetMode="External" /><Relationship Type="http://schemas.openxmlformats.org/officeDocument/2006/relationships/hyperlink" Id="rId172" Target="https://doi.org/10.1177/1178221820976988" TargetMode="External" /><Relationship Type="http://schemas.openxmlformats.org/officeDocument/2006/relationships/hyperlink" Id="rId182" Target="https://doi.org/10.1377/hlthaff.20.6.64" TargetMode="External" /><Relationship Type="http://schemas.openxmlformats.org/officeDocument/2006/relationships/hyperlink" Id="rId97" Target="https://doi.org/10.21231/GNT1-HW21" TargetMode="External" /><Relationship Type="http://schemas.openxmlformats.org/officeDocument/2006/relationships/hyperlink" Id="rId154" Target="https://doi.org/10.2196/29563" TargetMode="External" /><Relationship Type="http://schemas.openxmlformats.org/officeDocument/2006/relationships/hyperlink" Id="rId89" Target="https://doi.org/10.2196/39862" TargetMode="External" /><Relationship Type="http://schemas.openxmlformats.org/officeDocument/2006/relationships/hyperlink" Id="rId196" Target="https://doi.org/10.2196/41833" TargetMode="External" /><Relationship Type="http://schemas.openxmlformats.org/officeDocument/2006/relationships/hyperlink" Id="rId161" Target="https://doi.org/10.2196/73265" TargetMode="External" /><Relationship Type="http://schemas.openxmlformats.org/officeDocument/2006/relationships/hyperlink" Id="rId199" Target="https://doi.org/10.31234/osf.io/cgsf7" TargetMode="External" /><Relationship Type="http://schemas.openxmlformats.org/officeDocument/2006/relationships/hyperlink" Id="rId108" Target="https://doi.org/10.48550/arXiv.1810.04805" TargetMode="External" /><Relationship Type="http://schemas.openxmlformats.org/officeDocument/2006/relationships/hyperlink" Id="rId110" Target="https://doi.org/10.5555/ajhb.2007.31.supp.S47" TargetMode="External" /><Relationship Type="http://schemas.openxmlformats.org/officeDocument/2006/relationships/hyperlink" Id="rId205" Target="https://doi.org/10.7326/M14-0295" TargetMode="External" /><Relationship Type="http://schemas.openxmlformats.org/officeDocument/2006/relationships/hyperlink" Id="rId125"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3" Target="https://www.ncbi.nlm.nih.gov/pmc/articles/PMC2797101" TargetMode="External" /><Relationship Type="http://schemas.openxmlformats.org/officeDocument/2006/relationships/hyperlink" Id="rId188"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Claire E. Punturieri; John J. Curtin</dc:creator>
  <cp:keywords>Substance use disorders, Precision mental health</cp:keywords>
  <dcterms:created xsi:type="dcterms:W3CDTF">2025-08-22T16:11:14Z</dcterms:created>
  <dcterms:modified xsi:type="dcterms:W3CDTF">2025-08-22T16:11:14Z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2025-08-22</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