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67.png" ContentType="image/png"/>
  <Override PartName="/word/media/rId3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Risk of Alcohol Lapse up to Two Weeks in Advance using Time-lagged Machine Learning Models</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Claire E. Punturieri</w:t>
      </w:r>
    </w:p>
    <w:p>
      <w:pPr>
        <w:pStyle w:val="Author"/>
      </w:pPr>
      <w:r>
        <w:t xml:space="preserve">John J. Curtin</w:t>
      </w:r>
    </w:p>
    <w:p>
      <w:pPr>
        <w:pStyle w:val="Date"/>
      </w:pPr>
      <w:r>
        <w:t xml:space="preserve">2025-08-22</w:t>
      </w:r>
    </w:p>
    <w:p>
      <w:pPr>
        <w:pStyle w:val="AbstractTitle"/>
      </w:pPr>
      <w:r>
        <w:t xml:space="preserve">Abstract</w:t>
      </w:r>
    </w:p>
    <w:p>
      <w:pPr>
        <w:pStyle w:val="Abstract"/>
      </w:pPr>
      <w:r>
        <w:t xml:space="preserve">We developed machine learning models to predict future alcohol lapses within 24-hour windows lagged 1 day, 3 days, 1 week, and 2 weeks. We engineered features from 4x daily ecological momentary assessment from individuals (N=151; 51% male; mean age=41; 87% non-Hispanic White) in early recovery over three months. We trained and evaluated models using nested cross-validation. Median posterior auROC was high (0.85–0.91) for all models but decreased modestly with increasing lag. Models performed worse for non-advantaged groups (non-White and/or Hispanic, below poverty, female). Past alcohol use, abstinence self-efficacy, and craving were the most important features, with the magnitude of importance varying meaningfully by lag. These findings demonstrate feasibility of predicting next-day lapses up to two weeks in advance. Embedding these models in a recovery monitoring support system could enable adaptive, personalized care. Improving model fairness and optimizing the delivery of model feedback to sustain engagement remain critical next steps.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 </w:t>
      </w:r>
      <w:r>
        <w:t xml:space="preserve">(McLellan et al. 2000; Dennis and Scott 2007)</w:t>
      </w:r>
      <w:r>
        <w:t xml:space="preserve">, substantial co-morbidity with other physical and mental health problems</w:t>
      </w:r>
      <w:r>
        <w:t xml:space="preserve"> </w:t>
      </w:r>
      <w:r>
        <w:t xml:space="preserve">(Substance Abuse and Mental Health Services Administration n.d.; Dennis and Scott 2007)</w:t>
      </w:r>
      <w:r>
        <w:t xml:space="preserve">, and an increased risk of mortality</w:t>
      </w:r>
      <w:r>
        <w:t xml:space="preserve"> </w:t>
      </w:r>
      <w:r>
        <w:t xml:space="preserve">(Hedegaard et al. 2021;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Moreover, this problem is even worse for subsequent continuing care during SUD recovery. Continuing care, including both risk monitoring and ongoing support, is the gold standard for managing chronic health conditions such as diabetes, asthma, and HIV</w:t>
      </w:r>
      <w:r>
        <w:t xml:space="preserve"> </w:t>
      </w:r>
      <w:r>
        <w:t xml:space="preserve">(Wagner et al. 2001)</w:t>
      </w:r>
      <w:r>
        <w:t xml:space="preserve">.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An important focus of continuing care during SUD recovery is to prevent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[EMA], geolocation sensing) can provide the frequent, longitudinal measurement of proximal risk factors that is necessary for prediction of future lapses with high temporal precision. EMA may be particularly well-suited for lapse prediction because it can provide privileged access to the subjective experiences (e.g., craving, affect, stress, motivation, self-efficacy) that are targets for change in evidence-based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Moreover,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suggested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(Soyster, Ashlock, and Fisher 2022; Walters et al. 2021; Wyant et al. 2024)</w:t>
      </w:r>
      <w:r>
        <w:t xml:space="preserve">. This research is important because it rigorously required strict temporal ordering necessary for true prediction, with features measured before alcohol use outcomes. These studies also used resampling methods (e.g., cross-validation) that prioritize model generalizability to increase the likelihood these models will perform well with new people.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we developed models that predict lapses in the immediate future (i.e., the next day and even the next hour) with areas under the receiver operating characteristic curve (auROCs) of 0.91 and 0.93, respectively.</w:t>
      </w:r>
    </w:p>
    <w:p>
      <w:pPr>
        <w:pStyle w:val="BodyText"/>
      </w:pPr>
      <w:r>
        <w:t xml:space="preserve">Wyant et al. (2024)</w:t>
      </w:r>
      <w:r>
        <w:t xml:space="preserve">’s next day lapse prediction model can provide personalized support recommendations to address immediate risks for possible lapses. Features derived from past EMAs can be updated in the early morning to yield the predicted lapse probability for an individual that day. Personalized supports that target the top features contributing to that prediction can then be provided. For example, if predicted lapse probability is high due to frequent craving, the individual could be reminded about the benefits of urge surfing or distracting activities during brief periods when cravings arise. Conversely, guided relaxation techniques could be recommended if lapse probability is high due to recent past and anticipated stressors that day. Patients could also be assisted to implement any of these recommendations using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recovery monitoring and support system (RMSS) for patients with an alcohol use disorder (AUD)</w:t>
      </w:r>
      <w:r>
        <w:t xml:space="preserve"> </w:t>
      </w:r>
      <w:r>
        <w:t xml:space="preserve">(Wyant et al. under review)</w:t>
      </w:r>
      <w:r>
        <w:t xml:space="preserve">.</w:t>
      </w:r>
    </w:p>
    <w:p>
      <w:pPr>
        <w:pStyle w:val="BodyText"/>
      </w:pPr>
      <w:r>
        <w:t xml:space="preserve">Despite the promise offered by a smart RMSS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may require time to schedule. Similarly, work or family schedules may need to be adjusted to return to attending self-help meetings. If new recovery skills or therapeutic activities are needed to address emerging risks, patients may need to book sessions with a therapist. In all these instances, patients would benefit from advanced warning about changes in their lapse probability and the associated risks that contribute to these changes. A smart RMSS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implementation.</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w:t>
      </w:r>
      <w:r>
        <w:t xml:space="preserve">and sex at birth</w:t>
      </w:r>
      <w:r>
        <w:t xml:space="preserve"> </w:t>
      </w:r>
      <w:r>
        <w:t xml:space="preserve">(Greenfield et al. 2007; Kilaru et al. 2020)</w:t>
      </w:r>
      <w:r>
        <w:t xml:space="preserve">. Finally, we calculated Shapley values for feature categories defined by EMA items to better understand how these models generate predictions and how these features can be used to tailor personalized supports.</w:t>
      </w:r>
    </w:p>
    <w:bookmarkEnd w:id="21"/>
    <w:bookmarkStart w:id="51"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w:t>
      </w:r>
      <w:r>
        <w:t xml:space="preserve"> </w:t>
      </w:r>
      <w:r>
        <w:t xml:space="preserve">(Aczel et al. 2019)</w:t>
      </w:r>
      <w:r>
        <w:t xml:space="preserve">. Finally, our data, questionnaires, preregistration,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192 participants in early recovery from AUD in Madison, Wisconsin, USA for a 3-month longitudinal study.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 AUD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Of the 192 eligible participants,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reviewed the meaning of each question with a member of the research team during their intake visit to ensure consistent question interpretation.</w:t>
      </w:r>
    </w:p>
    <w:p>
      <w:pPr>
        <w:pStyle w:val="BodyText"/>
      </w:pPr>
      <w:r>
        <w:t xml:space="preserve">On all EMAs, participants reported dates and 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 On the first EMA each day, participants also rated anticipated risky situations, stressful events,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2000)</w:t>
      </w:r>
      <w:r>
        <w:t xml:space="preserve">) to characterize our sample. DSM-5 AUD symptom count and presence of psychological symptoms were also used to determine eligibility. Demographics were included as features in our models. A subset of these variables (sex at birth, race, ethnicity, and income) were used for model fairness analyses, as they have documented disparities in treatment access and outcomes. As part of the aims of the parent project, we collected many other trait and state measures throughout the study. A complete list of all measures can be found on our study’s OSF page (</w:t>
      </w:r>
      <w:hyperlink r:id="rId22">
        <w:r>
          <w:rPr>
            <w:rStyle w:val="Hyperlink"/>
          </w:rPr>
          <w:t xml:space="preserve">https://osf.io/xta67/</w:t>
        </w:r>
      </w:hyperlink>
      <w:r>
        <w:t xml:space="preserve">).</w:t>
      </w:r>
    </w:p>
    <w:bookmarkEnd w:id="29"/>
    <w:bookmarkEnd w:id="30"/>
    <w:bookmarkStart w:id="50" w:name="data-analytic-strategy"/>
    <w:p>
      <w:pPr>
        <w:pStyle w:val="Heading2"/>
      </w:pPr>
      <w:r>
        <w:t xml:space="preserve">Data Analytic Strategy</w:t>
      </w:r>
    </w:p>
    <w:p>
      <w:pPr>
        <w:pStyle w:val="FirstParagraph"/>
      </w:pPr>
      <w:r>
        <w:t xml:space="preserve">Data preprocessing, modeling, and Bayesian analyses were done in R (version 4.4.2)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w:t>
      </w:r>
    </w:p>
    <w:p>
      <w:pPr>
        <w:pStyle w:val="BodyText"/>
      </w:pPr>
      <w:r>
        <w:t xml:space="preserve">Given this structure, our models provided hour-by-hour predicted probabilities of an alcohol lapse in a future 24-hour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24-hour periods staring at midnight that day, or 24-hour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dates and times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This method produced totals of: 274,179 labels for the baseline (no lag) model; 270,911 labels for the 1-day lagged model; 264,362 labels for the 3-day lagged model; 251,458 labels for the 1-week lagged model; and 228,420 labels for the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the no lag model, the prediction timepoint was at the start of prediction window, so all data prior to the start of the prediction window were included. For the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at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non-White and/or Hispanic), marital status (married vs. not married vs. other), education (high school or less vs. some college vs. college degree), and employment status (employed vs. unemployed).</w:t>
      </w:r>
    </w:p>
    <w:p>
      <w:pPr>
        <w:numPr>
          <w:ilvl w:val="0"/>
          <w:numId w:val="1002"/>
        </w:numPr>
      </w:pPr>
      <w:r>
        <w:rPr>
          <w:i/>
          <w:iCs/>
        </w:rPr>
        <w:t xml:space="preserve">Previous EMA responses</w:t>
      </w:r>
      <w:r>
        <w:t xml:space="preserve">: We calculated raw and change features using EMAs in varying feature scoring epochs (i.e., 12, 24, 48, 72, and 168 hours) before the prediction timepoint for all EMA items. Raw features included min, max, and median scores for each EMA item across all EMAs in each epoch for a given participant. We calculated change features by subtracting each participant’s baseline mean score for each EMA item from their raw feature. These baseline mean scores were calculated using all of a participant’s EMAs collected from the start of participation until the prediction timepoint.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6"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1-day, 3-day, 1-week, and 2-week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 Candidate model configurations differed across sensible values for key hyperparameters. Configurations also differed on outcome resampling method (i.e., no resampling and up-sampling and down-sampling of the outcome using majority/no lapse to minority/lapse ratios ranging from 5:1 to 1:1).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Folds were stratified on a between-subject variable of low vs. high lapsers (low lapsers reported fewer than 10 lapses while on study, and high lapsers reported 10 or more lapses while on study). We used 2 repeats of 5-fold cross-validation for the inner loops (i.e.,</w:t>
      </w:r>
      <w:r>
        <w:t xml:space="preserve"> </w:t>
      </w:r>
      <w:r>
        <w:rPr>
          <w:i/>
          <w:iCs/>
        </w:rPr>
        <w:t xml:space="preserve">validation</w:t>
      </w:r>
      <w:r>
        <w:t xml:space="preserve"> </w:t>
      </w:r>
      <w:r>
        <w:t xml:space="preserve">sets) and 6 repeats of 5-fold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(1-day lag vs. no lag, 3-day lag vs. no lag, 1-week lag vs. no lag, 2-week lag vs. no lag). The second set compared adjacently lagged models (3-day lag vs. 1-day lag, 1-week lag vs. 3-day lag, 2-week lag vs. 1-week lag). auROCs were transformed using the logit function and regressed as a function of model contrast.</w:t>
      </w:r>
    </w:p>
    <w:p>
      <w:pPr>
        <w:pStyle w:val="BodyText"/>
      </w:pPr>
      <w:r>
        <w:t xml:space="preserve">From the Bayesian model we obtained the posterior distribution (transformed back from logit) and Bayesian CIs for auROCs for all five models. To evaluate our models’ overall performance we report the median posterior probability for auROC and Bayesian CIs. This represents our best estimate for the magnitude of the auROC parameter for each model. If the CIs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5" w:name="fairness-analyses"/>
    <w:p>
      <w:pPr>
        <w:pStyle w:val="Heading4"/>
      </w:pPr>
      <w:r>
        <w:t xml:space="preserve">Fairness Analyses</w:t>
      </w:r>
    </w:p>
    <w:p>
      <w:pPr>
        <w:pStyle w:val="FirstParagraph"/>
      </w:pPr>
      <w:r>
        <w:t xml:space="preserve">Using the same 30 held-out test sets, we calculated the median posterior probability and 95% Bayesian CI for auROC for each model separately by race/ethnicity (non-White and/or Hispanic vs. non-Hispanic White), income (below poverty line vs. above poverty line</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p>
    <w:bookmarkEnd w:id="45"/>
    <w:bookmarkEnd w:id="46"/>
    <w:bookmarkStart w:id="49" w:name="model-characterization"/>
    <w:p>
      <w:pPr>
        <w:pStyle w:val="Heading3"/>
      </w:pPr>
      <w:r>
        <w:t xml:space="preserve">Model Characterization</w:t>
      </w:r>
    </w:p>
    <w:p>
      <w:pPr>
        <w:pStyle w:val="FirstParagraph"/>
      </w:pPr>
      <w:r>
        <w:t xml:space="preserve">To further characterize and understand our models, we used our inner resampling procedure (2 repeats of 5-fold cross validation grouped on participant and stratified by high/low lapsers) on the full data set to select a single best model configuration for each classification model (no lag, 1-day, 3-day, 1-week, and 2-week lag). The final configuration selected for each model represents the most reliable and robust configuration for deployment. We can better understand our final models by looking at the calibration of the predicted probabilities and the most important features contributing to those predictions.</w:t>
      </w:r>
    </w:p>
    <w:bookmarkStart w:id="47" w:name="model-calibration"/>
    <w:p>
      <w:pPr>
        <w:pStyle w:val="Heading4"/>
      </w:pPr>
      <w:r>
        <w:t xml:space="preserve">Model Calibration</w:t>
      </w:r>
    </w:p>
    <w:p>
      <w:pPr>
        <w:pStyle w:val="FirstParagraph"/>
      </w:pPr>
      <w:r>
        <w:t xml:space="preserve">The best model configuration for each classification model was fit on the full data set. We fit this configuration using single 5-fold cross-validation. This method allowed us to obtain a single predicted probability for each observation, while still using separate data for model training and prediction. We calibrated our probabilities using Platt scaling</w:t>
      </w:r>
      <w:r>
        <w:t xml:space="preserve"> </w:t>
      </w:r>
      <w:r>
        <w:t xml:space="preserve">(Platt 1999)</w:t>
      </w:r>
      <w:r>
        <w:t xml:space="preserve">. We calculated Brier scores to assess the accuracy of our raw and calibrated probabilities for the no lag and 2-week lagged models. Brier scores range from 0 (perfect accuracy) to 1 (perfect inaccuracy). A table of Brier scores for all five models is available in the supplement. We provide calibration plots for the no lag and 2-week lagged models (calibration plots for all five models are available in the supplement).</w:t>
      </w:r>
    </w:p>
    <w:bookmarkEnd w:id="47"/>
    <w:bookmarkStart w:id="48" w:name="global-feature-importance"/>
    <w:p>
      <w:pPr>
        <w:pStyle w:val="Heading4"/>
      </w:pPr>
      <w:r>
        <w:t xml:space="preserve">Global Feature Importance</w:t>
      </w:r>
    </w:p>
    <w:p>
      <w:pPr>
        <w:pStyle w:val="FirstParagraph"/>
      </w:pPr>
      <w:r>
        <w:t xml:space="preserve">We used the same single 5-fold cross-validation procedure to calculate raw Shapley values for observations in our held out folds. Raw Shapley values index the importance of any feature (or set/category of features as described below) to any single prediction for a specific observation (i.e., for a specific 24-hour window for a specific participant), which indicates the</w:t>
      </w:r>
      <w:r>
        <w:t xml:space="preserve"> </w:t>
      </w:r>
      <w:r>
        <w:t xml:space="preserve">“local importance”</w:t>
      </w:r>
      <w:r>
        <w:t xml:space="preserve"> </w:t>
      </w:r>
      <w:r>
        <w:t xml:space="preserve">of that feature</w:t>
      </w:r>
      <w:r>
        <w:t xml:space="preserve"> </w:t>
      </w:r>
      <w:r>
        <w:t xml:space="preserve">(Lundberg and Lee 2017)</w:t>
      </w:r>
      <w:r>
        <w:t xml:space="preserve">. More precisely, the magnitude of the raw Shapley value for any feature indicates how much the feature score for that observation adjusted the prediction (in log-odds units) for that observation relative to the mean prediction across all observations. Positive Shapley values indicate that the feature score increased the prediction for that observation and negative values indicate that the feature score decreased the prediction.</w:t>
      </w:r>
    </w:p>
    <w:p>
      <w:pPr>
        <w:pStyle w:val="BodyText"/>
      </w:pPr>
      <w:r>
        <w:t xml:space="preserve">Raw Shapley values are additive across features for an observation, with their sum across features equal to the total adjustment of the predicted value for that observation vs. the mean predicted value across all observations. This property allows raw Shapley values to be added together across features within a category to index the importance of that feature category. We created feature categories by summing raw Shapley values for all features associated with specific EMA items. In three instances, we combined features across two similar EMA items (i.e., past and anticipated risky situations, past and anticipated stressful events, and affective valence and arousal) to yield seven feature categories for distinct constructs assessed by the original 10 EMA items. Specifically, we calculated Shapley values for past use, craving, affective state, past/anticipated risky situations, past/anticipated stressful events, past pleasant events, and abstinence self-efficacy.</w:t>
      </w:r>
    </w:p>
    <w:p>
      <w:pPr>
        <w:pStyle w:val="BodyText"/>
      </w:pPr>
      <w:r>
        <w:t xml:space="preserve">Shapley values can be aggregated across observations to describe the global importance of any feature (or feature category) across all predictions (i.e., for all 24-hour windows for all participants) in the dataset. Global feature importance is calculated by averaging the absolute value of the Shapley values for a feature across all observations. A large mean absolute Shapley value indicates that the feature makes big contributions to the predictions across the dataset. Global feature importance is a descriptive statistic that indicates the importance of the feature for predictions in a specific dataset, rather than a hypothetical population of observations. We provide a descriptive plot of the relative ranking of feature categories by their global feature importance for the no lag and 2-week lagged models. Global feature importance plots for all five models are available in the supplement.</w:t>
      </w:r>
    </w:p>
    <w:bookmarkEnd w:id="48"/>
    <w:bookmarkEnd w:id="49"/>
    <w:bookmarkEnd w:id="50"/>
    <w:bookmarkEnd w:id="51"/>
    <w:bookmarkStart w:id="79" w:name="results"/>
    <w:p>
      <w:pPr>
        <w:pStyle w:val="Heading1"/>
      </w:pPr>
      <w:r>
        <w:t xml:space="preserve">Results</w:t>
      </w:r>
    </w:p>
    <w:bookmarkStart w:id="54"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2"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 at Birth</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2"/>
          <w:p/>
        </w:tc>
      </w:tr>
    </w:tbl>
    <w:p>
      <w:pPr>
        <w:pStyle w:val="BodyText"/>
      </w:pPr>
      <w:r>
        <w:rPr>
          <w:vertAlign w:val="subscript"/>
        </w:rPr>
        <w:t xml:space="preserve">Source:</w:t>
      </w:r>
      <w:r>
        <w:rPr>
          <w:vertAlign w:val="subscript"/>
        </w:rPr>
        <w:t xml:space="preserve"> </w:t>
      </w:r>
      <w:hyperlink r:id="rId53">
        <w:r>
          <w:rPr>
            <w:rStyle w:val="Hyperlink"/>
            <w:vertAlign w:val="subscript"/>
          </w:rPr>
          <w:t xml:space="preserve">Make All Tables for Main Manuscript</w:t>
        </w:r>
      </w:hyperlink>
    </w:p>
    <w:bookmarkEnd w:id="54"/>
    <w:bookmarkStart w:id="60"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0.91 (no lag), 0.89 (1-day lag), 0.88 (3-day lag), 0.87 (1-week lag), and 0.85 (2-week lag). These values represent our best estimates for the magnitude of the auROC parameter for each model. The 95% Bayesian CI for the auROCs for these models were relatively narrow and did not contain 0.5: no lag [0.90-0.92], 1-day lag [0.88-0.91], 3-day lag [0.87-0.90], 1-week lag [0.85-0.89], 2-week lag [0.83-0.87].</w:t>
      </w:r>
    </w:p>
    <w:tbl>
      <w:tblPr>
        <w:tblStyle w:val="Table"/>
        <w:tblW w:type="pct" w:w="5000"/>
        <w:tblLayout w:type="fixed"/>
        <w:tblLook w:firstRow="0" w:lastRow="0" w:firstColumn="0" w:lastColumn="0" w:noHBand="0" w:noVBand="0" w:val="0000"/>
      </w:tblPr>
      <w:tblGrid>
        <w:gridCol w:w="7920"/>
      </w:tblGrid>
      <w:tr>
        <w:tc>
          <w:tcPr/>
          <w:bookmarkStart w:id="58" w:name="fig-pp"/>
          <w:p>
            <w:pPr>
              <w:pStyle w:val="Compact"/>
              <w:jc w:val="center"/>
            </w:pPr>
            <w:r>
              <w:drawing>
                <wp:inline>
                  <wp:extent cx="5334000" cy="5334000"/>
                  <wp:effectExtent b="0" l="0" r="0" t="0"/>
                  <wp:docPr descr="" title="" id="56" name="Picture"/>
                  <a:graphic>
                    <a:graphicData uri="http://schemas.openxmlformats.org/drawingml/2006/picture">
                      <pic:pic>
                        <pic:nvPicPr>
                          <pic:cNvPr descr="index_files/figure-docx/notebooks-mak_figures-fig-pp-output-1.png" id="57"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Each distribution reflects 12,000 posterior samples (4 chains × 3,000 samples) from a Bayesian hierarchical generalized linear model. Horizonatal lines depict 95% Bayesian credible intervals (CI) and vertical solid lines depict median posterior probability for auROC. Vertical dashed line represents expected performance from a random classifier (.5 auROC).</w:t>
            </w:r>
          </w:p>
          <w:bookmarkEnd w:id="58"/>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All Figures for Main Manuscript</w:t>
        </w:r>
      </w:hyperlink>
    </w:p>
    <w:bookmarkEnd w:id="60"/>
    <w:bookmarkStart w:id="63"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smaller than 0 for all baseline and adjacent lag contrasts. Median auROC differences less than 0 indicate the more lagged model, on average, performed worse than the more immediate model (e.g., 1-day lag – no lag, 3-day lag – 1-day lag). There was strong evidence (probabilities = 1)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1" w:name="tbl-model"/>
          <w:p>
            <w:pPr>
              <w:jc w:val="center"/>
            </w:pPr>
            <w:pPr>
              <w:jc w:val="start"/>
              <w:spacing w:before="200"/>
              <w:pStyle w:val="ImageCaption"/>
            </w:pPr>
            <w:r>
              <w:t xml:space="preserve">Table 2: Median difference in auROC, 95% Bayesian credible interval (CI), and posterior probability that that the auROC difference was smaller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1-day vs. No lag</w:t>
                  </w:r>
                </w:p>
              </w:tc>
              <w:tc>
                <w:tcPr/>
                <w:p>
                  <w:pPr>
                    <w:pStyle w:val="Compact"/>
                    <w:jc w:val="left"/>
                    <w:jc w:val="center"/>
                  </w:pPr>
                  <w:r>
                    <w:t xml:space="preserve">-0.021</w:t>
                  </w:r>
                </w:p>
              </w:tc>
              <w:tc>
                <w:tcPr/>
                <w:p>
                  <w:pPr>
                    <w:pStyle w:val="Compact"/>
                    <w:jc w:val="left"/>
                    <w:jc w:val="center"/>
                  </w:pPr>
                  <w:r>
                    <w:t xml:space="preserve">[-0.025, -0.017]</w:t>
                  </w:r>
                </w:p>
              </w:tc>
              <w:tc>
                <w:tcPr/>
                <w:p>
                  <w:pPr>
                    <w:pStyle w:val="Compact"/>
                    <w:jc w:val="left"/>
                    <w:jc w:val="center"/>
                  </w:pPr>
                  <w:r>
                    <w:t xml:space="preserve">1</w:t>
                  </w:r>
                </w:p>
              </w:tc>
            </w:tr>
            <w:tr>
              <w:tc>
                <w:tcPr/>
                <w:p>
                  <w:pPr>
                    <w:pStyle w:val="Compact"/>
                    <w:jc w:val="left"/>
                    <w:jc w:val="center"/>
                  </w:pPr>
                  <w:r>
                    <w:t xml:space="preserve">3-day vs. No lag</w:t>
                  </w:r>
                </w:p>
              </w:tc>
              <w:tc>
                <w:tcPr/>
                <w:p>
                  <w:pPr>
                    <w:pStyle w:val="Compact"/>
                    <w:jc w:val="left"/>
                    <w:jc w:val="center"/>
                  </w:pPr>
                  <w:r>
                    <w:t xml:space="preserve">-0.03</w:t>
                  </w:r>
                </w:p>
              </w:tc>
              <w:tc>
                <w:tcPr/>
                <w:p>
                  <w:pPr>
                    <w:pStyle w:val="Compact"/>
                    <w:jc w:val="left"/>
                    <w:jc w:val="center"/>
                  </w:pPr>
                  <w:r>
                    <w:t xml:space="preserve">[-0.035, -0.025]</w:t>
                  </w:r>
                </w:p>
              </w:tc>
              <w:tc>
                <w:tcPr/>
                <w:p>
                  <w:pPr>
                    <w:pStyle w:val="Compact"/>
                    <w:jc w:val="left"/>
                    <w:jc w:val="center"/>
                  </w:pPr>
                  <w:r>
                    <w:t xml:space="preserve">1</w:t>
                  </w:r>
                </w:p>
              </w:tc>
            </w:tr>
            <w:tr>
              <w:tc>
                <w:tcPr/>
                <w:p>
                  <w:pPr>
                    <w:pStyle w:val="Compact"/>
                    <w:jc w:val="left"/>
                    <w:jc w:val="center"/>
                  </w:pPr>
                  <w:r>
                    <w:t xml:space="preserve">1-week vs. No lag</w:t>
                  </w:r>
                </w:p>
              </w:tc>
              <w:tc>
                <w:tcPr/>
                <w:p>
                  <w:pPr>
                    <w:pStyle w:val="Compact"/>
                    <w:jc w:val="left"/>
                    <w:jc w:val="center"/>
                  </w:pPr>
                  <w:r>
                    <w:t xml:space="preserve">-0.042</w:t>
                  </w:r>
                </w:p>
              </w:tc>
              <w:tc>
                <w:tcPr/>
                <w:p>
                  <w:pPr>
                    <w:pStyle w:val="Compact"/>
                    <w:jc w:val="left"/>
                    <w:jc w:val="center"/>
                  </w:pPr>
                  <w:r>
                    <w:t xml:space="preserve">[-0.048, -0.037]</w:t>
                  </w:r>
                </w:p>
              </w:tc>
              <w:tc>
                <w:tcPr/>
                <w:p>
                  <w:pPr>
                    <w:pStyle w:val="Compact"/>
                    <w:jc w:val="left"/>
                    <w:jc w:val="center"/>
                  </w:pPr>
                  <w:r>
                    <w:t xml:space="preserve">1</w:t>
                  </w:r>
                </w:p>
              </w:tc>
            </w:tr>
            <w:tr>
              <w:tc>
                <w:tcPr/>
                <w:p>
                  <w:pPr>
                    <w:pStyle w:val="Compact"/>
                    <w:jc w:val="left"/>
                    <w:jc w:val="center"/>
                  </w:pPr>
                  <w:r>
                    <w:t xml:space="preserve">2-week vs. No lag</w:t>
                  </w:r>
                </w:p>
              </w:tc>
              <w:tc>
                <w:tcPr/>
                <w:p>
                  <w:pPr>
                    <w:pStyle w:val="Compact"/>
                    <w:jc w:val="left"/>
                    <w:jc w:val="center"/>
                  </w:pPr>
                  <w:r>
                    <w:t xml:space="preserve">-0.062</w:t>
                  </w:r>
                </w:p>
              </w:tc>
              <w:tc>
                <w:tcPr/>
                <w:p>
                  <w:pPr>
                    <w:pStyle w:val="Compact"/>
                    <w:jc w:val="left"/>
                    <w:jc w:val="center"/>
                  </w:pPr>
                  <w:r>
                    <w:t xml:space="preserve">[-0.07, -0.056]</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3-day vs. 1-day</w:t>
                  </w:r>
                </w:p>
              </w:tc>
              <w:tc>
                <w:tcPr/>
                <w:p>
                  <w:pPr>
                    <w:pStyle w:val="Compact"/>
                    <w:jc w:val="left"/>
                    <w:jc w:val="center"/>
                  </w:pPr>
                  <w:r>
                    <w:t xml:space="preserve">-0.009</w:t>
                  </w:r>
                </w:p>
              </w:tc>
              <w:tc>
                <w:tcPr/>
                <w:p>
                  <w:pPr>
                    <w:pStyle w:val="Compact"/>
                    <w:jc w:val="left"/>
                    <w:jc w:val="center"/>
                  </w:pPr>
                  <w:r>
                    <w:t xml:space="preserve">[-0.013, -0.005]</w:t>
                  </w:r>
                </w:p>
              </w:tc>
              <w:tc>
                <w:tcPr/>
                <w:p>
                  <w:pPr>
                    <w:pStyle w:val="Compact"/>
                    <w:jc w:val="left"/>
                    <w:jc w:val="center"/>
                  </w:pPr>
                  <w:r>
                    <w:t xml:space="preserve">1</w:t>
                  </w:r>
                </w:p>
              </w:tc>
            </w:tr>
            <w:tr>
              <w:tc>
                <w:tcPr/>
                <w:p>
                  <w:pPr>
                    <w:pStyle w:val="Compact"/>
                    <w:jc w:val="left"/>
                    <w:jc w:val="center"/>
                  </w:pPr>
                  <w:r>
                    <w:t xml:space="preserve">1-week vs. 3-day</w:t>
                  </w:r>
                </w:p>
              </w:tc>
              <w:tc>
                <w:tcPr/>
                <w:p>
                  <w:pPr>
                    <w:pStyle w:val="Compact"/>
                    <w:jc w:val="left"/>
                    <w:jc w:val="center"/>
                  </w:pPr>
                  <w:r>
                    <w:t xml:space="preserve">-0.012</w:t>
                  </w:r>
                </w:p>
              </w:tc>
              <w:tc>
                <w:tcPr/>
                <w:p>
                  <w:pPr>
                    <w:pStyle w:val="Compact"/>
                    <w:jc w:val="left"/>
                    <w:jc w:val="center"/>
                  </w:pPr>
                  <w:r>
                    <w:t xml:space="preserve">[-0.017, -0.008]</w:t>
                  </w:r>
                </w:p>
              </w:tc>
              <w:tc>
                <w:tcPr/>
                <w:p>
                  <w:pPr>
                    <w:pStyle w:val="Compact"/>
                    <w:jc w:val="left"/>
                    <w:jc w:val="center"/>
                  </w:pPr>
                  <w:r>
                    <w:t xml:space="preserve">1</w:t>
                  </w:r>
                </w:p>
              </w:tc>
            </w:tr>
            <w:tr>
              <w:tc>
                <w:tcPr/>
                <w:p>
                  <w:pPr>
                    <w:pStyle w:val="Compact"/>
                    <w:jc w:val="left"/>
                    <w:jc w:val="center"/>
                  </w:pPr>
                  <w:r>
                    <w:t xml:space="preserve">2-week vs. 1-week</w:t>
                  </w:r>
                </w:p>
              </w:tc>
              <w:tc>
                <w:tcPr/>
                <w:p>
                  <w:pPr>
                    <w:pStyle w:val="Compact"/>
                    <w:jc w:val="left"/>
                    <w:jc w:val="center"/>
                  </w:pPr>
                  <w:r>
                    <w:t xml:space="preserve">-0.02</w:t>
                  </w:r>
                </w:p>
              </w:tc>
              <w:tc>
                <w:tcPr/>
                <w:p>
                  <w:pPr>
                    <w:pStyle w:val="Compact"/>
                    <w:jc w:val="left"/>
                    <w:jc w:val="center"/>
                  </w:pPr>
                  <w:r>
                    <w:t xml:space="preserve">[-0.026, -0.015]</w:t>
                  </w:r>
                </w:p>
              </w:tc>
              <w:tc>
                <w:tcPr/>
                <w:p>
                  <w:pPr>
                    <w:pStyle w:val="Compact"/>
                    <w:jc w:val="left"/>
                    <w:jc w:val="center"/>
                  </w:pPr>
                  <w:r>
                    <w:t xml:space="preserve">1</w:t>
                  </w:r>
                </w:p>
              </w:tc>
            </w:tr>
            <w:tr>
              <w:tc>
                <w:tcPr/>
                <w:p>
                  <w:pPr>
                    <w:pStyle w:val="Compact"/>
                    <w:jc w:val="left"/>
                    <w:jc w:val="center"/>
                  </w:pPr>
                  <w:r>
                    <w:t xml:space="preserve"> </w:t>
                  </w:r>
                  <w:r>
                    <w:t xml:space="preserve">Median auROC differences less than 0 indicate the more lagged model, on average, performed worse than the more immediate model (e.g., 1-day lag - no lag, 3-day lag - 1-day lag). Bayesian CI represents the range of values where there is a 95% probability that the true auROC difference lies within that range. Probability indicates the posterior probability that this difference is smaller than 0 (i.e., the models are performing differently).</w:t>
                  </w:r>
                </w:p>
              </w:tc>
              <w:tc>
                <w:tcPr/>
                <w:p>
                  <w:pPr>
                    <w:pStyle w:val="Compact"/>
                  </w:pPr>
                </w:p>
              </w:tc>
              <w:tc>
                <w:tcPr/>
                <w:p>
                  <w:pPr>
                    <w:pStyle w:val="Compact"/>
                  </w:pPr>
                </w:p>
              </w:tc>
              <w:tc>
                <w:tcPr/>
                <w:p>
                  <w:pPr>
                    <w:pStyle w:val="Compact"/>
                  </w:pPr>
                </w:p>
              </w:tc>
            </w:tr>
          </w:tbl>
          <w:bookmarkEnd w:id="61"/>
          <w:p/>
        </w:tc>
      </w:tr>
    </w:tbl>
    <w:p>
      <w:pPr>
        <w:pStyle w:val="BodyText"/>
      </w:pPr>
      <w:r>
        <w:rPr>
          <w:vertAlign w:val="subscript"/>
        </w:rPr>
        <w:t xml:space="preserve">Source:</w:t>
      </w:r>
      <w:r>
        <w:rPr>
          <w:vertAlign w:val="subscript"/>
        </w:rPr>
        <w:t xml:space="preserve"> </w:t>
      </w:r>
      <w:hyperlink r:id="rId62">
        <w:r>
          <w:rPr>
            <w:rStyle w:val="Hyperlink"/>
            <w:vertAlign w:val="subscript"/>
          </w:rPr>
          <w:t xml:space="preserve">Make All Tables for Main Manuscript</w:t>
        </w:r>
      </w:hyperlink>
    </w:p>
    <w:bookmarkEnd w:id="63"/>
    <w:bookmarkStart w:id="66"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smaller than 0 for the three fairness contrasts: race/ethnicity (non-White and/or Hispanic;</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 line;</w:t>
      </w:r>
      <w:r>
        <w:t xml:space="preserve"> </w:t>
      </w:r>
      <w:r>
        <w:rPr>
          <w:i/>
          <w:iCs/>
        </w:rPr>
        <w:t xml:space="preserve">N</w:t>
      </w:r>
      <w:r>
        <w:t xml:space="preserve"> </w:t>
      </w:r>
      <w:r>
        <w:t xml:space="preserve">= 49 vs. above poverty line;</w:t>
      </w:r>
      <w:r>
        <w:t xml:space="preserve"> </w:t>
      </w:r>
      <w:r>
        <w:rPr>
          <w:i/>
          <w:iCs/>
        </w:rPr>
        <w:t xml:space="preserve">N</w:t>
      </w:r>
      <w:r>
        <w:t xml:space="preserve"> </w:t>
      </w:r>
      <w:r>
        <w:t xml:space="preserve">= 102). Median auROC differences less than 0 indicate the model, on average, performed worse for the non-advantaged group (female, non-White, below poverty line) compared to the advantaged group (male, non-Hispanic White, and above poverty line).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w:t>
      </w:r>
    </w:p>
    <w:p>
      <w:pPr>
        <w:pStyle w:val="BodyText"/>
      </w:pPr>
      <w:r>
        <w:t xml:space="preserve">There was strong evidence (probabilities &gt; .84) that our models performed worse for the non-advantaged groups compared to the advantaged groups. On average, across all five models, there was a median decrease in auROC of 0.13 (range 0.13-0.17) for participants who were non-White and/or Hispanic compared to non-Hispanic White participants. On average, across all five models, there was a median decrease in auROC of 0.05 (range 0.04-0.10) for female participants compared to male participants. On average, across all five models, there was a median decrease in auROC of 0.02 (range 0.01-0.04) for participants below the federal poverty line compared to participants above the federal poverty line.</w:t>
      </w:r>
    </w:p>
    <w:p>
      <w:pPr>
        <w:pStyle w:val="BodyText"/>
      </w:pPr>
      <w:r>
        <w:t xml:space="preserve">The proportion of positive lapse labels over all labels (lapse and no lapse) for each demographic subgroup were relatively consistent across groups: race/ethnicity (6%, non-White and/or Hispanic vs. 8%, non-Hispanic White), income (12%, below poverty line vs. 7%, above poverty line), sex at birth (9%, female vs. 7%, male).</w:t>
      </w:r>
    </w:p>
    <w:tbl>
      <w:tblPr>
        <w:tblStyle w:val="Table"/>
        <w:tblW w:type="pct" w:w="5000"/>
        <w:tblLayout w:type="fixed"/>
        <w:tblLook w:firstRow="0" w:lastRow="0" w:firstColumn="0" w:lastColumn="0" w:noHBand="0" w:noVBand="0" w:val="0000"/>
      </w:tblPr>
      <w:tblGrid>
        <w:gridCol w:w="7920"/>
      </w:tblGrid>
      <w:tr>
        <w:tc>
          <w:tcPr/>
          <w:bookmarkStart w:id="64" w:name="tbl-fairness"/>
          <w:p>
            <w:pPr>
              <w:jc w:val="center"/>
            </w:pPr>
            <w:pPr>
              <w:jc w:val="start"/>
              <w:spacing w:before="200"/>
              <w:pStyle w:val="ImageCaption"/>
            </w:pPr>
            <w:r>
              <w:t xml:space="preserve">Table 3: Median difference in auROC, 95% Bayesian credible interval (CI), and posterior probability that that the auROC difference was smaller than 0 for fairness contrasts for the no lag and 2-week lagged models.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female vs. male</w:t>
                  </w:r>
                </w:p>
              </w:tc>
              <w:tc>
                <w:tcPr/>
                <w:p>
                  <w:pPr>
                    <w:pStyle w:val="Compact"/>
                    <w:jc w:val="left"/>
                    <w:jc w:val="center"/>
                  </w:pPr>
                  <w:r>
                    <w:t xml:space="preserve">-0.043</w:t>
                  </w:r>
                </w:p>
              </w:tc>
              <w:tc>
                <w:tcPr/>
                <w:p>
                  <w:pPr>
                    <w:pStyle w:val="Compact"/>
                    <w:jc w:val="left"/>
                    <w:jc w:val="center"/>
                  </w:pPr>
                  <w:r>
                    <w:t xml:space="preserve">[-0.059, -0.028]</w:t>
                  </w:r>
                </w:p>
              </w:tc>
              <w:tc>
                <w:tcPr/>
                <w:p>
                  <w:pPr>
                    <w:pStyle w:val="Compact"/>
                    <w:jc w:val="left"/>
                    <w:jc w:val="center"/>
                  </w:pPr>
                  <w:r>
                    <w:t xml:space="preserve">1</w:t>
                  </w:r>
                </w:p>
              </w:tc>
            </w:tr>
            <w:tr>
              <w:tc>
                <w:tcPr/>
                <w:p>
                  <w:pPr>
                    <w:pStyle w:val="Compact"/>
                    <w:jc w:val="left"/>
                    <w:jc w:val="center"/>
                  </w:pPr>
                  <w:r>
                    <w:t xml:space="preserve">non-White and/or Hispanic vs. non-Hispanic White</w:t>
                  </w:r>
                </w:p>
              </w:tc>
              <w:tc>
                <w:tcPr/>
                <w:p>
                  <w:pPr>
                    <w:pStyle w:val="Compact"/>
                    <w:jc w:val="left"/>
                    <w:jc w:val="center"/>
                  </w:pPr>
                  <w:r>
                    <w:t xml:space="preserve">-0.131</w:t>
                  </w:r>
                </w:p>
              </w:tc>
              <w:tc>
                <w:tcPr/>
                <w:p>
                  <w:pPr>
                    <w:pStyle w:val="Compact"/>
                    <w:jc w:val="left"/>
                    <w:jc w:val="center"/>
                  </w:pPr>
                  <w:r>
                    <w:t xml:space="preserve">[-0.222, -0.057]</w:t>
                  </w:r>
                </w:p>
              </w:tc>
              <w:tc>
                <w:tcPr/>
                <w:p>
                  <w:pPr>
                    <w:pStyle w:val="Compact"/>
                    <w:jc w:val="left"/>
                    <w:jc w:val="center"/>
                  </w:pPr>
                  <w:r>
                    <w:t xml:space="preserve">0.999</w:t>
                  </w:r>
                </w:p>
              </w:tc>
            </w:tr>
            <w:tr>
              <w:tc>
                <w:tcPr/>
                <w:p>
                  <w:pPr>
                    <w:pStyle w:val="Compact"/>
                    <w:jc w:val="left"/>
                    <w:jc w:val="center"/>
                  </w:pPr>
                  <w:r>
                    <w:t xml:space="preserve">below poverty line vs. above poverty line</w:t>
                  </w:r>
                </w:p>
              </w:tc>
              <w:tc>
                <w:tcPr/>
                <w:p>
                  <w:pPr>
                    <w:pStyle w:val="Compact"/>
                    <w:jc w:val="left"/>
                    <w:jc w:val="center"/>
                  </w:pPr>
                  <w:r>
                    <w:t xml:space="preserve">-0.012</w:t>
                  </w:r>
                </w:p>
              </w:tc>
              <w:tc>
                <w:tcPr/>
                <w:p>
                  <w:pPr>
                    <w:pStyle w:val="Compact"/>
                    <w:jc w:val="left"/>
                    <w:jc w:val="center"/>
                  </w:pPr>
                  <w:r>
                    <w:t xml:space="preserve">[-0.033, 0.007]</w:t>
                  </w:r>
                </w:p>
              </w:tc>
              <w:tc>
                <w:tcPr/>
                <w:p>
                  <w:pPr>
                    <w:pStyle w:val="Compact"/>
                    <w:jc w:val="left"/>
                    <w:jc w:val="center"/>
                  </w:pPr>
                  <w:r>
                    <w:t xml:space="preserve">0.848</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female vs. male</w:t>
                  </w:r>
                </w:p>
              </w:tc>
              <w:tc>
                <w:tcPr/>
                <w:p>
                  <w:pPr>
                    <w:pStyle w:val="Compact"/>
                    <w:jc w:val="left"/>
                    <w:jc w:val="center"/>
                  </w:pPr>
                  <w:r>
                    <w:t xml:space="preserve">-0.098</w:t>
                  </w:r>
                </w:p>
              </w:tc>
              <w:tc>
                <w:tcPr/>
                <w:p>
                  <w:pPr>
                    <w:pStyle w:val="Compact"/>
                    <w:jc w:val="left"/>
                    <w:jc w:val="center"/>
                  </w:pPr>
                  <w:r>
                    <w:t xml:space="preserve">[-0.125, -0.073]</w:t>
                  </w:r>
                </w:p>
              </w:tc>
              <w:tc>
                <w:tcPr/>
                <w:p>
                  <w:pPr>
                    <w:pStyle w:val="Compact"/>
                    <w:jc w:val="left"/>
                    <w:jc w:val="center"/>
                  </w:pPr>
                  <w:r>
                    <w:t xml:space="preserve">1</w:t>
                  </w:r>
                </w:p>
              </w:tc>
            </w:tr>
            <w:tr>
              <w:tc>
                <w:tcPr/>
                <w:p>
                  <w:pPr>
                    <w:pStyle w:val="Compact"/>
                    <w:jc w:val="left"/>
                    <w:jc w:val="center"/>
                  </w:pPr>
                  <w:r>
                    <w:t xml:space="preserve">non-White and/or Hispanic vs. non-Hispanic White</w:t>
                  </w:r>
                </w:p>
              </w:tc>
              <w:tc>
                <w:tcPr/>
                <w:p>
                  <w:pPr>
                    <w:pStyle w:val="Compact"/>
                    <w:jc w:val="left"/>
                    <w:jc w:val="center"/>
                  </w:pPr>
                  <w:r>
                    <w:t xml:space="preserve">-0.13</w:t>
                  </w:r>
                </w:p>
              </w:tc>
              <w:tc>
                <w:tcPr/>
                <w:p>
                  <w:pPr>
                    <w:pStyle w:val="Compact"/>
                    <w:jc w:val="left"/>
                    <w:jc w:val="center"/>
                  </w:pPr>
                  <w:r>
                    <w:t xml:space="preserve">[-0.208, -0.058]</w:t>
                  </w:r>
                </w:p>
              </w:tc>
              <w:tc>
                <w:tcPr/>
                <w:p>
                  <w:pPr>
                    <w:pStyle w:val="Compact"/>
                    <w:jc w:val="left"/>
                    <w:jc w:val="center"/>
                  </w:pPr>
                  <w:r>
                    <w:t xml:space="preserve">0.998</w:t>
                  </w:r>
                </w:p>
              </w:tc>
            </w:tr>
            <w:tr>
              <w:tc>
                <w:tcPr/>
                <w:p>
                  <w:pPr>
                    <w:pStyle w:val="Compact"/>
                    <w:jc w:val="left"/>
                    <w:jc w:val="center"/>
                  </w:pPr>
                  <w:r>
                    <w:t xml:space="preserve">below poverty line vs. above poverty line</w:t>
                  </w:r>
                </w:p>
              </w:tc>
              <w:tc>
                <w:tcPr/>
                <w:p>
                  <w:pPr>
                    <w:pStyle w:val="Compact"/>
                    <w:jc w:val="left"/>
                    <w:jc w:val="center"/>
                  </w:pPr>
                  <w:r>
                    <w:t xml:space="preserve">-0.039</w:t>
                  </w:r>
                </w:p>
              </w:tc>
              <w:tc>
                <w:tcPr/>
                <w:p>
                  <w:pPr>
                    <w:pStyle w:val="Compact"/>
                    <w:jc w:val="left"/>
                    <w:jc w:val="center"/>
                  </w:pPr>
                  <w:r>
                    <w:t xml:space="preserve">[-0.073, -0.008]</w:t>
                  </w:r>
                </w:p>
              </w:tc>
              <w:tc>
                <w:tcPr/>
                <w:p>
                  <w:pPr>
                    <w:pStyle w:val="Compact"/>
                    <w:jc w:val="left"/>
                    <w:jc w:val="center"/>
                  </w:pPr>
                  <w:r>
                    <w:t xml:space="preserve">0.98</w:t>
                  </w:r>
                </w:p>
              </w:tc>
            </w:tr>
            <w:tr>
              <w:tc>
                <w:tcPr/>
                <w:p>
                  <w:pPr>
                    <w:pStyle w:val="Compact"/>
                    <w:jc w:val="left"/>
                    <w:jc w:val="center"/>
                  </w:pPr>
                  <w:r>
                    <w:t xml:space="preserve"> </w:t>
                  </w:r>
                  <w:r>
                    <w:t xml:space="preserve">Median auROC differences less than 0 indicate the model, on average, performed worse for the disadvantaged group (female, non-White and/or Hispanic, income below poverty line) compared to the advantaged group (male, non-Hispanic White, income above poverty line). Bayesian CI represents the range of values where there is a 95% probability that the true auROC difference lies within that range. Probability indicates the posterior probability that this difference is smaller than 0 (i.e., the models are performing differently for fairness subgroups).</w:t>
                  </w:r>
                </w:p>
              </w:tc>
              <w:tc>
                <w:tcPr/>
                <w:p>
                  <w:pPr>
                    <w:pStyle w:val="Compact"/>
                  </w:pPr>
                </w:p>
              </w:tc>
              <w:tc>
                <w:tcPr/>
                <w:p>
                  <w:pPr>
                    <w:pStyle w:val="Compact"/>
                  </w:pPr>
                </w:p>
              </w:tc>
              <w:tc>
                <w:tcPr/>
                <w:p>
                  <w:pPr>
                    <w:pStyle w:val="Compact"/>
                  </w:pPr>
                </w:p>
              </w:tc>
            </w:tr>
          </w:tbl>
          <w:bookmarkEnd w:id="64"/>
          <w:p/>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Make All Tables for Main Manuscript</w:t>
        </w:r>
      </w:hyperlink>
    </w:p>
    <w:bookmarkEnd w:id="66"/>
    <w:bookmarkStart w:id="72" w:name="model-calibration-1"/>
    <w:p>
      <w:pPr>
        <w:pStyle w:val="Heading2"/>
      </w:pPr>
      <w:r>
        <w:t xml:space="preserve">Model Calibration</w:t>
      </w:r>
    </w:p>
    <w:p>
      <w:pPr>
        <w:pStyle w:val="FirstParagraph"/>
      </w:pPr>
      <w:r>
        <w:t xml:space="preserve">The raw probabilities produced by our final models were not well calibrated. Consequently, we used Platt scaling to improve calibration. Platt scaling showed excellent improvement to the no lag model with a Brier score of .043. Calibration also improved probability accuracy for the 2-week lagged model with a Brier score .063. For comparison, raw probability scores yielded Brier scores of .071 and .077 for the no lag and 2-week lagged models, respectively.</w:t>
      </w:r>
    </w:p>
    <w:p>
      <w:pPr>
        <w:pStyle w:val="BodyText"/>
      </w:pPr>
      <w:hyperlink w:anchor="fig-cal">
        <w:r>
          <w:rPr>
            <w:rStyle w:val="Hyperlink"/>
          </w:rPr>
          <w:t xml:space="preserve">Figure 3</w:t>
        </w:r>
      </w:hyperlink>
      <w:r>
        <w:t xml:space="preserve"> </w:t>
      </w:r>
      <w:r>
        <w:t xml:space="preserve">shows the calibration plots for the raw and calibrated probabilities for the no lag and 2-week lagged model. It also includes a histogram of raw probabilities that demonstrates our models produced variable predicted probabilities, spanning nearly the entire 0 - 1 range. Calibration plots and Brier scores for all 5 models are available in the supplement.</w:t>
      </w:r>
    </w:p>
    <w:tbl>
      <w:tblPr>
        <w:tblStyle w:val="Table"/>
        <w:tblW w:type="pct" w:w="5000"/>
        <w:tblLayout w:type="fixed"/>
        <w:tblLook w:firstRow="0" w:lastRow="0" w:firstColumn="0" w:lastColumn="0" w:noHBand="0" w:noVBand="0" w:val="0000"/>
      </w:tblPr>
      <w:tblGrid>
        <w:gridCol w:w="7920"/>
      </w:tblGrid>
      <w:tr>
        <w:tc>
          <w:tcPr/>
          <w:bookmarkStart w:id="70" w:name="fig-cal"/>
          <w:p>
            <w:pPr>
              <w:pStyle w:val="Compact"/>
              <w:jc w:val="center"/>
            </w:pPr>
            <w:r>
              <w:drawing>
                <wp:inline>
                  <wp:extent cx="5334000" cy="5334000"/>
                  <wp:effectExtent b="0" l="0" r="0" t="0"/>
                  <wp:docPr descr="" title="" id="68" name="Picture"/>
                  <a:graphic>
                    <a:graphicData uri="http://schemas.openxmlformats.org/drawingml/2006/picture">
                      <pic:pic>
                        <pic:nvPicPr>
                          <pic:cNvPr descr="index_files/figure-docx/notebooks-mak_figures-fig-cal-output-1.png" id="69" name="Picture"/>
                          <pic:cNvPicPr>
                            <a:picLocks noChangeArrowheads="1" noChangeAspect="1"/>
                          </pic:cNvPicPr>
                        </pic:nvPicPr>
                        <pic:blipFill>
                          <a:blip r:embed="rId6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Calibration plots of raw and calibrated lapse probabilities for the baseline (no lag) and 2-week lagged models. Predicted probabilities (x-axis) are binned into deciles. Observed lapse probability (y-axis) represents the proportion of actual lapses observed in each bin. The dashed diagonal represents perfect calibration. Points below the line indicate overestimation and points above the line indicate underestimation. Raw probabilities are depicted as solid black curves. Platt calibrated probabilites are depicted as pink dashed curves. The grey histogram along the bottom of the plot represents the proportion of raw probabilities in each bin.</w:t>
            </w:r>
          </w:p>
          <w:bookmarkEnd w:id="70"/>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Make All Figures for Main Manuscript</w:t>
        </w:r>
      </w:hyperlink>
    </w:p>
    <w:bookmarkEnd w:id="72"/>
    <w:bookmarkStart w:id="78" w:name="feature-importance"/>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globally important feature category (i.e., highest mean |Shapley value|) for all models was past use. Future efficacy was a strong predictor for more immediate model predictions (i.e., no lag), but its importance diminished as lag time increased. On the other hand, as lag time increased, past/future risky situations increased in importance. Craving was consistently important in magnitude across all models.</w:t>
      </w:r>
      <w:r>
        <w:t xml:space="preserve"> </w:t>
      </w:r>
      <w:hyperlink w:anchor="fig-4">
        <w:r>
          <w:rPr>
            <w:rStyle w:val="Hyperlink"/>
          </w:rPr>
          <w:t xml:space="preserve">Figure 4</w:t>
        </w:r>
      </w:hyperlink>
      <w:r>
        <w:t xml:space="preserve"> </w:t>
      </w:r>
      <w:r>
        <w:t xml:space="preserve">shows the relative ranking of feature categories for the no lag and 2-week lagged models. A plot of global feature importance for each feature category as a function of lag time is available in the supplement. These findings were also consistent across demographic subgroups (plots of global feature importance by demographic group are available for the no lag and 2-week lagged models in the supplement).</w:t>
      </w:r>
    </w:p>
    <w:tbl>
      <w:tblPr>
        <w:tblStyle w:val="Table"/>
        <w:tblW w:type="pct" w:w="5000"/>
        <w:tblLayout w:type="fixed"/>
        <w:tblLook w:firstRow="0" w:lastRow="0" w:firstColumn="0" w:lastColumn="0" w:noHBand="0" w:noVBand="0" w:val="0000"/>
      </w:tblPr>
      <w:tblGrid>
        <w:gridCol w:w="7920"/>
      </w:tblGrid>
      <w:tr>
        <w:tc>
          <w:tcPr/>
          <w:bookmarkStart w:id="76" w:name="fig-4"/>
          <w:p>
            <w:pPr>
              <w:pStyle w:val="Compact"/>
              <w:jc w:val="center"/>
            </w:pPr>
            <w:r>
              <w:drawing>
                <wp:inline>
                  <wp:extent cx="5334000" cy="3333749"/>
                  <wp:effectExtent b="0" l="0" r="0" t="0"/>
                  <wp:docPr descr="" title="" id="74" name="Picture"/>
                  <a:graphic>
                    <a:graphicData uri="http://schemas.openxmlformats.org/drawingml/2006/picture">
                      <pic:pic>
                        <pic:nvPicPr>
                          <pic:cNvPr descr="index_files/figure-docx/notebooks-mak_figures-fig-4-output-1.png" id="75" name="Picture"/>
                          <pic:cNvPicPr>
                            <a:picLocks noChangeArrowheads="1" noChangeAspect="1"/>
                          </pic:cNvPicPr>
                        </pic:nvPicPr>
                        <pic:blipFill>
                          <a:blip r:embed="rId73"/>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Global feature importance (mean |Shapley value|) for feature categories for the no lag and 2-week lagged models. Feature categories are ordered by their aggregate global importance. The importance of each feature category for each model is displayed separately by color.</w:t>
            </w:r>
          </w:p>
          <w:bookmarkEnd w:id="76"/>
        </w:tc>
      </w:tr>
    </w:tbl>
    <w:p>
      <w:pPr>
        <w:pStyle w:val="BodyText"/>
      </w:pPr>
      <w:r>
        <w:rPr>
          <w:vertAlign w:val="subscript"/>
        </w:rPr>
        <w:t xml:space="preserve">Source:</w:t>
      </w:r>
      <w:r>
        <w:rPr>
          <w:vertAlign w:val="subscript"/>
        </w:rPr>
        <w:t xml:space="preserve"> </w:t>
      </w:r>
      <w:hyperlink r:id="rId77">
        <w:r>
          <w:rPr>
            <w:rStyle w:val="Hyperlink"/>
            <w:vertAlign w:val="subscript"/>
          </w:rPr>
          <w:t xml:space="preserve">Make All Figures for Main Manuscript</w:t>
        </w:r>
      </w:hyperlink>
    </w:p>
    <w:bookmarkEnd w:id="78"/>
    <w:bookmarkEnd w:id="79"/>
    <w:bookmarkStart w:id="86" w:name="discussion"/>
    <w:p>
      <w:pPr>
        <w:pStyle w:val="Heading1"/>
      </w:pPr>
      <w:r>
        <w:t xml:space="preserve">Discussion</w:t>
      </w:r>
    </w:p>
    <w:p>
      <w:pPr>
        <w:pStyle w:val="FirstParagraph"/>
      </w:pPr>
      <w:r>
        <w:t xml:space="preserve">All the models that we evaluated performed exceptionally well. The no lag model, which predicts the probability of an immediate (i.e., within 24 hours) lapse back to alcohol use, had a .91 median posterior probability for auROC. Our 2-week lagged model, which made the most distal predictions, had a .85 median posterior probability for auROC, suggesting lagged models can be used to shift a 24-hour prediction window meaningfully into the future.</w:t>
      </w:r>
    </w:p>
    <w:p>
      <w:pPr>
        <w:pStyle w:val="BodyText"/>
      </w:pPr>
      <w:r>
        <w:t xml:space="preserve">Across models (no lag, 1 day, 3 days, 1 week, and 2 weeks), model performance systematically decreased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first emerge and/or change day-by-day, if not more frequently. As lag time increases, features become less proximal to the start of the prediction window. Still, we wish to emphasize that our lowest auROC (.85) is still quite good, and the benefit of advanced notice (i.e., 2 weeks) likely outweighs the modest cost to model performance.</w:t>
      </w:r>
    </w:p>
    <w:p>
      <w:pPr>
        <w:pStyle w:val="BodyText"/>
      </w:pPr>
      <w:r>
        <w:t xml:space="preserve">Collectively, these results suggest we can achieve clinically meaningful performance up to two weeks out. Our rigorous resampling methods (grouped, nested, k-fold cross-validation) make us confident that these are valid estimates of how our models would perform with new individuals. Furthermore, it should noted that both the no lag and 2-week lagged models can be combined in a complementary fashion that allows both for highly accurate immediate lapse prediction and advanced warning about future lapse risk.</w:t>
      </w:r>
    </w:p>
    <w:bookmarkStart w:id="80" w:name="model-fairness"/>
    <w:p>
      <w:pPr>
        <w:pStyle w:val="Heading2"/>
      </w:pPr>
      <w:r>
        <w:t xml:space="preserve">Model Fairness</w:t>
      </w:r>
    </w:p>
    <w:p>
      <w:pPr>
        <w:pStyle w:val="FirstParagraph"/>
      </w:pPr>
      <w:r>
        <w:t xml:space="preserve">In recent years, the machine learning field has begun to recognize the need to evaluate model fairness when algorithms are used to inform important decisions (e.g., healthcare services offered, eligibility for loans, early parole). Algorithms that perform favorably for only majority group members may exacerbate existing disparities in access to resources and important clinical outcomes</w:t>
      </w:r>
      <w:r>
        <w:t xml:space="preserve"> </w:t>
      </w:r>
      <w:r>
        <w:t xml:space="preserve">(Veinot, Mitchell, and Ancker 2018)</w:t>
      </w:r>
      <w:r>
        <w:t xml:space="preserve">. In this study, we assessed model fairness by comparing model performance across important subgroups with known disparities in substance use treatment access and/or outcomes - race/ethnicity (non-White and/or Hispanic vs. non-Hispanic White), income (below poverty line vs. above poverty line), and sex at birth (female vs. male).</w:t>
      </w:r>
    </w:p>
    <w:p>
      <w:pPr>
        <w:pStyle w:val="BodyText"/>
      </w:pPr>
      <w:r>
        <w:t xml:space="preserve">All models performed worse for people who were non-White and/or Hispanic, and for people who had an income below the poverty line. The lack of diversity in our training data was likely a key contributor to the poorer model performance in these subgroups. Participants of color were severely underrepresented in our training data (</w:t>
      </w:r>
      <w:r>
        <w:rPr>
          <w:i/>
          <w:iCs/>
        </w:rPr>
        <w:t xml:space="preserve">N</w:t>
      </w:r>
      <w:r>
        <w:t xml:space="preserve"> </w:t>
      </w:r>
      <w:r>
        <w:t xml:space="preserve">= 20, 13%). Individuals below the poverty line were also underrepresented, though to a lesser degree (</w:t>
      </w:r>
      <w:r>
        <w:rPr>
          <w:i/>
          <w:iCs/>
        </w:rPr>
        <w:t xml:space="preserve">N</w:t>
      </w:r>
      <w:r>
        <w:t xml:space="preserve"> </w:t>
      </w:r>
      <w:r>
        <w:t xml:space="preserve">= 49, 32%).</w:t>
      </w:r>
    </w:p>
    <w:p>
      <w:pPr>
        <w:pStyle w:val="BodyText"/>
      </w:pPr>
      <w:r>
        <w:t xml:space="preserve">An obvious solution to this problem involves intentional recruitment for diversity in training data when developing prediction models. For example, we are now working to increase the racial, ethnic, and income diversity of our training data for alcohol lapse prediction while simultaneously optimizing feedback from these models for implementation purposes</w:t>
      </w:r>
      <w:r>
        <w:t xml:space="preserve"> </w:t>
      </w:r>
      <w:r>
        <w:t xml:space="preserve">(Wyant et al. under review)</w:t>
      </w:r>
      <w:r>
        <w:t xml:space="preserve">. In a separate project, we developed a national recruitment method that enabled us to recruit for racial, ethnic and income diversity while also focusing on much needed diversity across geographic location (e.g, rural vs. urban;</w:t>
      </w:r>
      <w:r>
        <w:t xml:space="preserve"> </w:t>
      </w:r>
      <w:r>
        <w:t xml:space="preserve">(Moshontz et al. 2021)</w:t>
      </w:r>
      <w:r>
        <w:t xml:space="preserve">). We expect geographic diversity in the training data may also be crucial to develop fair models because the features that predict lapse in urban and suburban settings may differ from those those that predict lapse in rural environments. If rural participants are not used to train models, the implementation of these models may compound existing disparities in SUD treatment in these communities</w:t>
      </w:r>
      <w:r>
        <w:t xml:space="preserve"> </w:t>
      </w:r>
      <w:r>
        <w:t xml:space="preserve">(Lee et al. 2023; Lister et al. 2020)</w:t>
      </w:r>
      <w:r>
        <w:t xml:space="preserve">.</w:t>
      </w:r>
    </w:p>
    <w:p>
      <w:pPr>
        <w:pStyle w:val="BodyText"/>
      </w:pPr>
      <w:r>
        <w:t xml:space="preserve">Future research can also explore potential computational solutions to mitigate performance disparities that emerge when subgroups are poorly represented in available training data. For example, training data from under-represented subgroups could be upsampled (e.g., using the synthetic minority oversampling technique), or the cost functions used by the learning algorithms could be adjusted to differentially weigh prediction errors based on participant characteristics. In another vein, modeling approaches that yield idiographic, person-specific models</w:t>
      </w:r>
      <w:r>
        <w:t xml:space="preserve"> </w:t>
      </w:r>
      <w:r>
        <w:t xml:space="preserve">(Fisher 2015; David et al. 2018; Roche et al. 2014; Wright et al. 2016)</w:t>
      </w:r>
      <w:r>
        <w:t xml:space="preserve"> </w:t>
      </w:r>
      <w:r>
        <w:t xml:space="preserve">may reduce performance disparities across subgroups. For example, we have begun to develop state space models whose parameters can be initialized with priors derived from existing training data but then adjusted over time to fit patterns present within a specific individual’s time-series</w:t>
      </w:r>
      <w:r>
        <w:t xml:space="preserve"> </w:t>
      </w:r>
      <w:r>
        <w:t xml:space="preserve">(Pulick, Curtin, and Mintz 2025)</w:t>
      </w:r>
      <w:r>
        <w:t xml:space="preserve">. Such models may mitigate issues of unfairness to a large degree because they will weigh the individual’s own data more heavily than group level estimates over time as more data accrue.</w:t>
      </w:r>
    </w:p>
    <w:p>
      <w:pPr>
        <w:pStyle w:val="BodyText"/>
      </w:pPr>
      <w:r>
        <w:t xml:space="preserve">Of note, problems with model fairness can emerge even when subgroups are well-represented in the training data. Our models performed less well for women compared to men despite the fact that women were well-represented in the training data (</w:t>
      </w:r>
      <w:r>
        <w:rPr>
          <w:i/>
          <w:iCs/>
        </w:rPr>
        <w:t xml:space="preserve">N</w:t>
      </w:r>
      <w:r>
        <w:t xml:space="preserve"> </w:t>
      </w:r>
      <w:r>
        <w:t xml:space="preserve">= 74, 49%). Instead, this differential performance may have resulted from more fundamental problems with the features available to the model. We chose our EMA items using domain expertise from decades of research on the factors that predict relapse. However, prior to the 1993 National Institute of Health Revitalization Act</w:t>
      </w:r>
      <w:r>
        <w:t xml:space="preserve"> </w:t>
      </w:r>
      <w:r>
        <w:t xml:space="preserve">(Studies et al. 1994)</w:t>
      </w:r>
      <w:r>
        <w:t xml:space="preserve"> </w:t>
      </w:r>
      <w:r>
        <w:t xml:space="preserve">that mandated the inclusion of minorities and women in research, women were mostly excluded from substance use treatment research due to their childbearing potential</w:t>
      </w:r>
      <w:r>
        <w:t xml:space="preserve"> </w:t>
      </w:r>
      <w:r>
        <w:t xml:space="preserve">(Vannicelli and Nash 1984)</w:t>
      </w:r>
      <w:r>
        <w:t xml:space="preserve">. As a result, it is possible that our theories about the causes and contributors to relapse are biased toward constructs that are more relevant for men than women. If true, features derived from EMA items that tap these constructs would be expected to under-perform when predicting lapses for women. More research may be needed to identify relapse risk factors for women (e.g., interpersonal relationship problems</w:t>
      </w:r>
      <w:r>
        <w:t xml:space="preserve"> </w:t>
      </w:r>
      <w:r>
        <w:t xml:space="preserve">(Walitzer and Dearing 2006)</w:t>
      </w:r>
      <w:r>
        <w:t xml:space="preserve">, hormonal changes</w:t>
      </w:r>
      <w:r>
        <w:t xml:space="preserve"> </w:t>
      </w:r>
      <w:r>
        <w:t xml:space="preserve">(McHugh et al. 2018)</w:t>
      </w:r>
      <w:r>
        <w:t xml:space="preserve">), and other groups under-represented in the literature before we can fully address these performance disparities.</w:t>
      </w:r>
    </w:p>
    <w:p>
      <w:pPr>
        <w:pStyle w:val="BodyText"/>
      </w:pPr>
      <w:r>
        <w:t xml:space="preserve">In the meantime, data-driven (bottom-up) approaches can be used to engineer high-dimensional feature sets that are not explicitly grounded in existing, and potentially biased, theories. For example, we have begun to explore the application of natural language processing techniques (e.g., LIWC; topic modeling; BERT</w:t>
      </w:r>
      <w:r>
        <w:t xml:space="preserve"> </w:t>
      </w:r>
      <w:r>
        <w:t xml:space="preserve">(Tausczik and Pennebaker 2010; Blei, Ng, and Jordan 2003; Devlin et al. 2019)</w:t>
      </w:r>
      <w:r>
        <w:t xml:space="preserve">) to text messages and other social media activity by our participants to engineer features that may predict future lapses. Such features may or may not align with existing theories about relapse, but because they are anchored to participants’ own words, they may serve as reliable indicators of lapse risk for certain individuals, particularly when used within learning algorithms that employ feature selection, regularization, or other techniques to address the bias-variance trade-off with high-dimensional feature sets. Furthermore, emerging techniques for interpreting machine learning models</w:t>
      </w:r>
      <w:r>
        <w:t xml:space="preserve"> </w:t>
      </w:r>
      <w:r>
        <w:t xml:space="preserve">(Molnar 2022)</w:t>
      </w:r>
      <w:r>
        <w:t xml:space="preserve"> </w:t>
      </w:r>
      <w:r>
        <w:t xml:space="preserve">can be applied to models that perform well to bootstrap the identification of new lapse risk constructs based on these novel features.</w:t>
      </w:r>
    </w:p>
    <w:p>
      <w:pPr>
        <w:pStyle w:val="BodyText"/>
      </w:pPr>
      <w:r>
        <w:t xml:space="preserve">Beyond issues of training data representation and lacunae or outright biases in our theories, it is also true that historically marginalized groups that have experienced systemic racism, exclusion, or other stigma around substance use (e.g., societal expectations for women regarding attractiveness, cleanliness and motherhood</w:t>
      </w:r>
      <w:r>
        <w:t xml:space="preserve"> </w:t>
      </w:r>
      <w:r>
        <w:t xml:space="preserve">(Meyers et al. 2021)</w:t>
      </w:r>
      <w:r>
        <w:t xml:space="preserve">) may feel less trusting in disclosing substance use</w:t>
      </w:r>
      <w:r>
        <w:t xml:space="preserve"> </w:t>
      </w:r>
      <w:r>
        <w:t xml:space="preserve">(Marwick and Boyd 2018)</w:t>
      </w:r>
      <w:r>
        <w:t xml:space="preserve">. These experiences could prompt some individuals in these subgroups to under-report lapses and/or risk factors, which could also degrade performance and evaluation of our models for these subgroups. We observed relatively comparable percentages of lapses reported among disadvantaged compared to advantaged groups. However, comparable lapse rates do not necessarily confirm comparable reporting accuracy because it is possible that there were systematic differences in lapse rates across groups that were masked by issues of trust.</w:t>
      </w:r>
    </w:p>
    <w:bookmarkEnd w:id="80"/>
    <w:bookmarkStart w:id="83" w:name="model-characterization-1"/>
    <w:p>
      <w:pPr>
        <w:pStyle w:val="Heading2"/>
      </w:pPr>
      <w:r>
        <w:t xml:space="preserve">Model Characterization</w:t>
      </w:r>
    </w:p>
    <w:bookmarkStart w:id="81" w:name="calibration"/>
    <w:p>
      <w:pPr>
        <w:pStyle w:val="Heading3"/>
      </w:pPr>
      <w:r>
        <w:t xml:space="preserve">Calibration</w:t>
      </w:r>
    </w:p>
    <w:p>
      <w:pPr>
        <w:pStyle w:val="FirstParagraph"/>
      </w:pPr>
      <w:r>
        <w:t xml:space="preserve">After applying Platt scaling to our predicted probabilities, our models were generally well calibrated with increasing monotonic relationships between calibrated model output and lapse event rates. Well-calibrated probabilities indicate that the predicted probability aligns closely with the true likelihood of an outcome (i.e., a lapse). Our no lag model had excellent calibration. However, the calibration plots suggest that with a longer lag time of 2 weeks, the model tends to over-predict the likelihood of lapses when predicted probabilities were higher.</w:t>
      </w:r>
    </w:p>
    <w:p>
      <w:pPr>
        <w:pStyle w:val="BodyText"/>
      </w:pPr>
      <w:r>
        <w:t xml:space="preserve">This pattern may not necessarily be problematic. Research suggests that people often struggle to interpret probabilistic feedback, especially when it’s provided in raw numerical form</w:t>
      </w:r>
      <w:r>
        <w:t xml:space="preserve"> </w:t>
      </w:r>
      <w:r>
        <w:t xml:space="preserve">(Zikmund-Fisher 2013; Fagerlin et al. 2007; Zipkin et al. 2014)</w:t>
      </w:r>
      <w:r>
        <w:t xml:space="preserve">. As a result, it may be more effective to communicate risk using coarser categories (e.g., low, medium, or high risk) or through relative changes in risk (e.g.,</w:t>
      </w:r>
      <w:r>
        <w:t xml:space="preserve"> </w:t>
      </w:r>
      <w:r>
        <w:t xml:space="preserve">“Your risk of lapse is higher this week compared to last week”</w:t>
      </w:r>
      <w:r>
        <w:t xml:space="preserve">). These forms of feedback may be less sensitive to small miscalibrations at the extremes as long as the relationship between predicted probabilities and the observed event rate is monotonic.</w:t>
      </w:r>
    </w:p>
    <w:bookmarkEnd w:id="81"/>
    <w:bookmarkStart w:id="82" w:name="feature-importance-1"/>
    <w:p>
      <w:pPr>
        <w:pStyle w:val="Heading3"/>
      </w:pPr>
      <w:r>
        <w:t xml:space="preserve">Feature importance</w:t>
      </w:r>
    </w:p>
    <w:p>
      <w:pPr>
        <w:pStyle w:val="FirstParagraph"/>
      </w:pPr>
      <w:r>
        <w:t xml:space="preserve">The relative ordering of top global features remained somewhat consistent across the no lag and 2-week lagged models. Past use was the most important feature in both models in our dataset. This is not surprising given that our outcome was lapse, and past behavior is often the best predictor of future behavior. This finding also supports decades of clinical research on relapse prevention, where lapses (i.e., single instances of goal inconsistent alcohol use) are seen as powerful precursors to relapse (i.e., full return to harmful drinking;</w:t>
      </w:r>
      <w:r>
        <w:t xml:space="preserve"> </w:t>
      </w:r>
      <w:r>
        <w:t xml:space="preserve">(Marlatt and Gordon 1985)</w:t>
      </w:r>
      <w:r>
        <w:t xml:space="preserve">). Abstinence self-efficacy emerged as the second most important feature in both models in our dataset, indicating that participants had reasonably accurate insight into their near-term success with maintaining alcohol abstinence. Craving was also an important predictor in both models, suggesting that it may be an important target for intervention to support early recovery efforts.</w:t>
      </w:r>
    </w:p>
    <w:p>
      <w:pPr>
        <w:pStyle w:val="BodyText"/>
      </w:pPr>
      <w:r>
        <w:t xml:space="preserve">Several feature categories displayed sizeable differences in global importance by lag time. The importance of abstinence self-efficacy dropped by more than 50% in the 2-week lagged model relative to the no lag model. This may indicate that self-efficacy during early recovery is unstable even across shorter periods of time such that their current self-efficacy does not strongly predict abstinence success even two weeks into the future. In fact, craving and risky situations become as important as self-efficacy when predicting two-week lagged lapses. It may be that these other experiences are shaping and changing the individual’s self-efficacy rapidly in early recovery. This also suggests that more frequent clinical assessments of self-efficacy as a target for intervention may be needed rather than assuming stability in this construct if initial assessment suggests it is high. Also, our study cannot determine if this differential importance of self-efficacy for immediate vs. lagged lapses persists beyond early recovery (where people may be encouraged to take a</w:t>
      </w:r>
      <w:r>
        <w:t xml:space="preserve"> </w:t>
      </w:r>
      <w:r>
        <w:t xml:space="preserve">“one day at a time”</w:t>
      </w:r>
      <w:r>
        <w:t xml:space="preserve"> </w:t>
      </w:r>
      <w:r>
        <w:t xml:space="preserve">mindset). Self-efficacy may become a more stable predictor of future abstinence success after longer periods of recovery, but our sample was limited to participants in early recovery (&lt;= 8 weeks of abstinence at intake).</w:t>
      </w:r>
    </w:p>
    <w:p>
      <w:pPr>
        <w:pStyle w:val="BodyText"/>
      </w:pPr>
      <w:r>
        <w:t xml:space="preserve">Past use was less important for the 2-week lagged model compared to the no lag model. This indicates that the predictive strength of a lapse on the likelihood of subsequent lapses diminishes to some degree over a relatively short period of time. This is good news and reinforces that single lapses do not always mark a return to consistent patterns of frequent, and potentially harmful, alcohol use. Despite this reduction in importance of past use as a predictor of lagged alcohol use, past use did remain the most important category for two-week lagged lapses. Lapses may provide</w:t>
      </w:r>
      <w:r>
        <w:t xml:space="preserve"> </w:t>
      </w:r>
      <w:r>
        <w:t xml:space="preserve">“teachable moments”</w:t>
      </w:r>
      <w:r>
        <w:t xml:space="preserve"> </w:t>
      </w:r>
      <w:r>
        <w:t xml:space="preserve">that can be used to reinforce recovery motivation, better understand risks, and develop skills to address those risks</w:t>
      </w:r>
      <w:r>
        <w:t xml:space="preserve"> </w:t>
      </w:r>
      <w:r>
        <w:t xml:space="preserve">(Witkiewitz and Marlatt 2007)</w:t>
      </w:r>
      <w:r>
        <w:t xml:space="preserve">. Conversely, lapses should not be ignored because they remain strong predictors of further use.</w:t>
      </w:r>
    </w:p>
    <w:p>
      <w:pPr>
        <w:pStyle w:val="BodyText"/>
      </w:pPr>
      <w:r>
        <w:t xml:space="preserve">Surprisingly, past and anticipated risky situations were more important in the 2-week lagged vs. no lag model, suggesting that the impact of these situations on lapses back to use may be delayed. It may be that persistent exposure to risks is necessary to undermine an abstinence goal and lead to return to alcohol use. Alternatively or additionally, people may also be better able to anticipate future risky situations (e.g., vacations, anniversaries of significant dates) than future acute stressors or even future self-efficacy. Regardless, the increased importance of risky situations for predicting lagged lapses provides an opportunity to intervene prior to the lapse, particularly if the individual is encouraged to assess future risks and/or makes use of a recovery monitoring prediction model.</w:t>
      </w:r>
    </w:p>
    <w:p>
      <w:pPr>
        <w:pStyle w:val="BodyText"/>
      </w:pPr>
      <w:r>
        <w:t xml:space="preserve">We were also surprised that stressful events, pleasant events, and affective state features did not make more important contributions to predictions across models. These constructs are highlighted in numerous theories about addiction and relapse</w:t>
      </w:r>
      <w:r>
        <w:t xml:space="preserve"> </w:t>
      </w:r>
      <w:r>
        <w:t xml:space="preserve">(Marlatt and Gordon 1985; Witkiewitz and Marlatt 2004; Rawson et al. 1995)</w:t>
      </w:r>
      <w:r>
        <w:t xml:space="preserve"> </w:t>
      </w:r>
      <w:r>
        <w:t xml:space="preserve">and represent targets for intervention in many existing treatments</w:t>
      </w:r>
      <w:r>
        <w:t xml:space="preserve"> </w:t>
      </w:r>
      <w:r>
        <w:t xml:space="preserve">(McHugh, Hearon, and Otto 2010; Liese and Beck 2022; Bowen et al. 2021; Center for Substance Abuse Treatment 2006)</w:t>
      </w:r>
      <w:r>
        <w:t xml:space="preserve">. It may be that their impact is subsumed within other more powerful features (i.e., past use and self-efficacy). However, this seems unlikely given that the methodology underlying Shapley values allows for a fair distribution of importance among the relevant predictive features even when those features are correlated</w:t>
      </w:r>
      <w:r>
        <w:t xml:space="preserve"> </w:t>
      </w:r>
      <w:r>
        <w:t xml:space="preserve">(Molnar 2022)</w:t>
      </w:r>
      <w:r>
        <w:t xml:space="preserve">. Alternatively, we may need to more carefully consider the nuanced roles that these constructs play (e.g., within the context of individual coping strategies, social support or environmental factors) in the return to alcohol use during recovery</w:t>
      </w:r>
      <w:r>
        <w:t xml:space="preserve"> </w:t>
      </w:r>
      <w:r>
        <w:t xml:space="preserve">(Fronk et al. 2020)</w:t>
      </w:r>
      <w:r>
        <w:t xml:space="preserve">.</w:t>
      </w:r>
    </w:p>
    <w:bookmarkEnd w:id="82"/>
    <w:bookmarkEnd w:id="83"/>
    <w:bookmarkStart w:id="84" w:name="X40ab624ebf83813907a18dba36edd4d1d14a553"/>
    <w:p>
      <w:pPr>
        <w:pStyle w:val="Heading2"/>
      </w:pPr>
      <w:r>
        <w:t xml:space="preserve">Additional Limitations and Future Directions</w:t>
      </w:r>
    </w:p>
    <w:p>
      <w:pPr>
        <w:pStyle w:val="FirstParagraph"/>
      </w:pPr>
      <w:r>
        <w:t xml:space="preserve">We believe our lapse prediction models will be most effective when embedded in an RMSS designed to deliver adaptive and personalized continuing care. This system could send daily, weekly, or less frequent messages to users with personalized feedback about their risk of lapse and provide support recommendations tailored to their current recovery needs. This study provides initial support that immediate and lagged prediction models can be trained to high accuracy using EMA for recovery monitoring. Furthermore, locally important features from these models can be used to identify the specific factors that contribute to each lapse risk prediction.</w:t>
      </w:r>
    </w:p>
    <w:p>
      <w:pPr>
        <w:pStyle w:val="BodyText"/>
      </w:pPr>
      <w:r>
        <w:t xml:space="preserve">The no lag model can be used to guide individuals to take immediate, actionable steps to maintain their recovery goals and support them to implement these steps within the RMSS. For example, the RMSS can recommend an embedded urge surfing activity when someone’s immediate risk is driven by strong craving whereas a guided relaxation video can be provided to the user when they report stressful events. Similarly, the RMSS can encourage (and explicitly support) the user to reflect on recent past successes and/or skills they have developed when their self-efficacy is low.</w:t>
      </w:r>
    </w:p>
    <w:p>
      <w:pPr>
        <w:pStyle w:val="BodyText"/>
      </w:pPr>
      <w:r>
        <w:t xml:space="preserve">The 2-week lagged model provides individuals with advanced warning of their lapse risk. This model is well-suited to support recovery needs that cannot be addressed immediately within an RMSS app, such as scheduling positive or pleasant activities, increasing social engagement, or attending a peer-led recovery meeting. To be clear, we do not believe an RMSS app alone will be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2-week model.</w:t>
      </w:r>
    </w:p>
    <w:p>
      <w:pPr>
        <w:pStyle w:val="BodyText"/>
      </w:pPr>
      <w:r>
        <w:t xml:space="preserve">At this point, it is still unclear the best way to provide risk and support information from our models to people. For an RMSS to be successful, users must trust the system, consistently engage with the system over time, and find the system beneficial. We have recently launched an NIAAA funded project to optimize daily support messages by examining the impact of several key message components (e.g., lapse probability, locally important features, a risk-relevant recovery activity recommendation, the linguistic style and tone of the message) on engagement, trust, clinical outcomes</w:t>
      </w:r>
      <w:r>
        <w:t xml:space="preserve"> </w:t>
      </w:r>
      <w:r>
        <w:t xml:space="preserve">(Wyant et al. under review)</w:t>
      </w:r>
      <w:r>
        <w:t xml:space="preserve">.</w:t>
      </w:r>
    </w:p>
    <w:p>
      <w:pPr>
        <w:pStyle w:val="BodyText"/>
      </w:pPr>
      <w:r>
        <w:t xml:space="preserve">For a system using lagged models, we can imagine that lags longer than two weeks (i.e., more advanced warning) would be better still. In the present study, we were not able to train models with lags longer than two weeks because participants only provided lapse reports for up to three months. With two week lags, we had approximately 17% fewer labeled observations to train models because the first two weeks (out of 12 weeks) of labels for each participant were discarded. This data loss may be one factor that contributed to the decreases in model performance with increases in lag time and we believed that greater data loss (e.g., 25% for a 3-week lag) would not be tenable. We have recently completed data collection on a NIDA funded project where participants provided EMA and other sensed data for up to 12 months</w:t>
      </w:r>
      <w:r>
        <w:t xml:space="preserve"> </w:t>
      </w:r>
      <w:r>
        <w:t xml:space="preserve">(Moshontz et al. 2021)</w:t>
      </w:r>
      <w:r>
        <w:t xml:space="preserve">. These data will allow us to train models with longer lags and to better evaluate the impact of data loss on model performance because lag time can be increased substantially with proportionally less data loss given 52 weeks of labeled observations per participant.</w:t>
      </w:r>
    </w:p>
    <w:p>
      <w:pPr>
        <w:pStyle w:val="BodyText"/>
      </w:pPr>
      <w:r>
        <w:t xml:space="preserve">Our use of features from 4x daily EMA as model inputs may raise concerns about measurement burden. We confirmed that participants can comply with such EMA schedules over this time period and that they find it acceptable given its potential benefits to them</w:t>
      </w:r>
      <w:r>
        <w:t xml:space="preserve"> </w:t>
      </w:r>
      <w:r>
        <w:t xml:space="preserve">(Wyant et al. 2023; see also Jones et al. 2019)</w:t>
      </w:r>
      <w:r>
        <w:t xml:space="preserve">. However, frequent daily surveys may become too burdensome within an RMSS intended for use over many, many months to years for long-term continuing care. We have begun to address this concern by training no lag models with fewer EMAs (1x daily) and have found comparable performance</w:t>
      </w:r>
      <w:r>
        <w:t xml:space="preserve"> </w:t>
      </w:r>
      <w:r>
        <w:t xml:space="preserve">(Pulick, Curtin, and Mintz 2025)</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We have also begun to explore how we can supplement our models with data from lower burden sensing methods. Geolocation, which can be passively sensed, could compliment EMA well</w:t>
      </w:r>
      <w:r>
        <w:t xml:space="preserve"> </w:t>
      </w:r>
      <w:r>
        <w:t xml:space="preserve">(Bae et al. 2023)</w:t>
      </w:r>
      <w:r>
        <w:t xml:space="preserve">. First, it could provide insight into information not easily captured by self-report without lengthy surveys. For example, the amount of time spent in risky locations, or changes in routine (e.g., loss of job; move to new city) that could indicate life stressors can be detected in movement patterns. Second, the near-continuous sampling of geolocation could offer risk-relevant information that would otherwise be missed in between the discrete sampling periods of EMA. Furthermore, potentially powerful features can be engineered by combining geolocation data with contextual information available in public sources (e.g., census data, alcohol outlet density)</w:t>
      </w:r>
      <w:r>
        <w:t xml:space="preserve"> </w:t>
      </w:r>
      <w:r>
        <w:t xml:space="preserve">(Huang, Li, and Yue 2010; Xie, Deng, and Zhou 2009)</w:t>
      </w:r>
      <w:r>
        <w:t xml:space="preserve"> </w:t>
      </w:r>
      <w:r>
        <w:t xml:space="preserve">or collected from the user directly (e.g., self-evaluated riskiness of a given location)</w:t>
      </w:r>
      <w:r>
        <w:t xml:space="preserve"> </w:t>
      </w:r>
      <w:r>
        <w:t xml:space="preserve">(Moshontz et al. 2021)</w:t>
      </w:r>
      <w:r>
        <w:t xml:space="preserve">.</w:t>
      </w:r>
    </w:p>
    <w:bookmarkEnd w:id="84"/>
    <w:bookmarkStart w:id="85" w:name="conclusions"/>
    <w:p>
      <w:pPr>
        <w:pStyle w:val="Heading2"/>
      </w:pPr>
      <w:r>
        <w:t xml:space="preserve">Conclusions</w:t>
      </w:r>
    </w:p>
    <w:p>
      <w:pPr>
        <w:pStyle w:val="FirstParagraph"/>
      </w:pPr>
      <w:r>
        <w:t xml:space="preserve">This study suggests it is possible to accurately predict alcohol lapses both immediately and up to two weeks into the future using lagged machine learning prediction models. The no lag model could guide users to engage with a smart RMSS that provides daily recovery activities that are personalized to their lapse risk and the factors contributing to that risk. The 2-week lagged model could enable patients to seek out and implement recovery support that is not immediately available to them within the RMSS. Several important steps remain prior to implementing the no lag and 2-week lagged models within a smart RMSS. Feedback and support messages from these models should be optimized to sustain system engagement, trust, and clinical outcomes. Passive sensing of model inputs may allow assessment of a broader range of risk factors with less burden for system users. Perhaps most important, model fairness must be improved by decreasing disparities in performance for less privileged groups. We remain optimistic about the potential to implement these models within a smart RMSS because these barriers, while challenging, are surmountable.</w:t>
      </w:r>
    </w:p>
    <w:bookmarkEnd w:id="85"/>
    <w:bookmarkEnd w:id="86"/>
    <w:bookmarkStart w:id="208" w:name="references"/>
    <w:p>
      <w:pPr>
        <w:pStyle w:val="Heading1"/>
      </w:pPr>
      <w:r>
        <w:t xml:space="preserve">References</w:t>
      </w:r>
    </w:p>
    <w:bookmarkStart w:id="207" w:name="refs"/>
    <w:bookmarkStart w:id="88" w:name="X126aebe61d5329fdf5f31356b05d81ee3379203"/>
    <w:p>
      <w:pPr>
        <w:pStyle w:val="Bibliography"/>
      </w:pPr>
      <w:r>
        <w:t xml:space="preserve">Aczel, Balazs, Barnabas Szaszi, Alexandra Sarafoglou, Zoltan Kekecs, Šimon Kucharský, Daniel Benjamin, Christopher D. Chambers, et al. 2019.</w:t>
      </w:r>
      <w:r>
        <w:t xml:space="preserve"> </w:t>
      </w:r>
      <w:r>
        <w:t xml:space="preserve">“A Consensus-Based Transparency Checklist.”</w:t>
      </w:r>
      <w:r>
        <w:t xml:space="preserve"> </w:t>
      </w:r>
      <w:r>
        <w:rPr>
          <w:i/>
          <w:iCs/>
        </w:rPr>
        <w:t xml:space="preserve">Nature Human Behaviour</w:t>
      </w:r>
      <w:r>
        <w:t xml:space="preserve">, December, 1–3.</w:t>
      </w:r>
      <w:r>
        <w:t xml:space="preserve"> </w:t>
      </w:r>
      <w:hyperlink r:id="rId87">
        <w:r>
          <w:rPr>
            <w:rStyle w:val="Hyperlink"/>
          </w:rPr>
          <w:t xml:space="preserve">https://doi.org/10.1038/s41562-019-0772-6</w:t>
        </w:r>
      </w:hyperlink>
      <w:r>
        <w:t xml:space="preserve">.</w:t>
      </w:r>
    </w:p>
    <w:bookmarkEnd w:id="88"/>
    <w:bookmarkStart w:id="90" w:name="ref-baeLeveragingMobilePhone2023"/>
    <w:p>
      <w:pPr>
        <w:pStyle w:val="Bibliography"/>
      </w:pPr>
      <w:r>
        <w:t xml:space="preserve">Bae, Sang Won, Brian Suffoletto, Tongze Zhang, Tammy Chung, Melik Ozolcer, Mohammad Rahul Islam, and Anind Dey. 2023.</w:t>
      </w:r>
      <w:r>
        <w:t xml:space="preserve"> </w:t>
      </w:r>
      <w:r>
        <w:t xml:space="preserve">“Leveraging</w:t>
      </w:r>
      <w:r>
        <w:t xml:space="preserve"> </w:t>
      </w:r>
      <w:r>
        <w:t xml:space="preserve">Mobile Phone Sensors</w:t>
      </w:r>
      <w:r>
        <w:t xml:space="preserve">,</w:t>
      </w:r>
      <w:r>
        <w:t xml:space="preserve"> </w:t>
      </w:r>
      <w:r>
        <w:t xml:space="preserve">Machine Learning</w:t>
      </w:r>
      <w:r>
        <w:t xml:space="preserve"> </w:t>
      </w:r>
      <w:r>
        <w:t xml:space="preserve">and</w:t>
      </w:r>
      <w:r>
        <w:t xml:space="preserve"> </w:t>
      </w:r>
      <w:r>
        <w:t xml:space="preserve">Explainable Artificial Intelligence</w:t>
      </w:r>
      <w:r>
        <w:t xml:space="preserve"> </w:t>
      </w:r>
      <w:r>
        <w:t xml:space="preserve">to</w:t>
      </w:r>
      <w:r>
        <w:t xml:space="preserve"> </w:t>
      </w:r>
      <w:r>
        <w:t xml:space="preserve">Predict Imminent Same-Day Binge Drinking Events</w:t>
      </w:r>
      <w:r>
        <w:t xml:space="preserve"> </w:t>
      </w:r>
      <w:r>
        <w:t xml:space="preserve">to</w:t>
      </w:r>
      <w:r>
        <w:t xml:space="preserve"> </w:t>
      </w:r>
      <w:r>
        <w:t xml:space="preserve">Support Just-In-Time Adaptive Interventions</w:t>
      </w:r>
      <w:r>
        <w:t xml:space="preserve">:</w:t>
      </w:r>
      <w:r>
        <w:t xml:space="preserve"> </w:t>
      </w:r>
      <w:r>
        <w:t xml:space="preserve">A Feasibility Study</w:t>
      </w:r>
      <w:r>
        <w:t xml:space="preserve">.”</w:t>
      </w:r>
      <w:r>
        <w:t xml:space="preserve"> </w:t>
      </w:r>
      <w:r>
        <w:rPr>
          <w:i/>
          <w:iCs/>
        </w:rPr>
        <w:t xml:space="preserve">JMIR Formative Research</w:t>
      </w:r>
      <w:r>
        <w:t xml:space="preserve">, February.</w:t>
      </w:r>
      <w:r>
        <w:t xml:space="preserve"> </w:t>
      </w:r>
      <w:hyperlink r:id="rId89">
        <w:r>
          <w:rPr>
            <w:rStyle w:val="Hyperlink"/>
          </w:rPr>
          <w:t xml:space="preserve">https://doi.org/10.2196/39862</w:t>
        </w:r>
      </w:hyperlink>
      <w:r>
        <w:t xml:space="preserve">.</w:t>
      </w:r>
    </w:p>
    <w:bookmarkEnd w:id="90"/>
    <w:bookmarkStart w:id="92"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91">
        <w:r>
          <w:rPr>
            <w:rStyle w:val="Hyperlink"/>
          </w:rPr>
          <w:t xml:space="preserve">https://doi.org/10.1007/s10488-016-0718-5</w:t>
        </w:r>
      </w:hyperlink>
      <w:r>
        <w:t xml:space="preserve">.</w:t>
      </w:r>
    </w:p>
    <w:bookmarkEnd w:id="92"/>
    <w:bookmarkStart w:id="93" w:name="ref-bleiLatentDirichletAllocation2003"/>
    <w:p>
      <w:pPr>
        <w:pStyle w:val="Bibliography"/>
      </w:pPr>
      <w:r>
        <w:t xml:space="preserve">Blei, David M., Andrew Y. Ng, and Michael I. Jordan. 2003.</w:t>
      </w:r>
      <w:r>
        <w:t xml:space="preserve"> </w:t>
      </w:r>
      <w:r>
        <w:t xml:space="preserve">“Latent Dirichlet Allocation.”</w:t>
      </w:r>
      <w:r>
        <w:t xml:space="preserve"> </w:t>
      </w:r>
      <w:r>
        <w:rPr>
          <w:i/>
          <w:iCs/>
        </w:rPr>
        <w:t xml:space="preserve">J. Mach. Learn. Res.</w:t>
      </w:r>
      <w:r>
        <w:t xml:space="preserve"> </w:t>
      </w:r>
      <w:r>
        <w:t xml:space="preserve">3 (null): 993–1022.</w:t>
      </w:r>
    </w:p>
    <w:bookmarkEnd w:id="93"/>
    <w:bookmarkStart w:id="94"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94"/>
    <w:bookmarkStart w:id="96"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95">
        <w:r>
          <w:rPr>
            <w:rStyle w:val="Hyperlink"/>
          </w:rPr>
          <w:t xml:space="preserve">https://doi.org/10.1146/annurev.clinpsy.3.022806.091455</w:t>
        </w:r>
      </w:hyperlink>
      <w:r>
        <w:t xml:space="preserve">.</w:t>
      </w:r>
    </w:p>
    <w:bookmarkEnd w:id="96"/>
    <w:bookmarkStart w:id="98"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97">
        <w:r>
          <w:rPr>
            <w:rStyle w:val="Hyperlink"/>
          </w:rPr>
          <w:t xml:space="preserve">https://doi.org/10.21231/GNT1-HW21</w:t>
        </w:r>
      </w:hyperlink>
      <w:r>
        <w:t xml:space="preserve">.</w:t>
      </w:r>
    </w:p>
    <w:bookmarkEnd w:id="98"/>
    <w:bookmarkStart w:id="99" w:name="X8e0e943878d1a2c3026b4a46f6c482e09849b94"/>
    <w:p>
      <w:pPr>
        <w:pStyle w:val="Bibliography"/>
      </w:pPr>
      <w:r>
        <w:t xml:space="preserve">Center for Substance Abuse Treatment. 2006.</w:t>
      </w:r>
      <w:r>
        <w:t xml:space="preserve"> </w:t>
      </w:r>
      <w:r>
        <w:rPr>
          <w:i/>
          <w:iCs/>
        </w:rPr>
        <w:t xml:space="preserve">Counselor’s</w:t>
      </w:r>
      <w:r>
        <w:rPr>
          <w:i/>
          <w:iCs/>
        </w:rPr>
        <w:t xml:space="preserve"> </w:t>
      </w:r>
      <w:r>
        <w:rPr>
          <w:i/>
          <w:iCs/>
        </w:rPr>
        <w:t xml:space="preserve">Treatment Manual</w:t>
      </w:r>
      <w:r>
        <w:rPr>
          <w:i/>
          <w:iCs/>
        </w:rPr>
        <w:t xml:space="preserve">:</w:t>
      </w:r>
      <w:r>
        <w:rPr>
          <w:i/>
          <w:iCs/>
        </w:rPr>
        <w:t xml:space="preserve"> </w:t>
      </w:r>
      <w:r>
        <w:rPr>
          <w:i/>
          <w:iCs/>
        </w:rPr>
        <w:t xml:space="preserve">Matrix Intensive Outpatient Treatment</w:t>
      </w:r>
      <w:r>
        <w:rPr>
          <w:i/>
          <w:iCs/>
        </w:rPr>
        <w:t xml:space="preserve"> </w:t>
      </w:r>
      <w:r>
        <w:rPr>
          <w:i/>
          <w:iCs/>
        </w:rPr>
        <w:t xml:space="preserve">for</w:t>
      </w:r>
      <w:r>
        <w:rPr>
          <w:i/>
          <w:iCs/>
        </w:rPr>
        <w:t xml:space="preserve"> </w:t>
      </w:r>
      <w:r>
        <w:rPr>
          <w:i/>
          <w:iCs/>
        </w:rPr>
        <w:t xml:space="preserve">People With Stimulant Use Disorders</w:t>
      </w:r>
      <w:r>
        <w:t xml:space="preserve">.</w:t>
      </w:r>
      <w:r>
        <w:t xml:space="preserve"> </w:t>
      </w:r>
      <w:r>
        <w:t xml:space="preserve">HHS Publication No</w:t>
      </w:r>
      <w:r>
        <w:t xml:space="preserve">. (</w:t>
      </w:r>
      <w:r>
        <w:t xml:space="preserve">SMA</w:t>
      </w:r>
      <w:r>
        <w:t xml:space="preserve">) 13-4152. Rockville, MD:</w:t>
      </w:r>
      <w:r>
        <w:t xml:space="preserve"> </w:t>
      </w:r>
      <w:r>
        <w:t xml:space="preserve">Substance Abuse and Mental Health Services Administration</w:t>
      </w:r>
      <w:r>
        <w:t xml:space="preserve">.</w:t>
      </w:r>
    </w:p>
    <w:bookmarkEnd w:id="99"/>
    <w:bookmarkStart w:id="100"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100"/>
    <w:bookmarkStart w:id="102" w:name="Xb70ed90433964dc3a7ede0ee8357d97241623cc"/>
    <w:p>
      <w:pPr>
        <w:pStyle w:val="Bibliography"/>
      </w:pPr>
      <w:r>
        <w:t xml:space="preserve">David, Sarah Jo, Andrew J. Marshall, Emma K. Evanovich, and Gregory H. Mumma. 2018.</w:t>
      </w:r>
      <w:r>
        <w:t xml:space="preserve"> </w:t>
      </w:r>
      <w:r>
        <w:t xml:space="preserve">“Intraindividual</w:t>
      </w:r>
      <w:r>
        <w:t xml:space="preserve"> </w:t>
      </w:r>
      <w:r>
        <w:t xml:space="preserve">Dynamic Network Analysis</w:t>
      </w:r>
      <w:r>
        <w:t xml:space="preserve"> </w:t>
      </w:r>
      <w:r>
        <w:t xml:space="preserve">-</w:t>
      </w:r>
      <w:r>
        <w:t xml:space="preserve"> </w:t>
      </w:r>
      <w:r>
        <w:t xml:space="preserve">Implications</w:t>
      </w:r>
      <w:r>
        <w:t xml:space="preserve"> </w:t>
      </w:r>
      <w:r>
        <w:t xml:space="preserve">for</w:t>
      </w:r>
      <w:r>
        <w:t xml:space="preserve"> </w:t>
      </w:r>
      <w:r>
        <w:t xml:space="preserve">Clinical Assessment</w:t>
      </w:r>
      <w:r>
        <w:t xml:space="preserve">.”</w:t>
      </w:r>
      <w:r>
        <w:t xml:space="preserve"> </w:t>
      </w:r>
      <w:r>
        <w:rPr>
          <w:i/>
          <w:iCs/>
        </w:rPr>
        <w:t xml:space="preserve">Journal of Psychopathology and Behavioral Assessment</w:t>
      </w:r>
      <w:r>
        <w:t xml:space="preserve"> </w:t>
      </w:r>
      <w:r>
        <w:t xml:space="preserve">40 (2): 235–48.</w:t>
      </w:r>
      <w:r>
        <w:t xml:space="preserve"> </w:t>
      </w:r>
      <w:hyperlink r:id="rId101">
        <w:r>
          <w:rPr>
            <w:rStyle w:val="Hyperlink"/>
          </w:rPr>
          <w:t xml:space="preserve">https://doi.org/10.1007/s10862-017-9632-8</w:t>
        </w:r>
      </w:hyperlink>
      <w:r>
        <w:t xml:space="preserve">.</w:t>
      </w:r>
    </w:p>
    <w:bookmarkEnd w:id="102"/>
    <w:bookmarkStart w:id="104" w:name="ref-dennisManagingAddictionChronic2007"/>
    <w:p>
      <w:pPr>
        <w:pStyle w:val="Bibliography"/>
      </w:pPr>
      <w:r>
        <w:t xml:space="preserve">Dennis, Michael, and Christy K Scott. 2007.</w:t>
      </w:r>
      <w:r>
        <w:t xml:space="preserve"> </w:t>
      </w:r>
      <w:r>
        <w:t xml:space="preserve">“</w:t>
      </w:r>
      <w:hyperlink r:id="rId103">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104"/>
    <w:bookmarkStart w:id="105" w:name="ref-derogatislBriefSymptomInventory"/>
    <w:p>
      <w:pPr>
        <w:pStyle w:val="Bibliography"/>
      </w:pPr>
      <w:r>
        <w:t xml:space="preserve">Derogatis, L.R. 2000.</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105"/>
    <w:bookmarkStart w:id="107"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106">
        <w:r>
          <w:rPr>
            <w:rStyle w:val="Hyperlink"/>
          </w:rPr>
          <w:t xml:space="preserve">https://doi.org/10.1016/j.brat.2019.103506</w:t>
        </w:r>
      </w:hyperlink>
      <w:r>
        <w:t xml:space="preserve">.</w:t>
      </w:r>
    </w:p>
    <w:bookmarkEnd w:id="107"/>
    <w:bookmarkStart w:id="109" w:name="ref-devlinBERTPretrainingDeep2019"/>
    <w:p>
      <w:pPr>
        <w:pStyle w:val="Bibliography"/>
      </w:pPr>
      <w:r>
        <w:t xml:space="preserve">Devlin, Jacob, Ming-Wei Chang, Kenton Lee, and Kristina Toutanova. 2019.</w:t>
      </w:r>
      <w:r>
        <w:t xml:space="preserve"> </w:t>
      </w:r>
      <w:r>
        <w:t xml:space="preserve">“</w:t>
      </w:r>
      <w:r>
        <w:t xml:space="preserve">BERT</w:t>
      </w:r>
      <w:r>
        <w:t xml:space="preserve">:</w:t>
      </w:r>
      <w:r>
        <w:t xml:space="preserve"> </w:t>
      </w:r>
      <w:r>
        <w:t xml:space="preserve">Pre-training</w:t>
      </w:r>
      <w:r>
        <w:t xml:space="preserve"> </w:t>
      </w:r>
      <w:r>
        <w:t xml:space="preserve">of</w:t>
      </w:r>
      <w:r>
        <w:t xml:space="preserve"> </w:t>
      </w:r>
      <w:r>
        <w:t xml:space="preserve">Deep Bidirectional Transformers</w:t>
      </w:r>
      <w:r>
        <w:t xml:space="preserve"> </w:t>
      </w:r>
      <w:r>
        <w:t xml:space="preserve">for</w:t>
      </w:r>
      <w:r>
        <w:t xml:space="preserve"> </w:t>
      </w:r>
      <w:r>
        <w:t xml:space="preserve">Language Understanding</w:t>
      </w:r>
      <w:r>
        <w:t xml:space="preserve">.”</w:t>
      </w:r>
      <w:r>
        <w:t xml:space="preserve"> </w:t>
      </w:r>
      <w:r>
        <w:t xml:space="preserve">arXiv.</w:t>
      </w:r>
      <w:r>
        <w:t xml:space="preserve"> </w:t>
      </w:r>
      <w:hyperlink r:id="rId108">
        <w:r>
          <w:rPr>
            <w:rStyle w:val="Hyperlink"/>
          </w:rPr>
          <w:t xml:space="preserve">https://doi.org/10.48550/arXiv.1810.04805</w:t>
        </w:r>
      </w:hyperlink>
      <w:r>
        <w:t xml:space="preserve">.</w:t>
      </w:r>
    </w:p>
    <w:bookmarkEnd w:id="109"/>
    <w:bookmarkStart w:id="111" w:name="ref-fagerlinMakingNumbersMatter2007"/>
    <w:p>
      <w:pPr>
        <w:pStyle w:val="Bibliography"/>
      </w:pPr>
      <w:r>
        <w:t xml:space="preserve">Fagerlin, Angela, Peter A. Ubel, Dylan M. Smith, and Brian J. Zikmund-Fisher. 2007.</w:t>
      </w:r>
      <w:r>
        <w:t xml:space="preserve"> </w:t>
      </w:r>
      <w:r>
        <w:t xml:space="preserve">“Making Numbers Matter: Present and Future Research in Risk Communication.”</w:t>
      </w:r>
      <w:r>
        <w:t xml:space="preserve"> </w:t>
      </w:r>
      <w:r>
        <w:rPr>
          <w:i/>
          <w:iCs/>
        </w:rPr>
        <w:t xml:space="preserve">American Journal of Health Behavior</w:t>
      </w:r>
      <w:r>
        <w:t xml:space="preserve"> </w:t>
      </w:r>
      <w:r>
        <w:t xml:space="preserve">31 Suppl 1: S47–56.</w:t>
      </w:r>
      <w:r>
        <w:t xml:space="preserve"> </w:t>
      </w:r>
      <w:hyperlink r:id="rId110">
        <w:r>
          <w:rPr>
            <w:rStyle w:val="Hyperlink"/>
          </w:rPr>
          <w:t xml:space="preserve">https://doi.org/10.5555/ajhb.2007.31.supp.S47</w:t>
        </w:r>
      </w:hyperlink>
      <w:r>
        <w:t xml:space="preserve">.</w:t>
      </w:r>
    </w:p>
    <w:bookmarkEnd w:id="111"/>
    <w:bookmarkStart w:id="113" w:name="ref-fisherDynamicModelPsychological2015"/>
    <w:p>
      <w:pPr>
        <w:pStyle w:val="Bibliography"/>
      </w:pPr>
      <w:r>
        <w:t xml:space="preserve">Fisher, Aaron J. 2015.</w:t>
      </w:r>
      <w:r>
        <w:t xml:space="preserve"> </w:t>
      </w:r>
      <w:r>
        <w:t xml:space="preserve">“Toward a Dynamic Model of Psychological Assessment:</w:t>
      </w:r>
      <w:r>
        <w:t xml:space="preserve"> </w:t>
      </w:r>
      <w:r>
        <w:t xml:space="preserve">Implications</w:t>
      </w:r>
      <w:r>
        <w:t xml:space="preserve"> </w:t>
      </w:r>
      <w:r>
        <w:t xml:space="preserve">for Personalized Care.”</w:t>
      </w:r>
      <w:r>
        <w:t xml:space="preserve"> </w:t>
      </w:r>
      <w:r>
        <w:rPr>
          <w:i/>
          <w:iCs/>
        </w:rPr>
        <w:t xml:space="preserve">Journal of Consulting and Clinical Psychology</w:t>
      </w:r>
      <w:r>
        <w:t xml:space="preserve"> </w:t>
      </w:r>
      <w:r>
        <w:t xml:space="preserve">83 (4): 825–36.</w:t>
      </w:r>
      <w:r>
        <w:t xml:space="preserve"> </w:t>
      </w:r>
      <w:hyperlink r:id="rId112">
        <w:r>
          <w:rPr>
            <w:rStyle w:val="Hyperlink"/>
          </w:rPr>
          <w:t xml:space="preserve">https://doi.org/10.1037/ccp0000026</w:t>
        </w:r>
      </w:hyperlink>
      <w:r>
        <w:t xml:space="preserve">.</w:t>
      </w:r>
    </w:p>
    <w:bookmarkEnd w:id="113"/>
    <w:bookmarkStart w:id="115" w:name="ref-fronkStressAllostasisSubstance2020"/>
    <w:p>
      <w:pPr>
        <w:pStyle w:val="Bibliography"/>
      </w:pPr>
      <w:r>
        <w:t xml:space="preserve">Fronk, Gaylen E., Sarah J. Sant’Ana, Jesse T. Kaye, and John J. Curtin. 2020.</w:t>
      </w:r>
      <w:r>
        <w:t xml:space="preserve"> </w:t>
      </w:r>
      <w:r>
        <w:t xml:space="preserve">“Stress</w:t>
      </w:r>
      <w:r>
        <w:t xml:space="preserve"> </w:t>
      </w:r>
      <w:r>
        <w:t xml:space="preserve">Allostasis</w:t>
      </w:r>
      <w:r>
        <w:t xml:space="preserve"> </w:t>
      </w:r>
      <w:r>
        <w:t xml:space="preserve">in</w:t>
      </w:r>
      <w:r>
        <w:t xml:space="preserve"> </w:t>
      </w:r>
      <w:r>
        <w:t xml:space="preserve">Substance Use Disorders</w:t>
      </w:r>
      <w:r>
        <w:t xml:space="preserve">:</w:t>
      </w:r>
      <w:r>
        <w:t xml:space="preserve"> </w:t>
      </w:r>
      <w:r>
        <w:t xml:space="preserve">Promise</w:t>
      </w:r>
      <w:r>
        <w:t xml:space="preserve">,</w:t>
      </w:r>
      <w:r>
        <w:t xml:space="preserve"> </w:t>
      </w:r>
      <w:r>
        <w:t xml:space="preserve">Progress</w:t>
      </w:r>
      <w:r>
        <w:t xml:space="preserve">, and</w:t>
      </w:r>
      <w:r>
        <w:t xml:space="preserve"> </w:t>
      </w:r>
      <w:r>
        <w:t xml:space="preserve">Emerging Priorities</w:t>
      </w:r>
      <w:r>
        <w:t xml:space="preserve"> </w:t>
      </w:r>
      <w:r>
        <w:t xml:space="preserve">in</w:t>
      </w:r>
      <w:r>
        <w:t xml:space="preserve"> </w:t>
      </w:r>
      <w:r>
        <w:t xml:space="preserve">Clinical Research</w:t>
      </w:r>
      <w:r>
        <w:t xml:space="preserve">.”</w:t>
      </w:r>
      <w:r>
        <w:t xml:space="preserve"> </w:t>
      </w:r>
      <w:r>
        <w:rPr>
          <w:i/>
          <w:iCs/>
        </w:rPr>
        <w:t xml:space="preserve">Annual Review of Clinical Psychology</w:t>
      </w:r>
      <w:r>
        <w:t xml:space="preserve"> </w:t>
      </w:r>
      <w:r>
        <w:t xml:space="preserve">16 (1): 401–30.</w:t>
      </w:r>
      <w:r>
        <w:t xml:space="preserve"> </w:t>
      </w:r>
      <w:hyperlink r:id="rId114">
        <w:r>
          <w:rPr>
            <w:rStyle w:val="Hyperlink"/>
          </w:rPr>
          <w:t xml:space="preserve">https://doi.org/10.1146/annurev-clinpsy-102419-125016</w:t>
        </w:r>
      </w:hyperlink>
      <w:r>
        <w:t xml:space="preserve">.</w:t>
      </w:r>
    </w:p>
    <w:bookmarkEnd w:id="115"/>
    <w:bookmarkStart w:id="116"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116"/>
    <w:bookmarkStart w:id="117"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117"/>
    <w:bookmarkStart w:id="119"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118">
        <w:r>
          <w:rPr>
            <w:rStyle w:val="Hyperlink"/>
          </w:rPr>
          <w:t xml:space="preserve">https://doi.org/10.1016/j.drugalcdep.2006.05.012</w:t>
        </w:r>
      </w:hyperlink>
      <w:r>
        <w:t xml:space="preserve">.</w:t>
      </w:r>
    </w:p>
    <w:bookmarkEnd w:id="119"/>
    <w:bookmarkStart w:id="120"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120"/>
    <w:bookmarkStart w:id="121" w:name="ref-hedegaardDrugOverdoseDeaths2021"/>
    <w:p>
      <w:pPr>
        <w:pStyle w:val="Bibliography"/>
      </w:pPr>
      <w:r>
        <w:t xml:space="preserve">Hedegaard, Holly, Arialdi M. Miniño, Merianne Rose Spencer, and Margaret Warner. 2021.</w:t>
      </w:r>
      <w:r>
        <w:t xml:space="preserve"> </w:t>
      </w:r>
      <w:r>
        <w:t xml:space="preserve">“Drug Overdose Deaths in the</w:t>
      </w:r>
      <w:r>
        <w:t xml:space="preserve"> </w:t>
      </w:r>
      <w:r>
        <w:t xml:space="preserve">United States</w:t>
      </w:r>
      <w:r>
        <w:t xml:space="preserve">, 1999–2020.”</w:t>
      </w:r>
    </w:p>
    <w:bookmarkEnd w:id="121"/>
    <w:bookmarkStart w:id="122"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122"/>
    <w:bookmarkStart w:id="124" w:name="ref-huangActivityIdentificationGPS2010"/>
    <w:p>
      <w:pPr>
        <w:pStyle w:val="Bibliography"/>
      </w:pPr>
      <w:r>
        <w:t xml:space="preserve">Huang, Lian, Qingquan Li, and Yang Yue. 2010.</w:t>
      </w:r>
      <w:r>
        <w:t xml:space="preserve"> </w:t>
      </w:r>
      <w:r>
        <w:t xml:space="preserve">“Activity Identification from</w:t>
      </w:r>
      <w:r>
        <w:t xml:space="preserve"> </w:t>
      </w:r>
      <w:r>
        <w:t xml:space="preserve">GPS</w:t>
      </w:r>
      <w:r>
        <w:t xml:space="preserve"> </w:t>
      </w:r>
      <w:r>
        <w:t xml:space="preserve">Trajectories Using Spatial Temporal</w:t>
      </w:r>
      <w:r>
        <w:t xml:space="preserve"> </w:t>
      </w:r>
      <w:r>
        <w:t xml:space="preserve">POIs</w:t>
      </w:r>
      <w:r>
        <w:t xml:space="preserve">’ Attractiveness.”</w:t>
      </w:r>
      <w:r>
        <w:t xml:space="preserve"> </w:t>
      </w:r>
      <w:r>
        <w:t xml:space="preserve">In</w:t>
      </w:r>
      <w:r>
        <w:t xml:space="preserve"> </w:t>
      </w:r>
      <w:r>
        <w:rPr>
          <w:i/>
          <w:iCs/>
        </w:rPr>
        <w:t xml:space="preserve">Proceedings of the 2nd</w:t>
      </w:r>
      <w:r>
        <w:rPr>
          <w:i/>
          <w:iCs/>
        </w:rPr>
        <w:t xml:space="preserve"> </w:t>
      </w:r>
      <w:r>
        <w:rPr>
          <w:i/>
          <w:iCs/>
        </w:rPr>
        <w:t xml:space="preserve">ACM SIGSPATIAL International Workshop</w:t>
      </w:r>
      <w:r>
        <w:rPr>
          <w:i/>
          <w:iCs/>
        </w:rPr>
        <w:t xml:space="preserve"> </w:t>
      </w:r>
      <w:r>
        <w:rPr>
          <w:i/>
          <w:iCs/>
        </w:rPr>
        <w:t xml:space="preserve">on</w:t>
      </w:r>
      <w:r>
        <w:rPr>
          <w:i/>
          <w:iCs/>
        </w:rPr>
        <w:t xml:space="preserve"> </w:t>
      </w:r>
      <w:r>
        <w:rPr>
          <w:i/>
          <w:iCs/>
        </w:rPr>
        <w:t xml:space="preserve">Location Based Social Networks</w:t>
      </w:r>
      <w:r>
        <w:t xml:space="preserve">, 27–30.</w:t>
      </w:r>
      <w:r>
        <w:t xml:space="preserve"> </w:t>
      </w:r>
      <w:r>
        <w:t xml:space="preserve">LBSN</w:t>
      </w:r>
      <w:r>
        <w:t xml:space="preserve"> </w:t>
      </w:r>
      <w:r>
        <w:t xml:space="preserve">’10. New York, NY, USA: Association for Computing Machinery.</w:t>
      </w:r>
      <w:r>
        <w:t xml:space="preserve"> </w:t>
      </w:r>
      <w:hyperlink r:id="rId123">
        <w:r>
          <w:rPr>
            <w:rStyle w:val="Hyperlink"/>
          </w:rPr>
          <w:t xml:space="preserve">https://doi.org/10.1145/1867699.1867704</w:t>
        </w:r>
      </w:hyperlink>
      <w:r>
        <w:t xml:space="preserve">.</w:t>
      </w:r>
    </w:p>
    <w:bookmarkEnd w:id="124"/>
    <w:bookmarkStart w:id="126"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125">
        <w:r>
          <w:rPr>
            <w:rStyle w:val="Hyperlink"/>
          </w:rPr>
          <w:t xml:space="preserve">https://doi.org/10/gfsjzg</w:t>
        </w:r>
      </w:hyperlink>
      <w:r>
        <w:t xml:space="preserve">.</w:t>
      </w:r>
    </w:p>
    <w:bookmarkEnd w:id="126"/>
    <w:bookmarkStart w:id="128"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27">
        <w:r>
          <w:rPr>
            <w:rStyle w:val="Hyperlink"/>
          </w:rPr>
          <w:t xml:space="preserve">https://doi.org/10.1001/jamanetworkopen.2020.5852</w:t>
        </w:r>
      </w:hyperlink>
      <w:r>
        <w:t xml:space="preserve">.</w:t>
      </w:r>
    </w:p>
    <w:bookmarkEnd w:id="128"/>
    <w:bookmarkStart w:id="130"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29">
        <w:r>
          <w:rPr>
            <w:rStyle w:val="Hyperlink"/>
          </w:rPr>
          <w:t xml:space="preserve">https://doi.org/10.1007/s11920-012-0296-5</w:t>
        </w:r>
      </w:hyperlink>
      <w:r>
        <w:t xml:space="preserve">.</w:t>
      </w:r>
    </w:p>
    <w:bookmarkEnd w:id="130"/>
    <w:bookmarkStart w:id="131"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31"/>
    <w:bookmarkStart w:id="133"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32">
        <w:r>
          <w:rPr>
            <w:rStyle w:val="Hyperlink"/>
          </w:rPr>
          <w:t xml:space="preserve">https://doi.org/10.1007/978-1-4614-6849-3</w:t>
        </w:r>
      </w:hyperlink>
      <w:r>
        <w:t xml:space="preserve">.</w:t>
      </w:r>
    </w:p>
    <w:bookmarkEnd w:id="133"/>
    <w:bookmarkStart w:id="134"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34"/>
    <w:bookmarkStart w:id="136" w:name="ref-leeUrbanRuralDisparities2023"/>
    <w:p>
      <w:pPr>
        <w:pStyle w:val="Bibliography"/>
      </w:pPr>
      <w:r>
        <w:t xml:space="preserve">Lee, Jong Hyung, David C. Wheeler, Emily B. Zimmerman, Anika L. Hines, and Derek A. Chapman. 2023.</w:t>
      </w:r>
      <w:r>
        <w:t xml:space="preserve"> </w:t>
      </w:r>
      <w:r>
        <w:t xml:space="preserve">“Urban–</w:t>
      </w:r>
      <w:r>
        <w:t xml:space="preserve">Rural Disparities</w:t>
      </w:r>
      <w:r>
        <w:t xml:space="preserve"> </w:t>
      </w:r>
      <w:r>
        <w:t xml:space="preserve">in</w:t>
      </w:r>
      <w:r>
        <w:t xml:space="preserve"> </w:t>
      </w:r>
      <w:r>
        <w:t xml:space="preserve">Deaths</w:t>
      </w:r>
      <w:r>
        <w:t xml:space="preserve"> </w:t>
      </w:r>
      <w:r>
        <w:t xml:space="preserve">of</w:t>
      </w:r>
      <w:r>
        <w:t xml:space="preserve"> </w:t>
      </w:r>
      <w:r>
        <w:t xml:space="preserve">Despair</w:t>
      </w:r>
      <w:r>
        <w:t xml:space="preserve">:</w:t>
      </w:r>
      <w:r>
        <w:t xml:space="preserve"> </w:t>
      </w:r>
      <w:r>
        <w:t xml:space="preserve">A County-Level Analysis</w:t>
      </w:r>
      <w:r>
        <w:t xml:space="preserve"> </w:t>
      </w:r>
      <w:r>
        <w:t xml:space="preserve">2004–2016 in the</w:t>
      </w:r>
      <w:r>
        <w:t xml:space="preserve"> </w:t>
      </w:r>
      <w:r>
        <w:t xml:space="preserve">U</w:t>
      </w:r>
      <w:r>
        <w:t xml:space="preserve">.</w:t>
      </w:r>
      <w:r>
        <w:t xml:space="preserve">S</w:t>
      </w:r>
      <w:r>
        <w:t xml:space="preserve">.”</w:t>
      </w:r>
      <w:r>
        <w:t xml:space="preserve"> </w:t>
      </w:r>
      <w:r>
        <w:rPr>
          <w:i/>
          <w:iCs/>
        </w:rPr>
        <w:t xml:space="preserve">American Journal of Preventive Medicine</w:t>
      </w:r>
      <w:r>
        <w:t xml:space="preserve"> </w:t>
      </w:r>
      <w:r>
        <w:t xml:space="preserve">64 (2): 149–56.</w:t>
      </w:r>
      <w:r>
        <w:t xml:space="preserve"> </w:t>
      </w:r>
      <w:hyperlink r:id="rId135">
        <w:r>
          <w:rPr>
            <w:rStyle w:val="Hyperlink"/>
          </w:rPr>
          <w:t xml:space="preserve">https://doi.org/10.1016/j.amepre.2022.08.022</w:t>
        </w:r>
      </w:hyperlink>
      <w:r>
        <w:t xml:space="preserve">.</w:t>
      </w:r>
    </w:p>
    <w:bookmarkEnd w:id="136"/>
    <w:bookmarkStart w:id="137" w:name="X0943ff04c0b05099bf4a8c8078db37e3463cff7"/>
    <w:p>
      <w:pPr>
        <w:pStyle w:val="Bibliography"/>
      </w:pPr>
      <w:r>
        <w:t xml:space="preserve">Liese, Bruce S., and Aaron T. Beck. 2022.</w:t>
      </w:r>
      <w:r>
        <w:t xml:space="preserve"> </w:t>
      </w:r>
      <w:r>
        <w:rPr>
          <w:i/>
          <w:iCs/>
        </w:rPr>
        <w:t xml:space="preserve">Cognitive-</w:t>
      </w:r>
      <w:r>
        <w:rPr>
          <w:i/>
          <w:iCs/>
        </w:rPr>
        <w:t xml:space="preserve">Behavioral Therapy</w:t>
      </w:r>
      <w:r>
        <w:rPr>
          <w:i/>
          <w:iCs/>
        </w:rPr>
        <w:t xml:space="preserve"> </w:t>
      </w:r>
      <w:r>
        <w:rPr>
          <w:i/>
          <w:iCs/>
        </w:rPr>
        <w:t xml:space="preserve">of</w:t>
      </w:r>
      <w:r>
        <w:rPr>
          <w:i/>
          <w:iCs/>
        </w:rPr>
        <w:t xml:space="preserve"> </w:t>
      </w:r>
      <w:r>
        <w:rPr>
          <w:i/>
          <w:iCs/>
        </w:rPr>
        <w:t xml:space="preserve">Addictive Disorders</w:t>
      </w:r>
      <w:r>
        <w:t xml:space="preserve">. First edition. New York: The Guilford Press.</w:t>
      </w:r>
    </w:p>
    <w:bookmarkEnd w:id="137"/>
    <w:bookmarkStart w:id="139" w:name="Xaa720cc9c8d959b428cd2035783815a9cba15e0"/>
    <w:p>
      <w:pPr>
        <w:pStyle w:val="Bibliography"/>
      </w:pPr>
      <w:r>
        <w:t xml:space="preserve">Lister, Jamey J., Addie Weaver, Jennifer D. Ellis, Joseph A. Himle, and David M. Ledgerwood. 2020.</w:t>
      </w:r>
      <w:r>
        <w:t xml:space="preserve"> </w:t>
      </w:r>
      <w:r>
        <w:t xml:space="preserve">“A Systematic Review of Rural-Specific Barriers to Medication Treatment for Opioid Use Disorder in the</w:t>
      </w:r>
      <w:r>
        <w:t xml:space="preserve"> </w:t>
      </w:r>
      <w:r>
        <w:t xml:space="preserve">United States</w:t>
      </w:r>
      <w:r>
        <w:t xml:space="preserve">.”</w:t>
      </w:r>
      <w:r>
        <w:t xml:space="preserve"> </w:t>
      </w:r>
      <w:r>
        <w:rPr>
          <w:i/>
          <w:iCs/>
        </w:rPr>
        <w:t xml:space="preserve">The American Journal of Drug and Alcohol Abuse</w:t>
      </w:r>
      <w:r>
        <w:t xml:space="preserve"> </w:t>
      </w:r>
      <w:r>
        <w:t xml:space="preserve">46 (3): 273–88.</w:t>
      </w:r>
      <w:r>
        <w:t xml:space="preserve"> </w:t>
      </w:r>
      <w:hyperlink r:id="rId138">
        <w:r>
          <w:rPr>
            <w:rStyle w:val="Hyperlink"/>
          </w:rPr>
          <w:t xml:space="preserve">https://doi.org/10.1080/00952990.2019.1694536</w:t>
        </w:r>
      </w:hyperlink>
      <w:r>
        <w:t xml:space="preserve">.</w:t>
      </w:r>
    </w:p>
    <w:bookmarkEnd w:id="139"/>
    <w:bookmarkStart w:id="140"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40"/>
    <w:bookmarkStart w:id="141"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41"/>
    <w:bookmarkStart w:id="142" w:name="Xb55b40a3d7f46ba5e03427f7cd05843a1612710"/>
    <w:p>
      <w:pPr>
        <w:pStyle w:val="Bibliography"/>
      </w:pPr>
      <w:r>
        <w:t xml:space="preserve">Marwick, Alice E., and Danah Boyd. 2018.</w:t>
      </w:r>
      <w:r>
        <w:t xml:space="preserve"> </w:t>
      </w:r>
      <w:r>
        <w:t xml:space="preserve">“Privacy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 </w:t>
      </w:r>
      <w:r>
        <w:t xml:space="preserve">12 (0): 9.</w:t>
      </w:r>
    </w:p>
    <w:bookmarkEnd w:id="142"/>
    <w:bookmarkStart w:id="144" w:name="X1e16a8cc741ec7d68b9bde12ee2c181d9d36a93"/>
    <w:p>
      <w:pPr>
        <w:pStyle w:val="Bibliography"/>
      </w:pPr>
      <w:r>
        <w:t xml:space="preserve">McHugh, R. Kathryn, Bridget A. Hearon, and Michael W. Otto. 2010.</w:t>
      </w:r>
      <w:r>
        <w:t xml:space="preserve"> </w:t>
      </w:r>
      <w:r>
        <w:t xml:space="preserve">“Cognitive-</w:t>
      </w:r>
      <w:r>
        <w:t xml:space="preserve">Behavioral Therapy</w:t>
      </w:r>
      <w:r>
        <w:t xml:space="preserve"> </w:t>
      </w:r>
      <w:r>
        <w:t xml:space="preserve">for</w:t>
      </w:r>
      <w:r>
        <w:t xml:space="preserve"> </w:t>
      </w:r>
      <w:r>
        <w:t xml:space="preserve">Substance Use Disorders</w:t>
      </w:r>
      <w:r>
        <w:t xml:space="preserve">.”</w:t>
      </w:r>
      <w:r>
        <w:t xml:space="preserve"> </w:t>
      </w:r>
      <w:r>
        <w:rPr>
          <w:i/>
          <w:iCs/>
        </w:rPr>
        <w:t xml:space="preserve">The Psychiatric Clinics of North America</w:t>
      </w:r>
      <w:r>
        <w:t xml:space="preserve"> </w:t>
      </w:r>
      <w:r>
        <w:t xml:space="preserve">33 (3): 511–25.</w:t>
      </w:r>
      <w:r>
        <w:t xml:space="preserve"> </w:t>
      </w:r>
      <w:hyperlink r:id="rId143">
        <w:r>
          <w:rPr>
            <w:rStyle w:val="Hyperlink"/>
          </w:rPr>
          <w:t xml:space="preserve">https://doi.org/10.1016/j.psc.2010.04.012</w:t>
        </w:r>
      </w:hyperlink>
      <w:r>
        <w:t xml:space="preserve">.</w:t>
      </w:r>
    </w:p>
    <w:bookmarkEnd w:id="144"/>
    <w:bookmarkStart w:id="146" w:name="ref-mchughSexGenderDifferences2018"/>
    <w:p>
      <w:pPr>
        <w:pStyle w:val="Bibliography"/>
      </w:pPr>
      <w:r>
        <w:t xml:space="preserve">McHugh, R. Kathryn, Victoria R. Votaw, Dawn E. Sugarman, and Shelly F. Greenfield. 2018.</w:t>
      </w:r>
      <w:r>
        <w:t xml:space="preserve"> </w:t>
      </w:r>
      <w:r>
        <w:t xml:space="preserve">“Sex and Gender Differences in Substance Use Disorders.”</w:t>
      </w:r>
      <w:r>
        <w:t xml:space="preserve"> </w:t>
      </w:r>
      <w:r>
        <w:rPr>
          <w:i/>
          <w:iCs/>
        </w:rPr>
        <w:t xml:space="preserve">Clinical Psychology Review</w:t>
      </w:r>
      <w:r>
        <w:t xml:space="preserve"> </w:t>
      </w:r>
      <w:r>
        <w:t xml:space="preserve">66 (December): 12–23.</w:t>
      </w:r>
      <w:r>
        <w:t xml:space="preserve"> </w:t>
      </w:r>
      <w:hyperlink r:id="rId145">
        <w:r>
          <w:rPr>
            <w:rStyle w:val="Hyperlink"/>
          </w:rPr>
          <w:t xml:space="preserve">https://doi.org/10.1016/j.cpr.2017.10.012</w:t>
        </w:r>
      </w:hyperlink>
      <w:r>
        <w:t xml:space="preserve">.</w:t>
      </w:r>
    </w:p>
    <w:bookmarkEnd w:id="146"/>
    <w:bookmarkStart w:id="148"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47">
        <w:r>
          <w:rPr>
            <w:rStyle w:val="Hyperlink"/>
          </w:rPr>
          <w:t xml:space="preserve">https://doi.org/10.1001/jama.284.13.1689</w:t>
        </w:r>
      </w:hyperlink>
      <w:r>
        <w:t xml:space="preserve">.</w:t>
      </w:r>
    </w:p>
    <w:bookmarkEnd w:id="148"/>
    <w:bookmarkStart w:id="150" w:name="ref-meyersIntersectionGenderDrug2021"/>
    <w:p>
      <w:pPr>
        <w:pStyle w:val="Bibliography"/>
      </w:pPr>
      <w:r>
        <w:t xml:space="preserve">Meyers, S. A., V. A. Earnshaw, B. D’Ambrosio, N. Courchesne, D. Werb, and L. R. Smith. 2021.</w:t>
      </w:r>
      <w:r>
        <w:t xml:space="preserve"> </w:t>
      </w:r>
      <w:r>
        <w:t xml:space="preserve">“The Intersection of Gender and Drug Use-Related Stigma:</w:t>
      </w:r>
      <w:r>
        <w:t xml:space="preserve"> </w:t>
      </w:r>
      <w:r>
        <w:t xml:space="preserve">A</w:t>
      </w:r>
      <w:r>
        <w:t xml:space="preserve"> </w:t>
      </w:r>
      <w:r>
        <w:t xml:space="preserve">Mixed Methods Systematic Review and Synthesis of the Literature.”</w:t>
      </w:r>
      <w:r>
        <w:t xml:space="preserve"> </w:t>
      </w:r>
      <w:r>
        <w:rPr>
          <w:i/>
          <w:iCs/>
        </w:rPr>
        <w:t xml:space="preserve">Drug and Alcohol Dependence</w:t>
      </w:r>
      <w:r>
        <w:t xml:space="preserve"> </w:t>
      </w:r>
      <w:r>
        <w:t xml:space="preserve">223 (June): 108706.</w:t>
      </w:r>
      <w:r>
        <w:t xml:space="preserve"> </w:t>
      </w:r>
      <w:hyperlink r:id="rId149">
        <w:r>
          <w:rPr>
            <w:rStyle w:val="Hyperlink"/>
          </w:rPr>
          <w:t xml:space="preserve">https://doi.org/10.1016/j.drugalcdep.2021.108706</w:t>
        </w:r>
      </w:hyperlink>
      <w:r>
        <w:t xml:space="preserve">.</w:t>
      </w:r>
    </w:p>
    <w:bookmarkEnd w:id="150"/>
    <w:bookmarkStart w:id="152"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51">
        <w:r>
          <w:rPr>
            <w:rStyle w:val="Hyperlink"/>
          </w:rPr>
          <w:t xml:space="preserve">https://doi.org/10.1146/annurev-clinpsy-032816-044949</w:t>
        </w:r>
      </w:hyperlink>
      <w:r>
        <w:t xml:space="preserve">.</w:t>
      </w:r>
    </w:p>
    <w:bookmarkEnd w:id="152"/>
    <w:bookmarkStart w:id="153" w:name="X0c0e928dd8ff101aa479012bffab8d24e8c0dcf"/>
    <w:p>
      <w:pPr>
        <w:pStyle w:val="Bibliography"/>
      </w:pPr>
      <w:r>
        <w:t xml:space="preserve">Molnar, Christoph. 2022.</w:t>
      </w:r>
      <w:r>
        <w:t xml:space="preserve"> </w:t>
      </w:r>
      <w:r>
        <w:rPr>
          <w:i/>
          <w:iCs/>
        </w:rPr>
        <w:t xml:space="preserve">Interpretable</w:t>
      </w:r>
      <w:r>
        <w:rPr>
          <w:i/>
          <w:iCs/>
        </w:rPr>
        <w:t xml:space="preserve"> </w:t>
      </w:r>
      <w:r>
        <w:rPr>
          <w:i/>
          <w:iCs/>
        </w:rPr>
        <w:t xml:space="preserve">Machine Learning</w:t>
      </w:r>
      <w:r>
        <w:rPr>
          <w:i/>
          <w:iCs/>
        </w:rPr>
        <w:t xml:space="preserve">:</w:t>
      </w:r>
      <w:r>
        <w:rPr>
          <w:i/>
          <w:iCs/>
        </w:rPr>
        <w:t xml:space="preserve"> </w:t>
      </w:r>
      <w:r>
        <w:rPr>
          <w:i/>
          <w:iCs/>
        </w:rPr>
        <w:t xml:space="preserve">A Guide For Making Black Box Models Explainable</w:t>
      </w:r>
      <w:r>
        <w:t xml:space="preserve">. Munich, Germany: Independently published.</w:t>
      </w:r>
    </w:p>
    <w:bookmarkEnd w:id="153"/>
    <w:bookmarkStart w:id="155"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54">
        <w:r>
          <w:rPr>
            <w:rStyle w:val="Hyperlink"/>
          </w:rPr>
          <w:t xml:space="preserve">https://doi.org/10.2196/29563</w:t>
        </w:r>
      </w:hyperlink>
      <w:r>
        <w:t xml:space="preserve">.</w:t>
      </w:r>
    </w:p>
    <w:bookmarkEnd w:id="155"/>
    <w:bookmarkStart w:id="157"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56">
        <w:r>
          <w:rPr>
            <w:rStyle w:val="Hyperlink"/>
          </w:rPr>
          <w:t xml:space="preserve">https://doi.org/10.1016/j.jsat.2021.108710</w:t>
        </w:r>
      </w:hyperlink>
      <w:r>
        <w:t xml:space="preserve">.</w:t>
      </w:r>
    </w:p>
    <w:bookmarkEnd w:id="157"/>
    <w:bookmarkStart w:id="159"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58">
        <w:r>
          <w:rPr>
            <w:rStyle w:val="Hyperlink"/>
          </w:rPr>
          <w:t xml:space="preserve">https://doi.org/10.1016/j.drugalcdep.2019.05.017</w:t>
        </w:r>
      </w:hyperlink>
      <w:r>
        <w:t xml:space="preserve">.</w:t>
      </w:r>
    </w:p>
    <w:bookmarkEnd w:id="159"/>
    <w:bookmarkStart w:id="160" w:name="ref-plattProbabilisticOutputsSupport1999"/>
    <w:p>
      <w:pPr>
        <w:pStyle w:val="Bibliography"/>
      </w:pPr>
      <w:r>
        <w:t xml:space="preserve">Platt, John. 1999.</w:t>
      </w:r>
      <w:r>
        <w:t xml:space="preserve"> </w:t>
      </w:r>
      <w:r>
        <w:t xml:space="preserve">“Probabilistic Outputs for Support Vector Machines and Comparisons to Regularized Likelihood Methods.”</w:t>
      </w:r>
      <w:r>
        <w:t xml:space="preserve"> </w:t>
      </w:r>
      <w:r>
        <w:t xml:space="preserve">In</w:t>
      </w:r>
      <w:r>
        <w:t xml:space="preserve"> </w:t>
      </w:r>
      <w:r>
        <w:rPr>
          <w:i/>
          <w:iCs/>
        </w:rPr>
        <w:t xml:space="preserve">Advances in Large Margin Classifiers</w:t>
      </w:r>
      <w:r>
        <w:t xml:space="preserve">, 61–74. MIT Press.</w:t>
      </w:r>
    </w:p>
    <w:bookmarkEnd w:id="160"/>
    <w:bookmarkStart w:id="162" w:name="ref-pulickIdiographicLapsePrediction2025"/>
    <w:p>
      <w:pPr>
        <w:pStyle w:val="Bibliography"/>
      </w:pPr>
      <w:r>
        <w:t xml:space="preserve">Pulick, Eric, John Curtin, and Yonatan Mintz. 2025.</w:t>
      </w:r>
      <w:r>
        <w:t xml:space="preserve"> </w:t>
      </w:r>
      <w:r>
        <w:t xml:space="preserve">“Idiographic</w:t>
      </w:r>
      <w:r>
        <w:t xml:space="preserve"> </w:t>
      </w:r>
      <w:r>
        <w:t xml:space="preserve">Lapse Prediction With State Space Modeling</w:t>
      </w:r>
      <w:r>
        <w:t xml:space="preserve">:</w:t>
      </w:r>
      <w:r>
        <w:t xml:space="preserve"> </w:t>
      </w:r>
      <w:r>
        <w:t xml:space="preserve">Algorithm Development</w:t>
      </w:r>
      <w:r>
        <w:t xml:space="preserve"> </w:t>
      </w:r>
      <w:r>
        <w:t xml:space="preserve">and</w:t>
      </w:r>
      <w:r>
        <w:t xml:space="preserve"> </w:t>
      </w:r>
      <w:r>
        <w:t xml:space="preserve">Validation Study</w:t>
      </w:r>
      <w:r>
        <w:t xml:space="preserve">.”</w:t>
      </w:r>
      <w:r>
        <w:t xml:space="preserve"> </w:t>
      </w:r>
      <w:r>
        <w:rPr>
          <w:i/>
          <w:iCs/>
        </w:rPr>
        <w:t xml:space="preserve">JMIR Formative Research</w:t>
      </w:r>
      <w:r>
        <w:t xml:space="preserve"> </w:t>
      </w:r>
      <w:r>
        <w:t xml:space="preserve">9 (1): e73265.</w:t>
      </w:r>
      <w:r>
        <w:t xml:space="preserve"> </w:t>
      </w:r>
      <w:hyperlink r:id="rId161">
        <w:r>
          <w:rPr>
            <w:rStyle w:val="Hyperlink"/>
          </w:rPr>
          <w:t xml:space="preserve">https://doi.org/10.2196/73265</w:t>
        </w:r>
      </w:hyperlink>
      <w:r>
        <w:t xml:space="preserve">.</w:t>
      </w:r>
    </w:p>
    <w:bookmarkEnd w:id="162"/>
    <w:bookmarkStart w:id="164" w:name="Xa1b8899d52f2070e9a46165cf23fe2013b5e4a3"/>
    <w:p>
      <w:pPr>
        <w:pStyle w:val="Bibliography"/>
      </w:pPr>
      <w:r>
        <w:t xml:space="preserve">Rawson, R. A., S. J. Shoptaw, J. L. Obert, M. J. McCann, A. L. Hasson, P. J. Marinelli-Casey, P. R. Brethen, and W. Ling. 1995.</w:t>
      </w:r>
      <w:r>
        <w:t xml:space="preserve"> </w:t>
      </w:r>
      <w:r>
        <w:t xml:space="preserve">“An Intensive Outpatient Approach for Cocaine Abuse Treatment.</w:t>
      </w:r>
      <w:r>
        <w:t xml:space="preserve"> </w:t>
      </w:r>
      <w:r>
        <w:t xml:space="preserve">The Matrix</w:t>
      </w:r>
      <w:r>
        <w:t xml:space="preserve"> </w:t>
      </w:r>
      <w:r>
        <w:t xml:space="preserve">Model.”</w:t>
      </w:r>
      <w:r>
        <w:t xml:space="preserve"> </w:t>
      </w:r>
      <w:r>
        <w:rPr>
          <w:i/>
          <w:iCs/>
        </w:rPr>
        <w:t xml:space="preserve">Journal of Substance Abuse Treatment</w:t>
      </w:r>
      <w:r>
        <w:t xml:space="preserve"> </w:t>
      </w:r>
      <w:r>
        <w:t xml:space="preserve">12 (2): 117–27.</w:t>
      </w:r>
      <w:r>
        <w:t xml:space="preserve"> </w:t>
      </w:r>
      <w:hyperlink r:id="rId163">
        <w:r>
          <w:rPr>
            <w:rStyle w:val="Hyperlink"/>
          </w:rPr>
          <w:t xml:space="preserve">https://doi.org/10.1016/0740-5472(94)00080-b</w:t>
        </w:r>
      </w:hyperlink>
      <w:r>
        <w:t xml:space="preserve">.</w:t>
      </w:r>
    </w:p>
    <w:bookmarkEnd w:id="164"/>
    <w:bookmarkStart w:id="166" w:name="Xc5cdea043ab663a81d5612c8b1e0f7c2b734aab"/>
    <w:p>
      <w:pPr>
        <w:pStyle w:val="Bibliography"/>
      </w:pPr>
      <w:r>
        <w:t xml:space="preserve">Roche, Michael J., Aaron L. Pincus, Amanda L. Rebar, David E. Conroy, and Nilam Ram. 2014.</w:t>
      </w:r>
      <w:r>
        <w:t xml:space="preserve"> </w:t>
      </w:r>
      <w:r>
        <w:t xml:space="preserve">“Enriching</w:t>
      </w:r>
      <w:r>
        <w:t xml:space="preserve"> </w:t>
      </w:r>
      <w:r>
        <w:t xml:space="preserve">Psychological Assessment Using</w:t>
      </w:r>
      <w:r>
        <w:t xml:space="preserve"> </w:t>
      </w:r>
      <w:r>
        <w:t xml:space="preserve">a</w:t>
      </w:r>
      <w:r>
        <w:t xml:space="preserve"> </w:t>
      </w:r>
      <w:r>
        <w:t xml:space="preserve">Person-Specific Analysis</w:t>
      </w:r>
      <w:r>
        <w:t xml:space="preserve"> </w:t>
      </w:r>
      <w:r>
        <w:t xml:space="preserve">of</w:t>
      </w:r>
      <w:r>
        <w:t xml:space="preserve"> </w:t>
      </w:r>
      <w:r>
        <w:t xml:space="preserve">Interpersonal Processes</w:t>
      </w:r>
      <w:r>
        <w:t xml:space="preserve"> </w:t>
      </w:r>
      <w:r>
        <w:t xml:space="preserve">in</w:t>
      </w:r>
      <w:r>
        <w:t xml:space="preserve"> </w:t>
      </w:r>
      <w:r>
        <w:t xml:space="preserve">Daily Life</w:t>
      </w:r>
      <w:r>
        <w:t xml:space="preserve">.”</w:t>
      </w:r>
      <w:r>
        <w:t xml:space="preserve"> </w:t>
      </w:r>
      <w:r>
        <w:rPr>
          <w:i/>
          <w:iCs/>
        </w:rPr>
        <w:t xml:space="preserve">Assessment</w:t>
      </w:r>
      <w:r>
        <w:t xml:space="preserve"> </w:t>
      </w:r>
      <w:r>
        <w:t xml:space="preserve">21 (5): 515–28.</w:t>
      </w:r>
      <w:r>
        <w:t xml:space="preserve"> </w:t>
      </w:r>
      <w:hyperlink r:id="rId165">
        <w:r>
          <w:rPr>
            <w:rStyle w:val="Hyperlink"/>
          </w:rPr>
          <w:t xml:space="preserve">https://doi.org/10.1177/1073191114540320</w:t>
        </w:r>
      </w:hyperlink>
      <w:r>
        <w:t xml:space="preserve">.</w:t>
      </w:r>
    </w:p>
    <w:bookmarkEnd w:id="166"/>
    <w:bookmarkStart w:id="167"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67"/>
    <w:bookmarkStart w:id="169"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68">
        <w:r>
          <w:rPr>
            <w:rStyle w:val="Hyperlink"/>
          </w:rPr>
          <w:t xml:space="preserve">https://doi.org/10.1111/add.13479</w:t>
        </w:r>
      </w:hyperlink>
      <w:r>
        <w:t xml:space="preserve">.</w:t>
      </w:r>
    </w:p>
    <w:bookmarkEnd w:id="169"/>
    <w:bookmarkStart w:id="171"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70">
        <w:r>
          <w:rPr>
            <w:rStyle w:val="Hyperlink"/>
          </w:rPr>
          <w:t xml:space="preserve">https://doi.org/10.1037/adb0000666</w:t>
        </w:r>
      </w:hyperlink>
      <w:r>
        <w:t xml:space="preserve">.</w:t>
      </w:r>
    </w:p>
    <w:bookmarkEnd w:id="171"/>
    <w:bookmarkStart w:id="173"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72">
        <w:r>
          <w:rPr>
            <w:rStyle w:val="Hyperlink"/>
          </w:rPr>
          <w:t xml:space="preserve">https://doi.org/10.1177/1178221820976988</w:t>
        </w:r>
      </w:hyperlink>
      <w:r>
        <w:t xml:space="preserve">.</w:t>
      </w:r>
    </w:p>
    <w:bookmarkEnd w:id="173"/>
    <w:bookmarkStart w:id="174" w:name="ref-studiesNIHRevitalizationAct1994"/>
    <w:p>
      <w:pPr>
        <w:pStyle w:val="Bibliography"/>
      </w:pPr>
      <w:r>
        <w:t xml:space="preserve">Studies, Institute of Medicine (US) Committee on Ethical and Legal Issues Relating to the Inclusion of Women in Clinical, Anna C. Mastroianni, Ruth Faden, and Daniel Federman. 1994.</w:t>
      </w:r>
      <w:r>
        <w:t xml:space="preserve"> </w:t>
      </w:r>
      <w:r>
        <w:t xml:space="preserve">“</w:t>
      </w:r>
      <w:r>
        <w:t xml:space="preserve">NIH Revitalization Act</w:t>
      </w:r>
      <w:r>
        <w:t xml:space="preserve"> </w:t>
      </w:r>
      <w:r>
        <w:t xml:space="preserve">of 1993</w:t>
      </w:r>
      <w:r>
        <w:t xml:space="preserve"> </w:t>
      </w:r>
      <w:r>
        <w:t xml:space="preserve">Public Law</w:t>
      </w:r>
      <w:r>
        <w:t xml:space="preserve"> </w:t>
      </w:r>
      <w:r>
        <w:t xml:space="preserve">103-43.”</w:t>
      </w:r>
      <w:r>
        <w:t xml:space="preserve"> </w:t>
      </w:r>
      <w:r>
        <w:t xml:space="preserve">In</w:t>
      </w:r>
      <w:r>
        <w:t xml:space="preserve"> </w:t>
      </w:r>
      <w:r>
        <w:rPr>
          <w:i/>
          <w:iCs/>
        </w:rPr>
        <w:t xml:space="preserve">Women and</w:t>
      </w:r>
      <w:r>
        <w:rPr>
          <w:i/>
          <w:iCs/>
        </w:rPr>
        <w:t xml:space="preserve"> </w:t>
      </w:r>
      <w:r>
        <w:rPr>
          <w:i/>
          <w:iCs/>
        </w:rPr>
        <w:t xml:space="preserve">Health Research</w:t>
      </w:r>
      <w:r>
        <w:rPr>
          <w:i/>
          <w:iCs/>
        </w:rPr>
        <w:t xml:space="preserve">:</w:t>
      </w:r>
      <w:r>
        <w:rPr>
          <w:i/>
          <w:iCs/>
        </w:rPr>
        <w:t xml:space="preserve"> </w:t>
      </w:r>
      <w:r>
        <w:rPr>
          <w:i/>
          <w:iCs/>
        </w:rPr>
        <w:t xml:space="preserve">Ethical</w:t>
      </w:r>
      <w:r>
        <w:rPr>
          <w:i/>
          <w:iCs/>
        </w:rPr>
        <w:t xml:space="preserve"> </w:t>
      </w:r>
      <w:r>
        <w:rPr>
          <w:i/>
          <w:iCs/>
        </w:rPr>
        <w:t xml:space="preserve">and</w:t>
      </w:r>
      <w:r>
        <w:rPr>
          <w:i/>
          <w:iCs/>
        </w:rPr>
        <w:t xml:space="preserve"> </w:t>
      </w:r>
      <w:r>
        <w:rPr>
          <w:i/>
          <w:iCs/>
        </w:rPr>
        <w:t xml:space="preserve">Legal Issues</w:t>
      </w:r>
      <w:r>
        <w:rPr>
          <w:i/>
          <w:iCs/>
        </w:rPr>
        <w:t xml:space="preserve"> </w:t>
      </w:r>
      <w:r>
        <w:rPr>
          <w:i/>
          <w:iCs/>
        </w:rPr>
        <w:t xml:space="preserve">of</w:t>
      </w:r>
      <w:r>
        <w:rPr>
          <w:i/>
          <w:iCs/>
        </w:rPr>
        <w:t xml:space="preserve"> </w:t>
      </w:r>
      <w:r>
        <w:rPr>
          <w:i/>
          <w:iCs/>
        </w:rPr>
        <w:t xml:space="preserve">Including Women</w:t>
      </w:r>
      <w:r>
        <w:rPr>
          <w:i/>
          <w:iCs/>
        </w:rPr>
        <w:t xml:space="preserve"> </w:t>
      </w:r>
      <w:r>
        <w:rPr>
          <w:i/>
          <w:iCs/>
        </w:rPr>
        <w:t xml:space="preserve">in</w:t>
      </w:r>
      <w:r>
        <w:rPr>
          <w:i/>
          <w:iCs/>
        </w:rPr>
        <w:t xml:space="preserve"> </w:t>
      </w:r>
      <w:r>
        <w:rPr>
          <w:i/>
          <w:iCs/>
        </w:rPr>
        <w:t xml:space="preserve">Clinical Studies</w:t>
      </w:r>
      <w:r>
        <w:rPr>
          <w:i/>
          <w:iCs/>
        </w:rPr>
        <w:t xml:space="preserve">:</w:t>
      </w:r>
      <w:r>
        <w:rPr>
          <w:i/>
          <w:iCs/>
        </w:rPr>
        <w:t xml:space="preserve"> </w:t>
      </w:r>
      <w:r>
        <w:rPr>
          <w:i/>
          <w:iCs/>
        </w:rPr>
        <w:t xml:space="preserve">Volume I</w:t>
      </w:r>
      <w:r>
        <w:t xml:space="preserve">. National Academies Press (US).</w:t>
      </w:r>
    </w:p>
    <w:bookmarkEnd w:id="174"/>
    <w:bookmarkStart w:id="175"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75"/>
    <w:bookmarkStart w:id="177" w:name="Xdd108b50209bad1fdcf1a9fcca4dd1d7d3b13e9"/>
    <w:p>
      <w:pPr>
        <w:pStyle w:val="Bibliography"/>
      </w:pPr>
      <w:r>
        <w:t xml:space="preserve">Tausczik, Yla R., and James W. Pennebaker. 2010.</w:t>
      </w:r>
      <w:r>
        <w:t xml:space="preserve"> </w:t>
      </w:r>
      <w:r>
        <w:t xml:space="preserve">“The</w:t>
      </w:r>
      <w:r>
        <w:t xml:space="preserve"> </w:t>
      </w:r>
      <w:r>
        <w:t xml:space="preserve">Psychological Meaning</w:t>
      </w:r>
      <w:r>
        <w:t xml:space="preserve"> </w:t>
      </w:r>
      <w:r>
        <w:t xml:space="preserve">of</w:t>
      </w:r>
      <w:r>
        <w:t xml:space="preserve"> </w:t>
      </w:r>
      <w:r>
        <w:t xml:space="preserve">Words</w:t>
      </w:r>
      <w:r>
        <w:t xml:space="preserve">:</w:t>
      </w:r>
      <w:r>
        <w:t xml:space="preserve"> </w:t>
      </w:r>
      <w:r>
        <w:t xml:space="preserve">LIWC</w:t>
      </w:r>
      <w:r>
        <w:t xml:space="preserve"> </w:t>
      </w:r>
      <w:r>
        <w:t xml:space="preserve">and</w:t>
      </w:r>
      <w:r>
        <w:t xml:space="preserve"> </w:t>
      </w:r>
      <w:r>
        <w:t xml:space="preserve">Computerized Text Analysis Methods</w:t>
      </w:r>
      <w:r>
        <w:t xml:space="preserve">.”</w:t>
      </w:r>
      <w:r>
        <w:t xml:space="preserve"> </w:t>
      </w:r>
      <w:r>
        <w:rPr>
          <w:i/>
          <w:iCs/>
        </w:rPr>
        <w:t xml:space="preserve">Journal of Language and Social Psychology</w:t>
      </w:r>
      <w:r>
        <w:t xml:space="preserve"> </w:t>
      </w:r>
      <w:r>
        <w:t xml:space="preserve">29 (1): 24–54.</w:t>
      </w:r>
      <w:r>
        <w:t xml:space="preserve"> </w:t>
      </w:r>
      <w:hyperlink r:id="rId176">
        <w:r>
          <w:rPr>
            <w:rStyle w:val="Hyperlink"/>
          </w:rPr>
          <w:t xml:space="preserve">https://doi.org/10.1177/0261927X09351676</w:t>
        </w:r>
      </w:hyperlink>
      <w:r>
        <w:t xml:space="preserve">.</w:t>
      </w:r>
    </w:p>
    <w:bookmarkEnd w:id="177"/>
    <w:bookmarkStart w:id="179" w:name="ref-vannicelliEffectSexBias1984"/>
    <w:p>
      <w:pPr>
        <w:pStyle w:val="Bibliography"/>
      </w:pPr>
      <w:r>
        <w:t xml:space="preserve">Vannicelli, Marsha, and Laurie Nash. 1984.</w:t>
      </w:r>
      <w:r>
        <w:t xml:space="preserve"> </w:t>
      </w:r>
      <w:r>
        <w:t xml:space="preserve">“Effect of</w:t>
      </w:r>
      <w:r>
        <w:t xml:space="preserve"> </w:t>
      </w:r>
      <w:r>
        <w:t xml:space="preserve">Sex Bias</w:t>
      </w:r>
      <w:r>
        <w:t xml:space="preserve"> </w:t>
      </w:r>
      <w:r>
        <w:t xml:space="preserve">on</w:t>
      </w:r>
      <w:r>
        <w:t xml:space="preserve"> </w:t>
      </w:r>
      <w:r>
        <w:t xml:space="preserve">Women</w:t>
      </w:r>
      <w:r>
        <w:t xml:space="preserve">’s</w:t>
      </w:r>
      <w:r>
        <w:t xml:space="preserve"> </w:t>
      </w:r>
      <w:r>
        <w:t xml:space="preserve">Studies</w:t>
      </w:r>
      <w:r>
        <w:t xml:space="preserve"> </w:t>
      </w:r>
      <w:r>
        <w:t xml:space="preserve">on</w:t>
      </w:r>
      <w:r>
        <w:t xml:space="preserve"> </w:t>
      </w:r>
      <w:r>
        <w:t xml:space="preserve">Alcoholism</w:t>
      </w:r>
      <w:r>
        <w:t xml:space="preserve">.”</w:t>
      </w:r>
      <w:r>
        <w:t xml:space="preserve"> </w:t>
      </w:r>
      <w:r>
        <w:rPr>
          <w:i/>
          <w:iCs/>
        </w:rPr>
        <w:t xml:space="preserve">Alcoholism: Clinical and Experimental Research</w:t>
      </w:r>
      <w:r>
        <w:t xml:space="preserve"> </w:t>
      </w:r>
      <w:r>
        <w:t xml:space="preserve">8 (3): 334–36.</w:t>
      </w:r>
      <w:r>
        <w:t xml:space="preserve"> </w:t>
      </w:r>
      <w:hyperlink r:id="rId178">
        <w:r>
          <w:rPr>
            <w:rStyle w:val="Hyperlink"/>
          </w:rPr>
          <w:t xml:space="preserve">https://doi.org/10.1111/j.1530-0277.1984.tb05523.x</w:t>
        </w:r>
      </w:hyperlink>
      <w:r>
        <w:t xml:space="preserve">.</w:t>
      </w:r>
    </w:p>
    <w:bookmarkEnd w:id="179"/>
    <w:bookmarkStart w:id="181" w:name="ref-veinotGoodIntentionsAre2018"/>
    <w:p>
      <w:pPr>
        <w:pStyle w:val="Bibliography"/>
      </w:pPr>
      <w:r>
        <w:t xml:space="preserve">Veinot, Tiffany C., Hannah Mitchell, and Jessica S. Ancker. 2018.</w:t>
      </w:r>
      <w:r>
        <w:t xml:space="preserve"> </w:t>
      </w:r>
      <w:r>
        <w:t xml:space="preserve">“Good Intentions Are Not Enough: How Informatics Interventions Can Worsen Inequality.”</w:t>
      </w:r>
      <w:r>
        <w:t xml:space="preserve"> </w:t>
      </w:r>
      <w:r>
        <w:rPr>
          <w:i/>
          <w:iCs/>
        </w:rPr>
        <w:t xml:space="preserve">Journal of the American Medical Informatics Association: JAMIA</w:t>
      </w:r>
      <w:r>
        <w:t xml:space="preserve"> </w:t>
      </w:r>
      <w:r>
        <w:t xml:space="preserve">25 (8): 1080–88.</w:t>
      </w:r>
      <w:r>
        <w:t xml:space="preserve"> </w:t>
      </w:r>
      <w:hyperlink r:id="rId180">
        <w:r>
          <w:rPr>
            <w:rStyle w:val="Hyperlink"/>
          </w:rPr>
          <w:t xml:space="preserve">https://doi.org/10.1093/jamia/ocy052</w:t>
        </w:r>
      </w:hyperlink>
      <w:r>
        <w:t xml:space="preserve">.</w:t>
      </w:r>
    </w:p>
    <w:bookmarkEnd w:id="181"/>
    <w:bookmarkStart w:id="183" w:name="ref-wagnerImprovingChronicIllness2001"/>
    <w:p>
      <w:pPr>
        <w:pStyle w:val="Bibliography"/>
      </w:pPr>
      <w:r>
        <w:t xml:space="preserve">Wagner, Edward H., Brian T. Austin, Connie Davis, Mike Hindmarsh, Judith Schaefer, and Amy Bonomi. 2001.</w:t>
      </w:r>
      <w:r>
        <w:t xml:space="preserve"> </w:t>
      </w:r>
      <w:r>
        <w:t xml:space="preserve">“Improving</w:t>
      </w:r>
      <w:r>
        <w:t xml:space="preserve"> </w:t>
      </w:r>
      <w:r>
        <w:t xml:space="preserve">Chronic Illness Care</w:t>
      </w:r>
      <w:r>
        <w:t xml:space="preserve">:</w:t>
      </w:r>
      <w:r>
        <w:t xml:space="preserve"> </w:t>
      </w:r>
      <w:r>
        <w:t xml:space="preserve">Translating Evidence Into Action</w:t>
      </w:r>
      <w:r>
        <w:t xml:space="preserve">.”</w:t>
      </w:r>
      <w:r>
        <w:t xml:space="preserve"> </w:t>
      </w:r>
      <w:r>
        <w:rPr>
          <w:i/>
          <w:iCs/>
        </w:rPr>
        <w:t xml:space="preserve">Health Affairs</w:t>
      </w:r>
      <w:r>
        <w:t xml:space="preserve"> </w:t>
      </w:r>
      <w:r>
        <w:t xml:space="preserve">20 (6): 64–78.</w:t>
      </w:r>
      <w:r>
        <w:t xml:space="preserve"> </w:t>
      </w:r>
      <w:hyperlink r:id="rId182">
        <w:r>
          <w:rPr>
            <w:rStyle w:val="Hyperlink"/>
          </w:rPr>
          <w:t xml:space="preserve">https://doi.org/10.1377/hlthaff.20.6.64</w:t>
        </w:r>
      </w:hyperlink>
      <w:r>
        <w:t xml:space="preserve">.</w:t>
      </w:r>
    </w:p>
    <w:bookmarkEnd w:id="183"/>
    <w:bookmarkStart w:id="185" w:name="ref-walitzerGenderDifferencesAlcohol2006"/>
    <w:p>
      <w:pPr>
        <w:pStyle w:val="Bibliography"/>
      </w:pPr>
      <w:r>
        <w:t xml:space="preserve">Walitzer, Kimberly S., and Ronda L. Dearing. 2006.</w:t>
      </w:r>
      <w:r>
        <w:t xml:space="preserve"> </w:t>
      </w:r>
      <w:r>
        <w:t xml:space="preserve">“Gender Differences in Alcohol and Substance Use Relapse.”</w:t>
      </w:r>
      <w:r>
        <w:t xml:space="preserve"> </w:t>
      </w:r>
      <w:r>
        <w:rPr>
          <w:i/>
          <w:iCs/>
        </w:rPr>
        <w:t xml:space="preserve">Clinical Psychology Review</w:t>
      </w:r>
      <w:r>
        <w:t xml:space="preserve"> </w:t>
      </w:r>
      <w:r>
        <w:t xml:space="preserve">26 (2): 128–48.</w:t>
      </w:r>
      <w:r>
        <w:t xml:space="preserve"> </w:t>
      </w:r>
      <w:hyperlink r:id="rId184">
        <w:r>
          <w:rPr>
            <w:rStyle w:val="Hyperlink"/>
          </w:rPr>
          <w:t xml:space="preserve">https://doi.org/10.1016/j.cpr.2005.11.003</w:t>
        </w:r>
      </w:hyperlink>
      <w:r>
        <w:t xml:space="preserve">.</w:t>
      </w:r>
    </w:p>
    <w:bookmarkEnd w:id="185"/>
    <w:bookmarkStart w:id="187"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86">
        <w:r>
          <w:rPr>
            <w:rStyle w:val="Hyperlink"/>
          </w:rPr>
          <w:t xml:space="preserve">https://doi.org/10.1016/j.jsat.2021.108417</w:t>
        </w:r>
      </w:hyperlink>
      <w:r>
        <w:t xml:space="preserve">.</w:t>
      </w:r>
    </w:p>
    <w:bookmarkEnd w:id="187"/>
    <w:bookmarkStart w:id="189" w:name="X2d30c84041d97351f676569bf3de3da0c8a9d6d"/>
    <w:p>
      <w:pPr>
        <w:pStyle w:val="Bibliography"/>
      </w:pPr>
      <w:r>
        <w:t xml:space="preserve">WHO ASSIST Working Group. 2002.</w:t>
      </w:r>
      <w:r>
        <w:t xml:space="preserve"> </w:t>
      </w:r>
      <w:r>
        <w:t xml:space="preserve">“</w:t>
      </w:r>
      <w:hyperlink r:id="rId188">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89"/>
    <w:bookmarkStart w:id="191"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90">
        <w:r>
          <w:rPr>
            <w:rStyle w:val="Hyperlink"/>
          </w:rPr>
          <w:t xml:space="preserve">https://doi.org/10.1037/0003-066X.59.4.224</w:t>
        </w:r>
      </w:hyperlink>
      <w:r>
        <w:t xml:space="preserve">.</w:t>
      </w:r>
    </w:p>
    <w:bookmarkEnd w:id="191"/>
    <w:bookmarkStart w:id="193"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92">
        <w:r>
          <w:rPr>
            <w:rStyle w:val="Hyperlink"/>
          </w:rPr>
          <w:t xml:space="preserve">https://doi.org/10.1016/j.cpr.2007.01.002</w:t>
        </w:r>
      </w:hyperlink>
      <w:r>
        <w:t xml:space="preserve">.</w:t>
      </w:r>
    </w:p>
    <w:bookmarkEnd w:id="193"/>
    <w:bookmarkStart w:id="195" w:name="X513fadbf866a4ddf9f29b63741ad369252b4800"/>
    <w:p>
      <w:pPr>
        <w:pStyle w:val="Bibliography"/>
      </w:pPr>
      <w:r>
        <w:t xml:space="preserve">Wright, Aidan G. C., Michael N. Hallquist, Stephanie D. Stepp, Lori N. Scott, Joseph E. Beeney, Sophie A. Lazarus, and Paul A. Pilkonis. 2016.</w:t>
      </w:r>
      <w:r>
        <w:t xml:space="preserve"> </w:t>
      </w:r>
      <w:r>
        <w:t xml:space="preserve">“Modeling</w:t>
      </w:r>
      <w:r>
        <w:t xml:space="preserve"> </w:t>
      </w:r>
      <w:r>
        <w:t xml:space="preserve">Heterogeneity</w:t>
      </w:r>
      <w:r>
        <w:t xml:space="preserve"> </w:t>
      </w:r>
      <w:r>
        <w:t xml:space="preserve">in</w:t>
      </w:r>
      <w:r>
        <w:t xml:space="preserve"> </w:t>
      </w:r>
      <w:r>
        <w:t xml:space="preserve">Momentary Interpersonal</w:t>
      </w:r>
      <w:r>
        <w:t xml:space="preserve"> </w:t>
      </w:r>
      <w:r>
        <w:t xml:space="preserve">and</w:t>
      </w:r>
      <w:r>
        <w:t xml:space="preserve"> </w:t>
      </w:r>
      <w:r>
        <w:t xml:space="preserve">Affective Dynamic Processes</w:t>
      </w:r>
      <w:r>
        <w:t xml:space="preserve"> </w:t>
      </w:r>
      <w:r>
        <w:t xml:space="preserve">in</w:t>
      </w:r>
      <w:r>
        <w:t xml:space="preserve"> </w:t>
      </w:r>
      <w:r>
        <w:t xml:space="preserve">Borderline Personality Disorder</w:t>
      </w:r>
      <w:r>
        <w:t xml:space="preserve">.”</w:t>
      </w:r>
      <w:r>
        <w:t xml:space="preserve"> </w:t>
      </w:r>
      <w:r>
        <w:rPr>
          <w:i/>
          <w:iCs/>
        </w:rPr>
        <w:t xml:space="preserve">Assessment</w:t>
      </w:r>
      <w:r>
        <w:t xml:space="preserve"> </w:t>
      </w:r>
      <w:r>
        <w:t xml:space="preserve">23 (4): 484–95.</w:t>
      </w:r>
      <w:r>
        <w:t xml:space="preserve"> </w:t>
      </w:r>
      <w:hyperlink r:id="rId194">
        <w:r>
          <w:rPr>
            <w:rStyle w:val="Hyperlink"/>
          </w:rPr>
          <w:t xml:space="preserve">https://doi.org/10.1177/1073191116653829</w:t>
        </w:r>
      </w:hyperlink>
      <w:r>
        <w:t xml:space="preserve">.</w:t>
      </w:r>
    </w:p>
    <w:bookmarkEnd w:id="195"/>
    <w:bookmarkStart w:id="197"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96">
        <w:r>
          <w:rPr>
            <w:rStyle w:val="Hyperlink"/>
          </w:rPr>
          <w:t xml:space="preserve">https://doi.org/10.2196/41833</w:t>
        </w:r>
      </w:hyperlink>
      <w:r>
        <w:t xml:space="preserve">.</w:t>
      </w:r>
    </w:p>
    <w:bookmarkEnd w:id="197"/>
    <w:bookmarkStart w:id="198" w:name="X0f0fab553d46f8852e582400eb2e6c745146f48"/>
    <w:p>
      <w:pPr>
        <w:pStyle w:val="Bibliography"/>
      </w:pPr>
      <w:r>
        <w:t xml:space="preserve">Wyant, Kendra, Sarah J. Sant’Ana, Claire E. Punturieri, Jiachen Yu, Gaylen E. Fronk, C. Michael Maggard, Christopher Janssen, et al. under review.</w:t>
      </w:r>
      <w:r>
        <w:t xml:space="preserve"> </w:t>
      </w:r>
      <w:r>
        <w:t xml:space="preserve">“Maximizing Engagement, Trust, and Clinical Benefit of</w:t>
      </w:r>
      <w:r>
        <w:t xml:space="preserve"> </w:t>
      </w:r>
      <w:r>
        <w:t xml:space="preserve">AI-generated</w:t>
      </w:r>
      <w:r>
        <w:t xml:space="preserve"> </w:t>
      </w:r>
      <w:r>
        <w:t xml:space="preserve">Recovery Monitoring and Support Messages for Alcohol Use Disorder:</w:t>
      </w:r>
      <w:r>
        <w:t xml:space="preserve"> </w:t>
      </w:r>
      <w:r>
        <w:t xml:space="preserve">Protocol</w:t>
      </w:r>
      <w:r>
        <w:t xml:space="preserve"> </w:t>
      </w:r>
      <w:r>
        <w:t xml:space="preserve">for an Optimization Study,”</w:t>
      </w:r>
      <w:r>
        <w:t xml:space="preserve"> </w:t>
      </w:r>
      <w:r>
        <w:t xml:space="preserve">under review.</w:t>
      </w:r>
    </w:p>
    <w:bookmarkEnd w:id="198"/>
    <w:bookmarkStart w:id="200"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99">
        <w:r>
          <w:rPr>
            <w:rStyle w:val="Hyperlink"/>
          </w:rPr>
          <w:t xml:space="preserve">https://doi.org/10.31234/osf.io/cgsf7</w:t>
        </w:r>
      </w:hyperlink>
      <w:r>
        <w:t xml:space="preserve">.</w:t>
      </w:r>
    </w:p>
    <w:bookmarkEnd w:id="200"/>
    <w:bookmarkStart w:id="202" w:name="Xdcc3e6c1429a41e0448c7c169835e10027482a3"/>
    <w:p>
      <w:pPr>
        <w:pStyle w:val="Bibliography"/>
      </w:pPr>
      <w:r>
        <w:t xml:space="preserve">Xie, Kexin, Ke Deng, and Xiaofang Zhou. 2009.</w:t>
      </w:r>
      <w:r>
        <w:t xml:space="preserve"> </w:t>
      </w:r>
      <w:r>
        <w:t xml:space="preserve">“From Trajectories to Activities: A Spatio-Temporal Join Approach.”</w:t>
      </w:r>
      <w:r>
        <w:t xml:space="preserve"> </w:t>
      </w:r>
      <w:r>
        <w:t xml:space="preserve">In</w:t>
      </w:r>
      <w:r>
        <w:t xml:space="preserve"> </w:t>
      </w:r>
      <w:r>
        <w:rPr>
          <w:i/>
          <w:iCs/>
        </w:rPr>
        <w:t xml:space="preserve">Proceedings of the 2009</w:t>
      </w:r>
      <w:r>
        <w:rPr>
          <w:i/>
          <w:iCs/>
        </w:rPr>
        <w:t xml:space="preserve"> </w:t>
      </w:r>
      <w:r>
        <w:rPr>
          <w:i/>
          <w:iCs/>
        </w:rPr>
        <w:t xml:space="preserve">International Workshop</w:t>
      </w:r>
      <w:r>
        <w:rPr>
          <w:i/>
          <w:iCs/>
        </w:rPr>
        <w:t xml:space="preserve"> </w:t>
      </w:r>
      <w:r>
        <w:rPr>
          <w:i/>
          <w:iCs/>
        </w:rPr>
        <w:t xml:space="preserve">on</w:t>
      </w:r>
      <w:r>
        <w:rPr>
          <w:i/>
          <w:iCs/>
        </w:rPr>
        <w:t xml:space="preserve"> </w:t>
      </w:r>
      <w:r>
        <w:rPr>
          <w:i/>
          <w:iCs/>
        </w:rPr>
        <w:t xml:space="preserve">Location Based Social Networks</w:t>
      </w:r>
      <w:r>
        <w:t xml:space="preserve">, 25–32.</w:t>
      </w:r>
      <w:r>
        <w:t xml:space="preserve"> </w:t>
      </w:r>
      <w:r>
        <w:t xml:space="preserve">LBSN</w:t>
      </w:r>
      <w:r>
        <w:t xml:space="preserve"> </w:t>
      </w:r>
      <w:r>
        <w:t xml:space="preserve">’09. New York, NY, USA: Association for Computing Machinery.</w:t>
      </w:r>
      <w:r>
        <w:t xml:space="preserve"> </w:t>
      </w:r>
      <w:hyperlink r:id="rId201">
        <w:r>
          <w:rPr>
            <w:rStyle w:val="Hyperlink"/>
          </w:rPr>
          <w:t xml:space="preserve">https://doi.org/10.1145/1629890.1629897</w:t>
        </w:r>
      </w:hyperlink>
      <w:r>
        <w:t xml:space="preserve">.</w:t>
      </w:r>
    </w:p>
    <w:bookmarkEnd w:id="202"/>
    <w:bookmarkStart w:id="204" w:name="ref-zikmund-fisherRightToolWhat2013"/>
    <w:p>
      <w:pPr>
        <w:pStyle w:val="Bibliography"/>
      </w:pPr>
      <w:r>
        <w:t xml:space="preserve">Zikmund-Fisher, Brian J. 2013.</w:t>
      </w:r>
      <w:r>
        <w:t xml:space="preserve"> </w:t>
      </w:r>
      <w:r>
        <w:t xml:space="preserve">“The Right Tool Is What They Need, Not What We Have: A Taxonomy of Appropriate Levels of Precision in Patient Risk Communication.”</w:t>
      </w:r>
      <w:r>
        <w:t xml:space="preserve"> </w:t>
      </w:r>
      <w:r>
        <w:rPr>
          <w:i/>
          <w:iCs/>
        </w:rPr>
        <w:t xml:space="preserve">Medical Care Research and Review: MCRR</w:t>
      </w:r>
      <w:r>
        <w:t xml:space="preserve"> </w:t>
      </w:r>
      <w:r>
        <w:t xml:space="preserve">70 (1 Suppl): 37S–49S.</w:t>
      </w:r>
      <w:r>
        <w:t xml:space="preserve"> </w:t>
      </w:r>
      <w:hyperlink r:id="rId203">
        <w:r>
          <w:rPr>
            <w:rStyle w:val="Hyperlink"/>
          </w:rPr>
          <w:t xml:space="preserve">https://doi.org/10.1177/1077558712458541</w:t>
        </w:r>
      </w:hyperlink>
      <w:r>
        <w:t xml:space="preserve">.</w:t>
      </w:r>
    </w:p>
    <w:bookmarkEnd w:id="204"/>
    <w:bookmarkStart w:id="206" w:name="X13b53253f4b8775a58215d7e1d3c0adbd73e844"/>
    <w:p>
      <w:pPr>
        <w:pStyle w:val="Bibliography"/>
      </w:pPr>
      <w:r>
        <w:t xml:space="preserve">Zipkin, Daniella A., Craig A. Umscheid, Nancy L. Keating, Elizabeth Allen, KoKo Aung, Rebecca Beyth, Scott Kaatz, et al. 2014.</w:t>
      </w:r>
      <w:r>
        <w:t xml:space="preserve"> </w:t>
      </w:r>
      <w:r>
        <w:t xml:space="preserve">“Evidence-Based Risk Communication: A Systematic Review.”</w:t>
      </w:r>
      <w:r>
        <w:t xml:space="preserve"> </w:t>
      </w:r>
      <w:r>
        <w:rPr>
          <w:i/>
          <w:iCs/>
        </w:rPr>
        <w:t xml:space="preserve">Annals of Internal Medicine</w:t>
      </w:r>
      <w:r>
        <w:t xml:space="preserve"> </w:t>
      </w:r>
      <w:r>
        <w:t xml:space="preserve">161 (4): 270–80.</w:t>
      </w:r>
      <w:r>
        <w:t xml:space="preserve"> </w:t>
      </w:r>
      <w:hyperlink r:id="rId205">
        <w:r>
          <w:rPr>
            <w:rStyle w:val="Hyperlink"/>
          </w:rPr>
          <w:t xml:space="preserve">https://doi.org/10.7326/M14-0295</w:t>
        </w:r>
      </w:hyperlink>
      <w:r>
        <w:t xml:space="preserve">.</w:t>
      </w:r>
    </w:p>
    <w:bookmarkEnd w:id="206"/>
    <w:bookmarkEnd w:id="207"/>
    <w:bookmarkEnd w:id="2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2000)</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67" Target="media/rId67.png" /><Relationship Type="http://schemas.openxmlformats.org/officeDocument/2006/relationships/image" Id="rId31" Target="media/rId31.png" /><Relationship Type="http://schemas.openxmlformats.org/officeDocument/2006/relationships/image" Id="rId55" Target="media/rId55.png" /><Relationship Type="http://schemas.openxmlformats.org/officeDocument/2006/relationships/hyperlink" Id="rId147" Target="https://doi.org/10.1001/jama.284.13.1689" TargetMode="External" /><Relationship Type="http://schemas.openxmlformats.org/officeDocument/2006/relationships/hyperlink" Id="rId127" Target="https://doi.org/10.1001/jamanetworkopen.2020.5852" TargetMode="External" /><Relationship Type="http://schemas.openxmlformats.org/officeDocument/2006/relationships/hyperlink" Id="rId132" Target="https://doi.org/10.1007/978-1-4614-6849-3" TargetMode="External" /><Relationship Type="http://schemas.openxmlformats.org/officeDocument/2006/relationships/hyperlink" Id="rId91" Target="https://doi.org/10.1007/s10488-016-0718-5" TargetMode="External" /><Relationship Type="http://schemas.openxmlformats.org/officeDocument/2006/relationships/hyperlink" Id="rId101" Target="https://doi.org/10.1007/s10862-017-9632-8" TargetMode="External" /><Relationship Type="http://schemas.openxmlformats.org/officeDocument/2006/relationships/hyperlink" Id="rId129" Target="https://doi.org/10.1007/s11920-012-0296-5" TargetMode="External" /><Relationship Type="http://schemas.openxmlformats.org/officeDocument/2006/relationships/hyperlink" Id="rId163" Target="https://doi.org/10.1016/0740-5472(94)00080-b" TargetMode="External" /><Relationship Type="http://schemas.openxmlformats.org/officeDocument/2006/relationships/hyperlink" Id="rId135" Target="https://doi.org/10.1016/j.amepre.2022.08.022" TargetMode="External" /><Relationship Type="http://schemas.openxmlformats.org/officeDocument/2006/relationships/hyperlink" Id="rId106" Target="https://doi.org/10.1016/j.brat.2019.103506" TargetMode="External" /><Relationship Type="http://schemas.openxmlformats.org/officeDocument/2006/relationships/hyperlink" Id="rId184" Target="https://doi.org/10.1016/j.cpr.2005.11.003" TargetMode="External" /><Relationship Type="http://schemas.openxmlformats.org/officeDocument/2006/relationships/hyperlink" Id="rId192" Target="https://doi.org/10.1016/j.cpr.2007.01.002" TargetMode="External" /><Relationship Type="http://schemas.openxmlformats.org/officeDocument/2006/relationships/hyperlink" Id="rId145" Target="https://doi.org/10.1016/j.cpr.2017.10.012" TargetMode="External" /><Relationship Type="http://schemas.openxmlformats.org/officeDocument/2006/relationships/hyperlink" Id="rId118" Target="https://doi.org/10.1016/j.drugalcdep.2006.05.012" TargetMode="External" /><Relationship Type="http://schemas.openxmlformats.org/officeDocument/2006/relationships/hyperlink" Id="rId158" Target="https://doi.org/10.1016/j.drugalcdep.2019.05.017" TargetMode="External" /><Relationship Type="http://schemas.openxmlformats.org/officeDocument/2006/relationships/hyperlink" Id="rId149" Target="https://doi.org/10.1016/j.drugalcdep.2021.108706" TargetMode="External" /><Relationship Type="http://schemas.openxmlformats.org/officeDocument/2006/relationships/hyperlink" Id="rId186" Target="https://doi.org/10.1016/j.jsat.2021.108417" TargetMode="External" /><Relationship Type="http://schemas.openxmlformats.org/officeDocument/2006/relationships/hyperlink" Id="rId156" Target="https://doi.org/10.1016/j.jsat.2021.108710" TargetMode="External" /><Relationship Type="http://schemas.openxmlformats.org/officeDocument/2006/relationships/hyperlink" Id="rId143" Target="https://doi.org/10.1016/j.psc.2010.04.012" TargetMode="External" /><Relationship Type="http://schemas.openxmlformats.org/officeDocument/2006/relationships/hyperlink" Id="rId190" Target="https://doi.org/10.1037/0003-066X.59.4.224" TargetMode="External" /><Relationship Type="http://schemas.openxmlformats.org/officeDocument/2006/relationships/hyperlink" Id="rId170" Target="https://doi.org/10.1037/adb0000666" TargetMode="External" /><Relationship Type="http://schemas.openxmlformats.org/officeDocument/2006/relationships/hyperlink" Id="rId112" Target="https://doi.org/10.1037/ccp0000026" TargetMode="External" /><Relationship Type="http://schemas.openxmlformats.org/officeDocument/2006/relationships/hyperlink" Id="rId87" Target="https://doi.org/10.1038/s41562-019-0772-6" TargetMode="External" /><Relationship Type="http://schemas.openxmlformats.org/officeDocument/2006/relationships/hyperlink" Id="rId138" Target="https://doi.org/10.1080/00952990.2019.1694536" TargetMode="External" /><Relationship Type="http://schemas.openxmlformats.org/officeDocument/2006/relationships/hyperlink" Id="rId180" Target="https://doi.org/10.1093/jamia/ocy052" TargetMode="External" /><Relationship Type="http://schemas.openxmlformats.org/officeDocument/2006/relationships/hyperlink" Id="rId168" Target="https://doi.org/10.1111/add.13479" TargetMode="External" /><Relationship Type="http://schemas.openxmlformats.org/officeDocument/2006/relationships/hyperlink" Id="rId178" Target="https://doi.org/10.1111/j.1530-0277.1984.tb05523.x" TargetMode="External" /><Relationship Type="http://schemas.openxmlformats.org/officeDocument/2006/relationships/hyperlink" Id="rId201" Target="https://doi.org/10.1145/1629890.1629897" TargetMode="External" /><Relationship Type="http://schemas.openxmlformats.org/officeDocument/2006/relationships/hyperlink" Id="rId123" Target="https://doi.org/10.1145/1867699.1867704" TargetMode="External" /><Relationship Type="http://schemas.openxmlformats.org/officeDocument/2006/relationships/hyperlink" Id="rId151" Target="https://doi.org/10.1146/annurev-clinpsy-032816-044949" TargetMode="External" /><Relationship Type="http://schemas.openxmlformats.org/officeDocument/2006/relationships/hyperlink" Id="rId114" Target="https://doi.org/10.1146/annurev-clinpsy-102419-125016" TargetMode="External" /><Relationship Type="http://schemas.openxmlformats.org/officeDocument/2006/relationships/hyperlink" Id="rId95" Target="https://doi.org/10.1146/annurev.clinpsy.3.022806.091455" TargetMode="External" /><Relationship Type="http://schemas.openxmlformats.org/officeDocument/2006/relationships/hyperlink" Id="rId176" Target="https://doi.org/10.1177/0261927X09351676" TargetMode="External" /><Relationship Type="http://schemas.openxmlformats.org/officeDocument/2006/relationships/hyperlink" Id="rId165" Target="https://doi.org/10.1177/1073191114540320" TargetMode="External" /><Relationship Type="http://schemas.openxmlformats.org/officeDocument/2006/relationships/hyperlink" Id="rId194" Target="https://doi.org/10.1177/1073191116653829" TargetMode="External" /><Relationship Type="http://schemas.openxmlformats.org/officeDocument/2006/relationships/hyperlink" Id="rId203" Target="https://doi.org/10.1177/1077558712458541" TargetMode="External" /><Relationship Type="http://schemas.openxmlformats.org/officeDocument/2006/relationships/hyperlink" Id="rId172" Target="https://doi.org/10.1177/1178221820976988" TargetMode="External" /><Relationship Type="http://schemas.openxmlformats.org/officeDocument/2006/relationships/hyperlink" Id="rId182" Target="https://doi.org/10.1377/hlthaff.20.6.64" TargetMode="External" /><Relationship Type="http://schemas.openxmlformats.org/officeDocument/2006/relationships/hyperlink" Id="rId97" Target="https://doi.org/10.21231/GNT1-HW21" TargetMode="External" /><Relationship Type="http://schemas.openxmlformats.org/officeDocument/2006/relationships/hyperlink" Id="rId154" Target="https://doi.org/10.2196/29563" TargetMode="External" /><Relationship Type="http://schemas.openxmlformats.org/officeDocument/2006/relationships/hyperlink" Id="rId89" Target="https://doi.org/10.2196/39862" TargetMode="External" /><Relationship Type="http://schemas.openxmlformats.org/officeDocument/2006/relationships/hyperlink" Id="rId196" Target="https://doi.org/10.2196/41833" TargetMode="External" /><Relationship Type="http://schemas.openxmlformats.org/officeDocument/2006/relationships/hyperlink" Id="rId161" Target="https://doi.org/10.2196/73265" TargetMode="External" /><Relationship Type="http://schemas.openxmlformats.org/officeDocument/2006/relationships/hyperlink" Id="rId199" Target="https://doi.org/10.31234/osf.io/cgsf7" TargetMode="External" /><Relationship Type="http://schemas.openxmlformats.org/officeDocument/2006/relationships/hyperlink" Id="rId108" Target="https://doi.org/10.48550/arXiv.1810.04805" TargetMode="External" /><Relationship Type="http://schemas.openxmlformats.org/officeDocument/2006/relationships/hyperlink" Id="rId110" Target="https://doi.org/10.5555/ajhb.2007.31.supp.S47" TargetMode="External" /><Relationship Type="http://schemas.openxmlformats.org/officeDocument/2006/relationships/hyperlink" Id="rId205" Target="https://doi.org/10.7326/M14-0295" TargetMode="External" /><Relationship Type="http://schemas.openxmlformats.org/officeDocument/2006/relationships/hyperlink" Id="rId125"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103" Target="https://www.ncbi.nlm.nih.gov/pmc/articles/PMC2797101" TargetMode="External" /><Relationship Type="http://schemas.openxmlformats.org/officeDocument/2006/relationships/hyperlink" Id="rId188"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47" Target="https://doi.org/10.1001/jama.284.13.1689" TargetMode="External" /><Relationship Type="http://schemas.openxmlformats.org/officeDocument/2006/relationships/hyperlink" Id="rId127" Target="https://doi.org/10.1001/jamanetworkopen.2020.5852" TargetMode="External" /><Relationship Type="http://schemas.openxmlformats.org/officeDocument/2006/relationships/hyperlink" Id="rId132" Target="https://doi.org/10.1007/978-1-4614-6849-3" TargetMode="External" /><Relationship Type="http://schemas.openxmlformats.org/officeDocument/2006/relationships/hyperlink" Id="rId91" Target="https://doi.org/10.1007/s10488-016-0718-5" TargetMode="External" /><Relationship Type="http://schemas.openxmlformats.org/officeDocument/2006/relationships/hyperlink" Id="rId101" Target="https://doi.org/10.1007/s10862-017-9632-8" TargetMode="External" /><Relationship Type="http://schemas.openxmlformats.org/officeDocument/2006/relationships/hyperlink" Id="rId129" Target="https://doi.org/10.1007/s11920-012-0296-5" TargetMode="External" /><Relationship Type="http://schemas.openxmlformats.org/officeDocument/2006/relationships/hyperlink" Id="rId163" Target="https://doi.org/10.1016/0740-5472(94)00080-b" TargetMode="External" /><Relationship Type="http://schemas.openxmlformats.org/officeDocument/2006/relationships/hyperlink" Id="rId135" Target="https://doi.org/10.1016/j.amepre.2022.08.022" TargetMode="External" /><Relationship Type="http://schemas.openxmlformats.org/officeDocument/2006/relationships/hyperlink" Id="rId106" Target="https://doi.org/10.1016/j.brat.2019.103506" TargetMode="External" /><Relationship Type="http://schemas.openxmlformats.org/officeDocument/2006/relationships/hyperlink" Id="rId184" Target="https://doi.org/10.1016/j.cpr.2005.11.003" TargetMode="External" /><Relationship Type="http://schemas.openxmlformats.org/officeDocument/2006/relationships/hyperlink" Id="rId192" Target="https://doi.org/10.1016/j.cpr.2007.01.002" TargetMode="External" /><Relationship Type="http://schemas.openxmlformats.org/officeDocument/2006/relationships/hyperlink" Id="rId145" Target="https://doi.org/10.1016/j.cpr.2017.10.012" TargetMode="External" /><Relationship Type="http://schemas.openxmlformats.org/officeDocument/2006/relationships/hyperlink" Id="rId118" Target="https://doi.org/10.1016/j.drugalcdep.2006.05.012" TargetMode="External" /><Relationship Type="http://schemas.openxmlformats.org/officeDocument/2006/relationships/hyperlink" Id="rId158" Target="https://doi.org/10.1016/j.drugalcdep.2019.05.017" TargetMode="External" /><Relationship Type="http://schemas.openxmlformats.org/officeDocument/2006/relationships/hyperlink" Id="rId149" Target="https://doi.org/10.1016/j.drugalcdep.2021.108706" TargetMode="External" /><Relationship Type="http://schemas.openxmlformats.org/officeDocument/2006/relationships/hyperlink" Id="rId186" Target="https://doi.org/10.1016/j.jsat.2021.108417" TargetMode="External" /><Relationship Type="http://schemas.openxmlformats.org/officeDocument/2006/relationships/hyperlink" Id="rId156" Target="https://doi.org/10.1016/j.jsat.2021.108710" TargetMode="External" /><Relationship Type="http://schemas.openxmlformats.org/officeDocument/2006/relationships/hyperlink" Id="rId143" Target="https://doi.org/10.1016/j.psc.2010.04.012" TargetMode="External" /><Relationship Type="http://schemas.openxmlformats.org/officeDocument/2006/relationships/hyperlink" Id="rId190" Target="https://doi.org/10.1037/0003-066X.59.4.224" TargetMode="External" /><Relationship Type="http://schemas.openxmlformats.org/officeDocument/2006/relationships/hyperlink" Id="rId170" Target="https://doi.org/10.1037/adb0000666" TargetMode="External" /><Relationship Type="http://schemas.openxmlformats.org/officeDocument/2006/relationships/hyperlink" Id="rId112" Target="https://doi.org/10.1037/ccp0000026" TargetMode="External" /><Relationship Type="http://schemas.openxmlformats.org/officeDocument/2006/relationships/hyperlink" Id="rId87" Target="https://doi.org/10.1038/s41562-019-0772-6" TargetMode="External" /><Relationship Type="http://schemas.openxmlformats.org/officeDocument/2006/relationships/hyperlink" Id="rId138" Target="https://doi.org/10.1080/00952990.2019.1694536" TargetMode="External" /><Relationship Type="http://schemas.openxmlformats.org/officeDocument/2006/relationships/hyperlink" Id="rId180" Target="https://doi.org/10.1093/jamia/ocy052" TargetMode="External" /><Relationship Type="http://schemas.openxmlformats.org/officeDocument/2006/relationships/hyperlink" Id="rId168" Target="https://doi.org/10.1111/add.13479" TargetMode="External" /><Relationship Type="http://schemas.openxmlformats.org/officeDocument/2006/relationships/hyperlink" Id="rId178" Target="https://doi.org/10.1111/j.1530-0277.1984.tb05523.x" TargetMode="External" /><Relationship Type="http://schemas.openxmlformats.org/officeDocument/2006/relationships/hyperlink" Id="rId201" Target="https://doi.org/10.1145/1629890.1629897" TargetMode="External" /><Relationship Type="http://schemas.openxmlformats.org/officeDocument/2006/relationships/hyperlink" Id="rId123" Target="https://doi.org/10.1145/1867699.1867704" TargetMode="External" /><Relationship Type="http://schemas.openxmlformats.org/officeDocument/2006/relationships/hyperlink" Id="rId151" Target="https://doi.org/10.1146/annurev-clinpsy-032816-044949" TargetMode="External" /><Relationship Type="http://schemas.openxmlformats.org/officeDocument/2006/relationships/hyperlink" Id="rId114" Target="https://doi.org/10.1146/annurev-clinpsy-102419-125016" TargetMode="External" /><Relationship Type="http://schemas.openxmlformats.org/officeDocument/2006/relationships/hyperlink" Id="rId95" Target="https://doi.org/10.1146/annurev.clinpsy.3.022806.091455" TargetMode="External" /><Relationship Type="http://schemas.openxmlformats.org/officeDocument/2006/relationships/hyperlink" Id="rId176" Target="https://doi.org/10.1177/0261927X09351676" TargetMode="External" /><Relationship Type="http://schemas.openxmlformats.org/officeDocument/2006/relationships/hyperlink" Id="rId165" Target="https://doi.org/10.1177/1073191114540320" TargetMode="External" /><Relationship Type="http://schemas.openxmlformats.org/officeDocument/2006/relationships/hyperlink" Id="rId194" Target="https://doi.org/10.1177/1073191116653829" TargetMode="External" /><Relationship Type="http://schemas.openxmlformats.org/officeDocument/2006/relationships/hyperlink" Id="rId203" Target="https://doi.org/10.1177/1077558712458541" TargetMode="External" /><Relationship Type="http://schemas.openxmlformats.org/officeDocument/2006/relationships/hyperlink" Id="rId172" Target="https://doi.org/10.1177/1178221820976988" TargetMode="External" /><Relationship Type="http://schemas.openxmlformats.org/officeDocument/2006/relationships/hyperlink" Id="rId182" Target="https://doi.org/10.1377/hlthaff.20.6.64" TargetMode="External" /><Relationship Type="http://schemas.openxmlformats.org/officeDocument/2006/relationships/hyperlink" Id="rId97" Target="https://doi.org/10.21231/GNT1-HW21" TargetMode="External" /><Relationship Type="http://schemas.openxmlformats.org/officeDocument/2006/relationships/hyperlink" Id="rId154" Target="https://doi.org/10.2196/29563" TargetMode="External" /><Relationship Type="http://schemas.openxmlformats.org/officeDocument/2006/relationships/hyperlink" Id="rId89" Target="https://doi.org/10.2196/39862" TargetMode="External" /><Relationship Type="http://schemas.openxmlformats.org/officeDocument/2006/relationships/hyperlink" Id="rId196" Target="https://doi.org/10.2196/41833" TargetMode="External" /><Relationship Type="http://schemas.openxmlformats.org/officeDocument/2006/relationships/hyperlink" Id="rId161" Target="https://doi.org/10.2196/73265" TargetMode="External" /><Relationship Type="http://schemas.openxmlformats.org/officeDocument/2006/relationships/hyperlink" Id="rId199" Target="https://doi.org/10.31234/osf.io/cgsf7" TargetMode="External" /><Relationship Type="http://schemas.openxmlformats.org/officeDocument/2006/relationships/hyperlink" Id="rId108" Target="https://doi.org/10.48550/arXiv.1810.04805" TargetMode="External" /><Relationship Type="http://schemas.openxmlformats.org/officeDocument/2006/relationships/hyperlink" Id="rId110" Target="https://doi.org/10.5555/ajhb.2007.31.supp.S47" TargetMode="External" /><Relationship Type="http://schemas.openxmlformats.org/officeDocument/2006/relationships/hyperlink" Id="rId205" Target="https://doi.org/10.7326/M14-0295" TargetMode="External" /><Relationship Type="http://schemas.openxmlformats.org/officeDocument/2006/relationships/hyperlink" Id="rId125"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103" Target="https://www.ncbi.nlm.nih.gov/pmc/articles/PMC2797101" TargetMode="External" /><Relationship Type="http://schemas.openxmlformats.org/officeDocument/2006/relationships/hyperlink" Id="rId188"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Risk of Alcohol Lapse up to Two Weeks in Advance using Time-lagged Machine Learning Models</dc:title>
  <dc:creator>Kendra Wyant; Gaylen E. Fronk; Jiachen Yu; Claire E. Punturieri; John J. Curtin</dc:creator>
  <cp:keywords>Substance use disorders, Precision mental health</cp:keywords>
  <dcterms:created xsi:type="dcterms:W3CDTF">2025-08-22T16:18:05Z</dcterms:created>
  <dcterms:modified xsi:type="dcterms:W3CDTF">2025-08-22T16:18:05Z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developed machine learning models to predict future alcohol lapses within 24-hour windows lagged 1 day, 3 days, 1 week, and 2 weeks. We engineered features from 4x daily ecological momentary assessment from individuals (N=151; 51% male; mean age=41; 87% non-Hispanic White) in early recovery over three months. We trained and evaluated models using nested cross-validation. Median posterior auROC was high (0.85–0.91) for all models but decreased modestly with increasing lag. Models performed worse for non-advantaged groups (non-White and/or Hispanic, below poverty, female). Past alcohol use, abstinence self-efficacy, and craving were the most important features, with the magnitude of importance varying meaningfully by lag. These findings demonstrate feasibility of predicting next-day lapses up to two weeks in advance. Embedding these models in a recovery monitoring support system could enable adaptive, personalized care. Improving model fairness and optimizing the delivery of model feedback to sustain engagement remain critical next steps.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2025-08-22</vt:lpwstr>
  </property>
  <property fmtid="{D5CDD505-2E9C-101B-9397-08002B2CF9AE}" pid="12" name="editor_options">
    <vt:lpwstr/>
  </property>
  <property fmtid="{D5CDD505-2E9C-101B-9397-08002B2CF9AE}" pid="13" name="financial-support">
    <vt:lpwstr>This research was supported by grants from the National Institute on Alcohol Abuse and Alcoholism (NIAAA; R01 AA024391 to John J. Curtin) and the National Institute on Drug Abuse (NIDA; R01 DA047315 to John J. Curtin).</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