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Claire E. Punturieri</w:t>
      </w:r>
    </w:p>
    <w:p>
      <w:pPr>
        <w:pStyle w:val="Author"/>
      </w:pPr>
      <w:r>
        <w:t xml:space="preserve">John J. Curtin</w:t>
      </w:r>
    </w:p>
    <w:p>
      <w:pPr>
        <w:pStyle w:val="Date"/>
      </w:pPr>
      <w:r>
        <w:t xml:space="preserve">2025-08-22</w:t>
      </w:r>
    </w:p>
    <w:p>
      <w:pPr>
        <w:pStyle w:val="AbstractTitle"/>
      </w:pPr>
      <w:r>
        <w:t xml:space="preserve">Abstract</w:t>
      </w:r>
    </w:p>
    <w:p>
      <w:pPr>
        <w:pStyle w:val="Abstract"/>
      </w:pPr>
      <w:r>
        <w:t xml:space="preserve">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(Dennis &amp; Scott, 2007; McLellan et al., 2000)</w:t>
      </w:r>
      <w:r>
        <w:t xml:space="preserve">, substantial co-morbidity with other physical and mental health problems</w:t>
      </w:r>
      <w:r>
        <w:t xml:space="preserve"> </w:t>
      </w:r>
      <w:r>
        <w:t xml:space="preserve">(Dennis &amp; Scott, 2007; Substance Abuse and Mental Health Services Administration, n.d.)</w:t>
      </w:r>
      <w:r>
        <w:t xml:space="preserve">, and an increased risk of mortality</w:t>
      </w:r>
      <w:r>
        <w:t xml:space="preserve"> </w:t>
      </w:r>
      <w:r>
        <w:t xml:space="preserve">(Centers for Disease Control and Prevention (CDC), n.d.; Hedegaard et al., 2021)</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Moreover,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(Socías et al., 2016; Stanojlović &amp; Davidson, 2021; Substance Abuse and Mental Health Services Administration, n.d.)</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&amp; Gordon, 1985; Witkiewitz &amp; Marlatt, 2004)</w:t>
      </w:r>
      <w:r>
        <w:t xml:space="preserve">. Critically, the risk factors that instigate lapses during recovery are individualized, numerous, dynamic, interactive, and non-linear</w:t>
      </w:r>
      <w:r>
        <w:t xml:space="preserve"> </w:t>
      </w:r>
      <w:r>
        <w:t xml:space="preserve">(Brandon et al., 2007; Witkiewitz &amp; Marlatt,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et al., 2016; DeRubeis, 2019; Kranzler &amp;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et al., 2017)</w:t>
      </w:r>
      <w:r>
        <w:t xml:space="preserve"> </w:t>
      </w:r>
      <w:r>
        <w:t xml:space="preserve">and machine learning</w:t>
      </w:r>
      <w:r>
        <w:t xml:space="preserve"> </w:t>
      </w:r>
      <w:r>
        <w:t xml:space="preserve">(Hastie et al.,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(Bowen et al., 2021; Marlatt &amp; Gordon, 1985; Witkiewitz &amp; Marlatt, 2004)</w:t>
      </w:r>
      <w:r>
        <w:t xml:space="preserve">. Furthermore, individuals with SUDs have found EMA to be acceptable for sustained measurement for up to a year with relatively high compliance</w:t>
      </w:r>
      <w:r>
        <w:t xml:space="preserve"> </w:t>
      </w:r>
      <w:r>
        <w:t xml:space="preserve">(Moshontz et al., 2021; Wyant et al., 2023)</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&amp; Lee, 2017)</w:t>
      </w:r>
      <w:r>
        <w:t xml:space="preserve">) now allow us to probe these models to understand which risk features contribute most strongly to a lapse prediction for a specific individual at a specific moment in time. Interventions, supports, and/or suggested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et al., 2022; Walters et al., 2021; Wyant et al., 2024)</w:t>
      </w:r>
      <w:r>
        <w:t xml:space="preserve">. This research is important because it rigorously required strict temporal ordering necessary for true prediction, with features measured before alcohol use outcomes. These studies also used resampling methods (e.g., cross-validation) that prioritize model generalizability to increase the likelihood these models will perform well with new people.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we developed models that predict lapses in the immediate future (i.e., the next day and even the next hour) with areas under the receiver operating characteristic curve (auROCs)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then be provided. For example, if predicted lapse probability is high due to frequent craving, the individual could be reminded about the benefits of urge surfing or distracting activities during brief periods when cravings arise. Conversely, guided relaxation techniques could be recommended if lapse probability is high due to recent past and anticipated stressors that day. Patients could also be assisted to implement any of these recommendations using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 (AUD)</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implementation.</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(Kilaru et al., 2020; Pinedo, 2019)</w:t>
      </w:r>
      <w:r>
        <w:t xml:space="preserve">, income</w:t>
      </w:r>
      <w:r>
        <w:t xml:space="preserve"> </w:t>
      </w:r>
      <w:r>
        <w:t xml:space="preserve">(Olfson et al., 2022)</w:t>
      </w:r>
      <w:r>
        <w:t xml:space="preserve"> </w:t>
      </w:r>
      <w:r>
        <w:t xml:space="preserve">and sex at birth</w:t>
      </w:r>
      <w:r>
        <w:t xml:space="preserve"> </w:t>
      </w:r>
      <w:r>
        <w:t xml:space="preserve">(Greenfield et al., 2007; Kilaru et al., 2020)</w:t>
      </w:r>
      <w:r>
        <w:t xml:space="preserve">. Finally, we calculated Shapley values for feature categories defined by EMA items to better understand how these models generate predictions and how these features can be used to tailor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preregistration,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192 participants in early recovery from AUD in Madison, Wisconsin, USA for a 3-month longitudinal study.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Of the 192 eligible participants,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reviewed the meaning of each question with a member of the research team during their intake visit to ensure consistent question interpretation.</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 On the first EMA each day, participants also rated anticipated risky situations, stressful events,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2000)</w:t>
      </w:r>
      <w:r>
        <w:t xml:space="preserve">) to characterize our sample. DSM-5 AUD symptom count and presence of psychological symptoms were also used to determine eligibility. Demographics were included as features in our models. A subset of these variables (sex at birth, race, ethnicity, and income) were used for model fairness analyses, as they have documented disparities in treatment access and outcomes. 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(version 4.4.2) using the tidymodels ecosystem</w:t>
      </w:r>
      <w:r>
        <w:t xml:space="preserve"> </w:t>
      </w:r>
      <w:r>
        <w:t xml:space="preserve">(Goodrich et al., 2023; Kuhn, 2022; Kuhn &amp; Wickham, 2020)</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w:t>
      </w:r>
    </w:p>
    <w:p>
      <w:pPr>
        <w:pStyle w:val="BodyText"/>
      </w:pPr>
      <w:r>
        <w:t xml:space="preserve">Given this structure, our models provided hour-by-hour predicted probabilities of an alcohol lapse in a future 24-hour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24-hour periods staring at midnight that day, or 24-hour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dates and times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the baseline (no lag) model; 270,911 labels for the 1-day lagged model; 264,362 labels for the 3-day lagged model; 251,458 labels for the 1-week lagged model; and 228,420 labels for the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the no lag model, the prediction timepoint was at the start of prediction window, so all data prior to the start of the prediction window were included. For the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at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non-White and/or Hispanic), marital status (married vs. not married vs. other), education (high school or less vs. some college vs. college degree), and employment status (employed vs. unemployed).</w:t>
      </w:r>
    </w:p>
    <w:p>
      <w:pPr>
        <w:numPr>
          <w:ilvl w:val="0"/>
          <w:numId w:val="1002"/>
        </w:numPr>
      </w:pPr>
      <w:r>
        <w:rPr>
          <w:i/>
          <w:iCs/>
        </w:rPr>
        <w:t xml:space="preserve">Previous EMA responses</w:t>
      </w:r>
      <w:r>
        <w:t xml:space="preserve">: We calculated raw and change features using EMAs in varying feature scoring epochs (i.e., 12, 24, 48, 72, and 168 hours) before the prediction timepoint for all EMA items. Raw features included min, max, and median scores for each EMA item across all EMAs in each epoch for a given participant. We calculated change features by subtracting each participant’s baseline mean score for each EMA item from their raw feature. These baseline mean scores were calculated using all of a participant’s EMAs collected from the start of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&amp; Johnson, 2018)</w:t>
      </w:r>
      <w:r>
        <w:t xml:space="preserve">. Candidate model configurations differed across sensible values for key hyperparameters. Configurations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(Gabry &amp; Goodrich, 2023; RStudio Team, 2020)</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(1-day lag vs. no lag, 3-day lag vs. no lag, 1-week lag vs. no lag, 2-week lag vs. no lag). The second set compared adjacently lagged models (3-day lag vs. 1-day lag, 1-week lag vs. 3-day lag, 2-week lag vs. 1-week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(non-White and/or Hispanic vs. non-Hispanic White), income (below poverty line vs. above poverty line</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24-hour window for a specific participant), which indicates the</w:t>
      </w:r>
      <w:r>
        <w:t xml:space="preserve"> </w:t>
      </w:r>
      <w:r>
        <w:t xml:space="preserve">“local importance”</w:t>
      </w:r>
      <w:r>
        <w:t xml:space="preserve"> </w:t>
      </w:r>
      <w:r>
        <w:t xml:space="preserve">of that feature</w:t>
      </w:r>
      <w:r>
        <w:t xml:space="preserve"> </w:t>
      </w:r>
      <w:r>
        <w:t xml:space="preserve">(Lundberg &amp;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[0.88-0.91],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12,000 posterior samples (4 chains × 3,000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smaller than 0 for all baseline and adjacent lag contrasts. Median auROC differences less than 0 indicate the more lagged model, on average, performed worse than the more immediate model (e.g., 1-day lag – no lag, 3-day lag – 1-day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smaller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1-day vs. No lag</w:t>
                  </w:r>
                </w:p>
              </w:tc>
              <w:tc>
                <w:tcPr/>
                <w:p>
                  <w:pPr>
                    <w:pStyle w:val="Compact"/>
                    <w:jc w:val="left"/>
                    <w:jc w:val="center"/>
                  </w:pPr>
                  <w:r>
                    <w:t xml:space="preserve">-0.021</w:t>
                  </w:r>
                </w:p>
              </w:tc>
              <w:tc>
                <w:tcPr/>
                <w:p>
                  <w:pPr>
                    <w:pStyle w:val="Compact"/>
                    <w:jc w:val="left"/>
                    <w:jc w:val="center"/>
                  </w:pPr>
                  <w:r>
                    <w:t xml:space="preserve">[-0.025, -0.017]</w:t>
                  </w:r>
                </w:p>
              </w:tc>
              <w:tc>
                <w:tcPr/>
                <w:p>
                  <w:pPr>
                    <w:pStyle w:val="Compact"/>
                    <w:jc w:val="left"/>
                    <w:jc w:val="center"/>
                  </w:pPr>
                  <w:r>
                    <w:t xml:space="preserve">1</w:t>
                  </w:r>
                </w:p>
              </w:tc>
            </w:tr>
            <w:tr>
              <w:tc>
                <w:tcPr/>
                <w:p>
                  <w:pPr>
                    <w:pStyle w:val="Compact"/>
                    <w:jc w:val="left"/>
                    <w:jc w:val="center"/>
                  </w:pPr>
                  <w:r>
                    <w:t xml:space="preserve">3-day vs. No lag</w:t>
                  </w:r>
                </w:p>
              </w:tc>
              <w:tc>
                <w:tcPr/>
                <w:p>
                  <w:pPr>
                    <w:pStyle w:val="Compact"/>
                    <w:jc w:val="left"/>
                    <w:jc w:val="center"/>
                  </w:pPr>
                  <w:r>
                    <w:t xml:space="preserve">-0.03</w:t>
                  </w:r>
                </w:p>
              </w:tc>
              <w:tc>
                <w:tcPr/>
                <w:p>
                  <w:pPr>
                    <w:pStyle w:val="Compact"/>
                    <w:jc w:val="left"/>
                    <w:jc w:val="center"/>
                  </w:pPr>
                  <w:r>
                    <w:t xml:space="preserve">[-0.035, -0.025]</w:t>
                  </w:r>
                </w:p>
              </w:tc>
              <w:tc>
                <w:tcPr/>
                <w:p>
                  <w:pPr>
                    <w:pStyle w:val="Compact"/>
                    <w:jc w:val="left"/>
                    <w:jc w:val="center"/>
                  </w:pPr>
                  <w:r>
                    <w:t xml:space="preserve">1</w:t>
                  </w:r>
                </w:p>
              </w:tc>
            </w:tr>
            <w:tr>
              <w:tc>
                <w:tcPr/>
                <w:p>
                  <w:pPr>
                    <w:pStyle w:val="Compact"/>
                    <w:jc w:val="left"/>
                    <w:jc w:val="center"/>
                  </w:pPr>
                  <w:r>
                    <w:t xml:space="preserve">1-week vs. No lag</w:t>
                  </w:r>
                </w:p>
              </w:tc>
              <w:tc>
                <w:tcPr/>
                <w:p>
                  <w:pPr>
                    <w:pStyle w:val="Compact"/>
                    <w:jc w:val="left"/>
                    <w:jc w:val="center"/>
                  </w:pPr>
                  <w:r>
                    <w:t xml:space="preserve">-0.042</w:t>
                  </w:r>
                </w:p>
              </w:tc>
              <w:tc>
                <w:tcPr/>
                <w:p>
                  <w:pPr>
                    <w:pStyle w:val="Compact"/>
                    <w:jc w:val="left"/>
                    <w:jc w:val="center"/>
                  </w:pPr>
                  <w:r>
                    <w:t xml:space="preserve">[-0.048, -0.037]</w:t>
                  </w:r>
                </w:p>
              </w:tc>
              <w:tc>
                <w:tcPr/>
                <w:p>
                  <w:pPr>
                    <w:pStyle w:val="Compact"/>
                    <w:jc w:val="left"/>
                    <w:jc w:val="center"/>
                  </w:pPr>
                  <w:r>
                    <w:t xml:space="preserve">1</w:t>
                  </w:r>
                </w:p>
              </w:tc>
            </w:tr>
            <w:tr>
              <w:tc>
                <w:tcPr/>
                <w:p>
                  <w:pPr>
                    <w:pStyle w:val="Compact"/>
                    <w:jc w:val="left"/>
                    <w:jc w:val="center"/>
                  </w:pPr>
                  <w:r>
                    <w:t xml:space="preserve">2-week vs. No lag</w:t>
                  </w:r>
                </w:p>
              </w:tc>
              <w:tc>
                <w:tcPr/>
                <w:p>
                  <w:pPr>
                    <w:pStyle w:val="Compact"/>
                    <w:jc w:val="left"/>
                    <w:jc w:val="center"/>
                  </w:pPr>
                  <w:r>
                    <w:t xml:space="preserve">-0.062</w:t>
                  </w:r>
                </w:p>
              </w:tc>
              <w:tc>
                <w:tcPr/>
                <w:p>
                  <w:pPr>
                    <w:pStyle w:val="Compact"/>
                    <w:jc w:val="left"/>
                    <w:jc w:val="center"/>
                  </w:pPr>
                  <w:r>
                    <w:t xml:space="preserve">[-0.07, -0.056]</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3-day vs. 1-day</w:t>
                  </w:r>
                </w:p>
              </w:tc>
              <w:tc>
                <w:tcPr/>
                <w:p>
                  <w:pPr>
                    <w:pStyle w:val="Compact"/>
                    <w:jc w:val="left"/>
                    <w:jc w:val="center"/>
                  </w:pPr>
                  <w:r>
                    <w:t xml:space="preserve">-0.009</w:t>
                  </w:r>
                </w:p>
              </w:tc>
              <w:tc>
                <w:tcPr/>
                <w:p>
                  <w:pPr>
                    <w:pStyle w:val="Compact"/>
                    <w:jc w:val="left"/>
                    <w:jc w:val="center"/>
                  </w:pPr>
                  <w:r>
                    <w:t xml:space="preserve">[-0.013, -0.005]</w:t>
                  </w:r>
                </w:p>
              </w:tc>
              <w:tc>
                <w:tcPr/>
                <w:p>
                  <w:pPr>
                    <w:pStyle w:val="Compact"/>
                    <w:jc w:val="left"/>
                    <w:jc w:val="center"/>
                  </w:pPr>
                  <w:r>
                    <w:t xml:space="preserve">1</w:t>
                  </w:r>
                </w:p>
              </w:tc>
            </w:tr>
            <w:tr>
              <w:tc>
                <w:tcPr/>
                <w:p>
                  <w:pPr>
                    <w:pStyle w:val="Compact"/>
                    <w:jc w:val="left"/>
                    <w:jc w:val="center"/>
                  </w:pPr>
                  <w:r>
                    <w:t xml:space="preserve">1-week vs. 3-day</w:t>
                  </w:r>
                </w:p>
              </w:tc>
              <w:tc>
                <w:tcPr/>
                <w:p>
                  <w:pPr>
                    <w:pStyle w:val="Compact"/>
                    <w:jc w:val="left"/>
                    <w:jc w:val="center"/>
                  </w:pPr>
                  <w:r>
                    <w:t xml:space="preserve">-0.012</w:t>
                  </w:r>
                </w:p>
              </w:tc>
              <w:tc>
                <w:tcPr/>
                <w:p>
                  <w:pPr>
                    <w:pStyle w:val="Compact"/>
                    <w:jc w:val="left"/>
                    <w:jc w:val="center"/>
                  </w:pPr>
                  <w:r>
                    <w:t xml:space="preserve">[-0.017, -0.008]</w:t>
                  </w:r>
                </w:p>
              </w:tc>
              <w:tc>
                <w:tcPr/>
                <w:p>
                  <w:pPr>
                    <w:pStyle w:val="Compact"/>
                    <w:jc w:val="left"/>
                    <w:jc w:val="center"/>
                  </w:pPr>
                  <w:r>
                    <w:t xml:space="preserve">1</w:t>
                  </w:r>
                </w:p>
              </w:tc>
            </w:tr>
            <w:tr>
              <w:tc>
                <w:tcPr/>
                <w:p>
                  <w:pPr>
                    <w:pStyle w:val="Compact"/>
                    <w:jc w:val="left"/>
                    <w:jc w:val="center"/>
                  </w:pPr>
                  <w:r>
                    <w:t xml:space="preserve">2-week vs. 1-week</w:t>
                  </w:r>
                </w:p>
              </w:tc>
              <w:tc>
                <w:tcPr/>
                <w:p>
                  <w:pPr>
                    <w:pStyle w:val="Compact"/>
                    <w:jc w:val="left"/>
                    <w:jc w:val="center"/>
                  </w:pPr>
                  <w:r>
                    <w:t xml:space="preserve">-0.02</w:t>
                  </w:r>
                </w:p>
              </w:tc>
              <w:tc>
                <w:tcPr/>
                <w:p>
                  <w:pPr>
                    <w:pStyle w:val="Compact"/>
                    <w:jc w:val="left"/>
                    <w:jc w:val="center"/>
                  </w:pPr>
                  <w:r>
                    <w:t xml:space="preserve">[-0.026, -0.015]</w:t>
                  </w:r>
                </w:p>
              </w:tc>
              <w:tc>
                <w:tcPr/>
                <w:p>
                  <w:pPr>
                    <w:pStyle w:val="Compact"/>
                    <w:jc w:val="left"/>
                    <w:jc w:val="center"/>
                  </w:pPr>
                  <w:r>
                    <w:t xml:space="preserve">1</w:t>
                  </w:r>
                </w:p>
              </w:tc>
            </w:tr>
            <w:tr>
              <w:tc>
                <w:tcPr/>
                <w:p>
                  <w:pPr>
                    <w:pStyle w:val="Compact"/>
                    <w:jc w:val="left"/>
                    <w:jc w:val="center"/>
                  </w:pPr>
                  <w:r>
                    <w:t xml:space="preserve"> </w:t>
                  </w:r>
                  <w:r>
                    <w:t xml:space="preserve">Median auROC differences less than 0 indicate the more lagged model, on average, performed worse than the more immediate model (e.g., 1-day lag - no lag, 3-day lag - 1-day lag). Bayesian CI represents the range of values where there is a 95% probability that the true auROC difference lies within that range. Probability indicates the posterior probability that this difference is smaller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smaller than 0 for the three fairness contrasts: race/ethnicity (non-White and/or Hispanic;</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 line;</w:t>
      </w:r>
      <w:r>
        <w:t xml:space="preserve"> </w:t>
      </w:r>
      <w:r>
        <w:rPr>
          <w:i/>
          <w:iCs/>
        </w:rPr>
        <w:t xml:space="preserve">N</w:t>
      </w:r>
      <w:r>
        <w:t xml:space="preserve"> </w:t>
      </w:r>
      <w:r>
        <w:t xml:space="preserve">= 49 vs. above poverty line;</w:t>
      </w:r>
      <w:r>
        <w:t xml:space="preserve"> </w:t>
      </w:r>
      <w:r>
        <w:rPr>
          <w:i/>
          <w:iCs/>
        </w:rPr>
        <w:t xml:space="preserve">N</w:t>
      </w:r>
      <w:r>
        <w:t xml:space="preserve"> </w:t>
      </w:r>
      <w:r>
        <w:t xml:space="preserve">= 102). Median auROC differences less than 0 indicate the model, on average, performed worse for the non-advantaged group (female, non-White, below poverty line) compared to the advantaged group (male, non-Hispanic White, and above poverty line).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.84) that our models performed worse for the non-advantaged groups compared to the advantaged groups. On average, across all five models, there was a median decrease in auROC of 0.13 (range 0.13-0.17) for participants who were non-White and/or Hispanic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non-White and/or Hispanic vs. 8%, non-Hispanic White), income (12%, below poverty line vs. 7%, above poverty line),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smaller than 0 for fairness contrasts for the no lag and 2-week lagged models.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-0.043</w:t>
                  </w:r>
                </w:p>
              </w:tc>
              <w:tc>
                <w:tcPr/>
                <w:p>
                  <w:pPr>
                    <w:pStyle w:val="Compact"/>
                    <w:jc w:val="left"/>
                    <w:jc w:val="center"/>
                  </w:pPr>
                  <w:r>
                    <w:t xml:space="preserve">[-0.059, -0.028]</w:t>
                  </w:r>
                </w:p>
              </w:tc>
              <w:tc>
                <w:tcPr/>
                <w:p>
                  <w:pPr>
                    <w:pStyle w:val="Compact"/>
                    <w:jc w:val="left"/>
                    <w:jc w:val="center"/>
                  </w:pPr>
                  <w:r>
                    <w:t xml:space="preserve">1</w:t>
                  </w:r>
                </w:p>
              </w:tc>
            </w:tr>
            <w:tr>
              <w:tc>
                <w:tcPr/>
                <w:p>
                  <w:pPr>
                    <w:pStyle w:val="Compact"/>
                    <w:jc w:val="left"/>
                    <w:jc w:val="center"/>
                  </w:pPr>
                  <w:r>
                    <w:t xml:space="preserve">non-White and/or Hispanic vs. non-Hispanic White</w:t>
                  </w:r>
                </w:p>
              </w:tc>
              <w:tc>
                <w:tcPr/>
                <w:p>
                  <w:pPr>
                    <w:pStyle w:val="Compact"/>
                    <w:jc w:val="left"/>
                    <w:jc w:val="center"/>
                  </w:pPr>
                  <w:r>
                    <w:t xml:space="preserve">-0.131</w:t>
                  </w:r>
                </w:p>
              </w:tc>
              <w:tc>
                <w:tcPr/>
                <w:p>
                  <w:pPr>
                    <w:pStyle w:val="Compact"/>
                    <w:jc w:val="left"/>
                    <w:jc w:val="center"/>
                  </w:pPr>
                  <w:r>
                    <w:t xml:space="preserve">[-0.222, -0.057]</w:t>
                  </w:r>
                </w:p>
              </w:tc>
              <w:tc>
                <w:tcPr/>
                <w:p>
                  <w:pPr>
                    <w:pStyle w:val="Compact"/>
                    <w:jc w:val="left"/>
                    <w:jc w:val="center"/>
                  </w:pPr>
                  <w:r>
                    <w:t xml:space="preserve">0.999</w:t>
                  </w:r>
                </w:p>
              </w:tc>
            </w:tr>
            <w:tr>
              <w:tc>
                <w:tcPr/>
                <w:p>
                  <w:pPr>
                    <w:pStyle w:val="Compact"/>
                    <w:jc w:val="left"/>
                    <w:jc w:val="center"/>
                  </w:pPr>
                  <w:r>
                    <w:t xml:space="preserve">below poverty line vs. above poverty line</w:t>
                  </w:r>
                </w:p>
              </w:tc>
              <w:tc>
                <w:tcPr/>
                <w:p>
                  <w:pPr>
                    <w:pStyle w:val="Compact"/>
                    <w:jc w:val="left"/>
                    <w:jc w:val="center"/>
                  </w:pPr>
                  <w:r>
                    <w:t xml:space="preserve">-0.012</w:t>
                  </w:r>
                </w:p>
              </w:tc>
              <w:tc>
                <w:tcPr/>
                <w:p>
                  <w:pPr>
                    <w:pStyle w:val="Compact"/>
                    <w:jc w:val="left"/>
                    <w:jc w:val="center"/>
                  </w:pPr>
                  <w:r>
                    <w:t xml:space="preserve">[-0.033, 0.007]</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-0.098</w:t>
                  </w:r>
                </w:p>
              </w:tc>
              <w:tc>
                <w:tcPr/>
                <w:p>
                  <w:pPr>
                    <w:pStyle w:val="Compact"/>
                    <w:jc w:val="left"/>
                    <w:jc w:val="center"/>
                  </w:pPr>
                  <w:r>
                    <w:t xml:space="preserve">[-0.125, -0.073]</w:t>
                  </w:r>
                </w:p>
              </w:tc>
              <w:tc>
                <w:tcPr/>
                <w:p>
                  <w:pPr>
                    <w:pStyle w:val="Compact"/>
                    <w:jc w:val="left"/>
                    <w:jc w:val="center"/>
                  </w:pPr>
                  <w:r>
                    <w:t xml:space="preserve">1</w:t>
                  </w:r>
                </w:p>
              </w:tc>
            </w:tr>
            <w:tr>
              <w:tc>
                <w:tcPr/>
                <w:p>
                  <w:pPr>
                    <w:pStyle w:val="Compact"/>
                    <w:jc w:val="left"/>
                    <w:jc w:val="center"/>
                  </w:pPr>
                  <w:r>
                    <w:t xml:space="preserve">non-White and/or Hispanic vs. non-Hispanic White</w:t>
                  </w:r>
                </w:p>
              </w:tc>
              <w:tc>
                <w:tcPr/>
                <w:p>
                  <w:pPr>
                    <w:pStyle w:val="Compact"/>
                    <w:jc w:val="left"/>
                    <w:jc w:val="center"/>
                  </w:pPr>
                  <w:r>
                    <w:t xml:space="preserve">-0.13</w:t>
                  </w:r>
                </w:p>
              </w:tc>
              <w:tc>
                <w:tcPr/>
                <w:p>
                  <w:pPr>
                    <w:pStyle w:val="Compact"/>
                    <w:jc w:val="left"/>
                    <w:jc w:val="center"/>
                  </w:pPr>
                  <w:r>
                    <w:t xml:space="preserve">[-0.208, -0.058]</w:t>
                  </w:r>
                </w:p>
              </w:tc>
              <w:tc>
                <w:tcPr/>
                <w:p>
                  <w:pPr>
                    <w:pStyle w:val="Compact"/>
                    <w:jc w:val="left"/>
                    <w:jc w:val="center"/>
                  </w:pPr>
                  <w:r>
                    <w:t xml:space="preserve">0.998</w:t>
                  </w:r>
                </w:p>
              </w:tc>
            </w:tr>
            <w:tr>
              <w:tc>
                <w:tcPr/>
                <w:p>
                  <w:pPr>
                    <w:pStyle w:val="Compact"/>
                    <w:jc w:val="left"/>
                    <w:jc w:val="center"/>
                  </w:pPr>
                  <w:r>
                    <w:t xml:space="preserve">below poverty line vs. above poverty line</w:t>
                  </w:r>
                </w:p>
              </w:tc>
              <w:tc>
                <w:tcPr/>
                <w:p>
                  <w:pPr>
                    <w:pStyle w:val="Compact"/>
                    <w:jc w:val="left"/>
                    <w:jc w:val="center"/>
                  </w:pPr>
                  <w:r>
                    <w:t xml:space="preserve">-0.039</w:t>
                  </w:r>
                </w:p>
              </w:tc>
              <w:tc>
                <w:tcPr/>
                <w:p>
                  <w:pPr>
                    <w:pStyle w:val="Compact"/>
                    <w:jc w:val="left"/>
                    <w:jc w:val="center"/>
                  </w:pPr>
                  <w:r>
                    <w:t xml:space="preserve">[-0.073, -0.008]</w:t>
                  </w:r>
                </w:p>
              </w:tc>
              <w:tc>
                <w:tcPr/>
                <w:p>
                  <w:pPr>
                    <w:pStyle w:val="Compact"/>
                    <w:jc w:val="left"/>
                    <w:jc w:val="center"/>
                  </w:pPr>
                  <w:r>
                    <w:t xml:space="preserve">0.98</w:t>
                  </w:r>
                </w:p>
              </w:tc>
            </w:tr>
            <w:tr>
              <w:tc>
                <w:tcPr/>
                <w:p>
                  <w:pPr>
                    <w:pStyle w:val="Compact"/>
                    <w:jc w:val="left"/>
                    <w:jc w:val="center"/>
                  </w:pPr>
                  <w:r>
                    <w:t xml:space="preserve"> </w:t>
                  </w:r>
                  <w:r>
                    <w:t xml:space="preserve">Median auROC differences less than 0 indicate the model, on average, performed worse for the disadvantaged group (female, non-White and/or Hispanic, income below poverty line) compared to the advantaged group (male, non-Hispanic White, income above poverty line). Bayesian CI represents the range of values where there is a 95% probability that the true auROC difference lies within that range. Probability indicates the posterior probability that this difference is smaller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.063. For comparison, raw probability scores yielded Brier scores of .071 and .077 for the no lag and 2-week lagged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6" w:name="discussion"/>
    <w:p>
      <w:pPr>
        <w:pStyle w:val="Heading1"/>
      </w:pPr>
      <w:r>
        <w:t xml:space="preserve">Discussion</w:t>
      </w:r>
    </w:p>
    <w:p>
      <w:pPr>
        <w:pStyle w:val="FirstParagraph"/>
      </w:pPr>
      <w:r>
        <w:t xml:space="preserve">All the models that we evaluated performed exceptionally well. The no lag model, which predicts the probability of an immediate (i.e., within 24 hours) lapse back to alcohol use, had a .91 median posterior probability for auROC.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Start w:id="80"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et al., 2018)</w:t>
      </w:r>
      <w:r>
        <w:t xml:space="preserve">. In this study, we assessed model fairness by comparing model performance across important subgroups with known disparities in substance use treatment access and/or outcomes - race/ethnicity (non-White and/or Hispanic vs. non-Hispanic White), income (below poverty line vs. above poverty line), and sex at birth (female vs. male).</w:t>
      </w:r>
    </w:p>
    <w:p>
      <w:pPr>
        <w:pStyle w:val="BodyText"/>
      </w:pPr>
      <w:r>
        <w:t xml:space="preserve">All models performed worse for people who were non-White and/or Hispanic, and for people who had an income below the poverty line. The lack of diversity in our training data was likely a key contributor to the poorer model performance in these subgroups. Participants of color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enabled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w:t>
      </w:r>
      <w:r>
        <w:t xml:space="preserve"> </w:t>
      </w:r>
      <w:r>
        <w:t xml:space="preserve">(David et al., 2018; Fisher, 2015; Roche et al., 2014; Wright et al., 2016)</w:t>
      </w:r>
      <w:r>
        <w:t xml:space="preserve"> </w:t>
      </w:r>
      <w:r>
        <w:t xml:space="preserve">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et al.,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&amp;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&amp;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(Blei et al., 2003; Devlin et al., 2019; Tausczik &amp; Pennebaker, 2010)</w:t>
      </w:r>
      <w:r>
        <w:t xml:space="preserve">) to text messages and other social media activity by our participants to engineer features that may predict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&amp;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0"/>
    <w:bookmarkStart w:id="83" w:name="model-characterization-1"/>
    <w:p>
      <w:pPr>
        <w:pStyle w:val="Heading2"/>
      </w:pPr>
      <w:r>
        <w:t xml:space="preserve">Model Characterization</w:t>
      </w:r>
    </w:p>
    <w:bookmarkStart w:id="81"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lapse event rates. Well-calibrated probabilities indicate that the predicted probability aligns closely with the true likelihood of an outcome (i.e., a lapse). Our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necessarily be problematic. Research suggests that people often struggle to interpret probabilistic feedback, especially when it’s provided in raw numerical form</w:t>
      </w:r>
      <w:r>
        <w:t xml:space="preserve"> </w:t>
      </w:r>
      <w:r>
        <w:t xml:space="preserve">(Fagerlin et al., 2007; Zikmund-Fisher, 2013;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1"/>
    <w:bookmarkStart w:id="82"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&amp;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(where people may be encouraged to take a</w:t>
      </w:r>
      <w:r>
        <w:t xml:space="preserve"> </w:t>
      </w:r>
      <w:r>
        <w:t xml:space="preserve">“one day at a time”</w:t>
      </w:r>
      <w:r>
        <w:t xml:space="preserve"> </w:t>
      </w:r>
      <w:r>
        <w:t xml:space="preserve">mindset).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&amp;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on lapses back to use may be delayed. It may be that persistent exposure to risks is necessary to undermine an abstinence goal and lead to return to alcohol use. Alternatively or additionally, people may also be better able to anticipate future risky situations (e.g., vacations, anniversaries of significant dates) than future acute stressors or even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&amp; Gordon, 1985; Rawson et al., 1995; Witkiewitz &amp; Marlatt, 2004)</w:t>
      </w:r>
      <w:r>
        <w:t xml:space="preserve"> </w:t>
      </w:r>
      <w:r>
        <w:t xml:space="preserve">and represent targets for intervention in many existing treatments</w:t>
      </w:r>
      <w:r>
        <w:t xml:space="preserve"> </w:t>
      </w:r>
      <w:r>
        <w:t xml:space="preserve">(Bowen et al., 2021; Center for Substance Abuse Treatment, 2006; Liese &amp; Beck, 2022; McHugh et al., 2010)</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roles that these constructs play (e.g., within the context of individual coping strategies, social support or environmental factors) in the return to alcohol use during recovery</w:t>
      </w:r>
      <w:r>
        <w:t xml:space="preserve"> </w:t>
      </w:r>
      <w:r>
        <w:t xml:space="preserve">(Fronk et al., 2020)</w:t>
      </w:r>
      <w:r>
        <w:t xml:space="preserve">.</w:t>
      </w:r>
    </w:p>
    <w:bookmarkEnd w:id="82"/>
    <w:bookmarkEnd w:id="83"/>
    <w:bookmarkStart w:id="84"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an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The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an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the first two weeks (out of 12 weeks) of labels for each participant were discarded. This data loss may be one factor that contributed to the decreases in model performance with increases in lag time and we believed that greater data loss (e.g., 25% for a 3-week lag) would not be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an RMSS intended for use over many, many months to years for long-term continuing care. We have begun to address this concern by training no lag models with fewer EMAs (1x daily) and have found comparable performance</w:t>
      </w:r>
      <w:r>
        <w:t xml:space="preserve"> </w:t>
      </w:r>
      <w:r>
        <w:t xml:space="preserve">(Pulick et al.,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w:t>
      </w:r>
      <w:r>
        <w:t xml:space="preserve"> </w:t>
      </w:r>
      <w:r>
        <w:t xml:space="preserve">(Bae et al., 2023)</w:t>
      </w:r>
      <w:r>
        <w:t xml:space="preserve">.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 (e.g., census data, alcohol outlet density)</w:t>
      </w:r>
      <w:r>
        <w:t xml:space="preserve"> </w:t>
      </w:r>
      <w:r>
        <w:t xml:space="preserve">(Huang et al., 2010; Xie et al., 2009)</w:t>
      </w:r>
      <w:r>
        <w:t xml:space="preserve"> </w:t>
      </w:r>
      <w:r>
        <w:t xml:space="preserve">or collected from the user directly (e.g., self-evaluated riskiness of a given location)</w:t>
      </w:r>
      <w:r>
        <w:t xml:space="preserve"> </w:t>
      </w:r>
      <w:r>
        <w:t xml:space="preserve">(Moshontz et al., 2021)</w:t>
      </w:r>
      <w:r>
        <w:t xml:space="preserve">.</w:t>
      </w:r>
    </w:p>
    <w:bookmarkEnd w:id="84"/>
    <w:bookmarkStart w:id="85"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enable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risk factors with less burden for system users. Perhaps most important, model fairness must be improved by decreasing disparities in performance for less privileged groups. We remain optimistic about the potential to implement these models within a smart RMSS because these barriers, while challenging, are surmountable.</w:t>
      </w:r>
    </w:p>
    <w:bookmarkEnd w:id="85"/>
    <w:bookmarkEnd w:id="86"/>
    <w:bookmarkStart w:id="208" w:name="references"/>
    <w:p>
      <w:pPr>
        <w:pStyle w:val="Heading1"/>
      </w:pPr>
      <w:r>
        <w:t xml:space="preserve">References</w:t>
      </w:r>
    </w:p>
    <w:bookmarkStart w:id="207" w:name="refs"/>
    <w:bookmarkStart w:id="88" w:name="X126aebe61d5329fdf5f31356b05d81ee3379203"/>
    <w:p>
      <w:pPr>
        <w:pStyle w:val="Bibliography"/>
      </w:pPr>
      <w:r>
        <w:t xml:space="preserve">Aczel, B., Szaszi, B., Sarafoglou, A., Kekecs, Z., Kucharský, Š., Benjamin, D., Chambers, C. D., Fisher, A., Gelman, A., Gernsbacher, M. A., Ioannidis, J. P., Johnson, E., Jonas, K., Kousta, S., Lilienfeld, S. O., Lindsay, D. S., Morey, C. C., Monafò, M., Newell, B. R., … Wagenmakers, E.-J. (2019). A consensus-based transparency checklist.</w:t>
      </w:r>
      <w:r>
        <w:t xml:space="preserve"> </w:t>
      </w:r>
      <w:r>
        <w:rPr>
          <w:i/>
          <w:iCs/>
        </w:rPr>
        <w:t xml:space="preserve">Nature Human Behaviour</w:t>
      </w:r>
      <w:r>
        <w:t xml:space="preserve">, 1–3.</w:t>
      </w:r>
      <w:r>
        <w:t xml:space="preserve"> </w:t>
      </w:r>
      <w:hyperlink r:id="rId87">
        <w:r>
          <w:rPr>
            <w:rStyle w:val="Hyperlink"/>
          </w:rPr>
          <w:t xml:space="preserve">https://doi.org/10.1038/s41562-019-0772-6</w:t>
        </w:r>
      </w:hyperlink>
    </w:p>
    <w:bookmarkEnd w:id="88"/>
    <w:bookmarkStart w:id="90" w:name="ref-baeLeveragingMobilePhone2023"/>
    <w:p>
      <w:pPr>
        <w:pStyle w:val="Bibliography"/>
      </w:pPr>
      <w:r>
        <w:t xml:space="preserve">Bae, S. W., Suffoletto, B., Zhang, T., Chung, T., Ozolcer, M., Islam, M. R., &amp; Dey, A. (2023). Leveraging</w:t>
      </w:r>
      <w:r>
        <w:t xml:space="preserve"> </w:t>
      </w:r>
      <w:r>
        <w:t xml:space="preserve">Mobile Phone Sensors</w:t>
      </w:r>
      <w:r>
        <w:t xml:space="preserve">,</w:t>
      </w:r>
      <w:r>
        <w:t xml:space="preserve"> </w:t>
      </w:r>
      <w:r>
        <w:t xml:space="preserve">Machine Learning</w:t>
      </w:r>
      <w:r>
        <w:t xml:space="preserve"> </w:t>
      </w:r>
      <w:r>
        <w:t xml:space="preserve">and</w:t>
      </w:r>
      <w:r>
        <w:t xml:space="preserve"> </w:t>
      </w:r>
      <w:r>
        <w:t xml:space="preserve">Explainable Artificial Intelligence</w:t>
      </w:r>
      <w:r>
        <w:t xml:space="preserve"> </w:t>
      </w:r>
      <w:r>
        <w:t xml:space="preserve">to</w:t>
      </w:r>
      <w:r>
        <w:t xml:space="preserve"> </w:t>
      </w:r>
      <w:r>
        <w:t xml:space="preserve">Predict Imminent Same-Day Binge Drinking Events</w:t>
      </w:r>
      <w:r>
        <w:t xml:space="preserve"> </w:t>
      </w:r>
      <w:r>
        <w:t xml:space="preserve">to</w:t>
      </w:r>
      <w:r>
        <w:t xml:space="preserve"> </w:t>
      </w:r>
      <w:r>
        <w:t xml:space="preserve">Support Just-In-Time Adaptive Interventions</w:t>
      </w:r>
      <w:r>
        <w:t xml:space="preserve">:</w:t>
      </w:r>
      <w:r>
        <w:t xml:space="preserve"> </w:t>
      </w:r>
      <w:r>
        <w:t xml:space="preserve">A Feasibility Study</w:t>
      </w:r>
      <w:r>
        <w:t xml:space="preserve">.</w:t>
      </w:r>
      <w:r>
        <w:t xml:space="preserve"> </w:t>
      </w:r>
      <w:r>
        <w:rPr>
          <w:i/>
          <w:iCs/>
        </w:rPr>
        <w:t xml:space="preserve">JMIR Formative Research</w:t>
      </w:r>
      <w:r>
        <w:t xml:space="preserve">.</w:t>
      </w:r>
      <w:r>
        <w:t xml:space="preserve"> </w:t>
      </w:r>
      <w:hyperlink r:id="rId89">
        <w:r>
          <w:rPr>
            <w:rStyle w:val="Hyperlink"/>
          </w:rPr>
          <w:t xml:space="preserve">https://doi.org/10.2196/39862</w:t>
        </w:r>
      </w:hyperlink>
    </w:p>
    <w:bookmarkEnd w:id="90"/>
    <w:bookmarkStart w:id="92" w:name="ref-bickmanAchievingPrecisionMental2016"/>
    <w:p>
      <w:pPr>
        <w:pStyle w:val="Bibliography"/>
      </w:pPr>
      <w:r>
        <w:t xml:space="preserve">Bickman, L., Lyon, A. R., &amp; Wolpert, M. (2016). 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w:t>
      </w:r>
      <w:r>
        <w:t xml:space="preserve"> </w:t>
      </w:r>
      <w:r>
        <w:rPr>
          <w:i/>
          <w:iCs/>
        </w:rPr>
        <w:t xml:space="preserve">43</w:t>
      </w:r>
      <w:r>
        <w:t xml:space="preserve">(3), 271–276.</w:t>
      </w:r>
      <w:r>
        <w:t xml:space="preserve"> </w:t>
      </w:r>
      <w:hyperlink r:id="rId91">
        <w:r>
          <w:rPr>
            <w:rStyle w:val="Hyperlink"/>
          </w:rPr>
          <w:t xml:space="preserve">https://doi.org/10.1007/s10488-016-0718-5</w:t>
        </w:r>
      </w:hyperlink>
    </w:p>
    <w:bookmarkEnd w:id="92"/>
    <w:bookmarkStart w:id="93" w:name="ref-bleiLatentDirichletAllocation2003"/>
    <w:p>
      <w:pPr>
        <w:pStyle w:val="Bibliography"/>
      </w:pPr>
      <w:r>
        <w:t xml:space="preserve">Blei, D. M., Ng, A. Y., &amp; Jordan, M. I. (2003). Latent dirichlet allocation.</w:t>
      </w:r>
      <w:r>
        <w:t xml:space="preserve"> </w:t>
      </w:r>
      <w:r>
        <w:rPr>
          <w:i/>
          <w:iCs/>
        </w:rPr>
        <w:t xml:space="preserve">J. Mach. Learn. Res.</w:t>
      </w:r>
      <w:r>
        <w:t xml:space="preserve">,</w:t>
      </w:r>
      <w:r>
        <w:t xml:space="preserve"> </w:t>
      </w:r>
      <w:r>
        <w:rPr>
          <w:i/>
          <w:iCs/>
        </w:rPr>
        <w:t xml:space="preserve">3</w:t>
      </w:r>
      <w:r>
        <w:t xml:space="preserve">(null), 993–1022.</w:t>
      </w:r>
    </w:p>
    <w:bookmarkEnd w:id="93"/>
    <w:bookmarkStart w:id="94" w:name="X6c5adf42984d4dcd96717e3e06f47f768bdce11"/>
    <w:p>
      <w:pPr>
        <w:pStyle w:val="Bibliography"/>
      </w:pPr>
      <w:r>
        <w:t xml:space="preserve">Bowen, S., Chawla, N., Grow, J., &amp; Marlatt, G. A.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w:t>
      </w:r>
      <w:r>
        <w:t xml:space="preserve">(Second edition). The Guilford Press.</w:t>
      </w:r>
    </w:p>
    <w:bookmarkEnd w:id="94"/>
    <w:bookmarkStart w:id="96" w:name="ref-brandonRelapseRelapsePrevention2007"/>
    <w:p>
      <w:pPr>
        <w:pStyle w:val="Bibliography"/>
      </w:pPr>
      <w:r>
        <w:t xml:space="preserve">Brandon, T. H., Vidrine, J. I., &amp; Litvin, E. B. (2007). Relapse and relapse prevention.</w:t>
      </w:r>
      <w:r>
        <w:t xml:space="preserve"> </w:t>
      </w:r>
      <w:r>
        <w:rPr>
          <w:i/>
          <w:iCs/>
        </w:rPr>
        <w:t xml:space="preserve">Annual Review of Clinical Psychology</w:t>
      </w:r>
      <w:r>
        <w:t xml:space="preserve">,</w:t>
      </w:r>
      <w:r>
        <w:t xml:space="preserve"> </w:t>
      </w:r>
      <w:r>
        <w:rPr>
          <w:i/>
          <w:iCs/>
        </w:rPr>
        <w:t xml:space="preserve">3</w:t>
      </w:r>
      <w:r>
        <w:t xml:space="preserve">(1), 257–284.</w:t>
      </w:r>
      <w:r>
        <w:t xml:space="preserve"> </w:t>
      </w:r>
      <w:hyperlink r:id="rId95">
        <w:r>
          <w:rPr>
            <w:rStyle w:val="Hyperlink"/>
          </w:rPr>
          <w:t xml:space="preserve">https://doi.org/10.1146/annurev.clinpsy.3.022806.091455</w:t>
        </w:r>
      </w:hyperlink>
    </w:p>
    <w:bookmarkEnd w:id="96"/>
    <w:bookmarkStart w:id="98" w:name="ref-chtc"/>
    <w:p>
      <w:pPr>
        <w:pStyle w:val="Bibliography"/>
      </w:pPr>
      <w:r>
        <w:t xml:space="preserve">Center for High Throughput Computing. (2006).</w:t>
      </w:r>
      <w:r>
        <w:t xml:space="preserve"> </w:t>
      </w:r>
      <w:r>
        <w:rPr>
          <w:i/>
          <w:iCs/>
        </w:rPr>
        <w:t xml:space="preserve">Center for high throughput computing</w:t>
      </w:r>
      <w:r>
        <w:t xml:space="preserve">. Center for High Throughput Computing.</w:t>
      </w:r>
      <w:r>
        <w:t xml:space="preserve"> </w:t>
      </w:r>
      <w:hyperlink r:id="rId97">
        <w:r>
          <w:rPr>
            <w:rStyle w:val="Hyperlink"/>
          </w:rPr>
          <w:t xml:space="preserve">https://doi.org/10.21231/GNT1-HW21</w:t>
        </w:r>
      </w:hyperlink>
    </w:p>
    <w:bookmarkEnd w:id="98"/>
    <w:bookmarkStart w:id="99"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Substance Abuse and Mental Health Services Administration</w:t>
      </w:r>
      <w:r>
        <w:t xml:space="preserve">.</w:t>
      </w:r>
    </w:p>
    <w:bookmarkEnd w:id="99"/>
    <w:bookmarkStart w:id="100" w:name="X21d9bc577093464d5d051ef6477b67710b39313"/>
    <w:p>
      <w:pPr>
        <w:pStyle w:val="Bibliography"/>
      </w:pPr>
      <w:r>
        <w:t xml:space="preserve">Centers for Disease Control and Prevention (CDC). (n.d.). 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 In</w:t>
      </w:r>
      <w:r>
        <w:t xml:space="preserve"> </w:t>
      </w:r>
      <w:r>
        <w:rPr>
          <w:i/>
          <w:iCs/>
        </w:rPr>
        <w:t xml:space="preserve">2022 Alcohol Related Disease Impact (ARDI) Application Website</w:t>
      </w:r>
      <w:r>
        <w:t xml:space="preserve">. https://nccd.cdc.gov/DPH_ARDI/Default/Default.aspx.</w:t>
      </w:r>
    </w:p>
    <w:bookmarkEnd w:id="100"/>
    <w:bookmarkStart w:id="102" w:name="Xb70ed90433964dc3a7ede0ee8357d97241623cc"/>
    <w:p>
      <w:pPr>
        <w:pStyle w:val="Bibliography"/>
      </w:pPr>
      <w:r>
        <w:t xml:space="preserve">David, S. J., Marshall, A. J., Evanovich, E. K., &amp; Mumma, G. H. (2018). 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w:t>
      </w:r>
      <w:r>
        <w:t xml:space="preserve"> </w:t>
      </w:r>
      <w:r>
        <w:rPr>
          <w:i/>
          <w:iCs/>
        </w:rPr>
        <w:t xml:space="preserve">40</w:t>
      </w:r>
      <w:r>
        <w:t xml:space="preserve">(2), 235–248.</w:t>
      </w:r>
      <w:r>
        <w:t xml:space="preserve"> </w:t>
      </w:r>
      <w:hyperlink r:id="rId101">
        <w:r>
          <w:rPr>
            <w:rStyle w:val="Hyperlink"/>
          </w:rPr>
          <w:t xml:space="preserve">https://doi.org/10.1007/s10862-017-9632-8</w:t>
        </w:r>
      </w:hyperlink>
    </w:p>
    <w:bookmarkEnd w:id="102"/>
    <w:bookmarkStart w:id="104" w:name="ref-dennisManagingAddictionChronic2007"/>
    <w:p>
      <w:pPr>
        <w:pStyle w:val="Bibliography"/>
      </w:pPr>
      <w:r>
        <w:t xml:space="preserve">Dennis, M., &amp; Scott, C. K. (2007).</w:t>
      </w:r>
      <w:r>
        <w:t xml:space="preserve"> </w:t>
      </w:r>
      <w:hyperlink r:id="rId103">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w:t>
      </w:r>
      <w:r>
        <w:t xml:space="preserve"> </w:t>
      </w:r>
      <w:r>
        <w:rPr>
          <w:i/>
          <w:iCs/>
        </w:rPr>
        <w:t xml:space="preserve">4</w:t>
      </w:r>
      <w:r>
        <w:t xml:space="preserve">(1), 45–55.</w:t>
      </w:r>
    </w:p>
    <w:bookmarkEnd w:id="104"/>
    <w:bookmarkStart w:id="105"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105"/>
    <w:bookmarkStart w:id="107" w:name="ref-derubeisHistoryCurrentStatus2019"/>
    <w:p>
      <w:pPr>
        <w:pStyle w:val="Bibliography"/>
      </w:pPr>
      <w:r>
        <w:t xml:space="preserve">DeRubeis, R. J. (2019). The history, current status, and possible future of precision mental health.</w:t>
      </w:r>
      <w:r>
        <w:t xml:space="preserve"> </w:t>
      </w:r>
      <w:r>
        <w:rPr>
          <w:i/>
          <w:iCs/>
        </w:rPr>
        <w:t xml:space="preserve">Behaviour Research and Therapy</w:t>
      </w:r>
      <w:r>
        <w:t xml:space="preserve">,</w:t>
      </w:r>
      <w:r>
        <w:t xml:space="preserve"> </w:t>
      </w:r>
      <w:r>
        <w:rPr>
          <w:i/>
          <w:iCs/>
        </w:rPr>
        <w:t xml:space="preserve">123</w:t>
      </w:r>
      <w:r>
        <w:t xml:space="preserve">, 103506.</w:t>
      </w:r>
      <w:r>
        <w:t xml:space="preserve"> </w:t>
      </w:r>
      <w:hyperlink r:id="rId106">
        <w:r>
          <w:rPr>
            <w:rStyle w:val="Hyperlink"/>
          </w:rPr>
          <w:t xml:space="preserve">https://doi.org/10.1016/j.brat.2019.103506</w:t>
        </w:r>
      </w:hyperlink>
    </w:p>
    <w:bookmarkEnd w:id="107"/>
    <w:bookmarkStart w:id="109" w:name="ref-devlinBERTPretrainingDeep2019"/>
    <w:p>
      <w:pPr>
        <w:pStyle w:val="Bibliography"/>
      </w:pPr>
      <w:r>
        <w:t xml:space="preserve">Devlin, J., Chang, M.-W., Lee, K., &amp; Toutanova, K. (2019).</w:t>
      </w:r>
      <w:r>
        <w:t xml:space="preserve"> </w:t>
      </w:r>
      <w:r>
        <w:rPr>
          <w:i/>
          <w:iCs/>
        </w:rPr>
        <w:t xml:space="preserve">BERT</w:t>
      </w:r>
      <w:r>
        <w:rPr>
          <w:i/>
          <w:iCs/>
        </w:rPr>
        <w:t xml:space="preserve">:</w:t>
      </w:r>
      <w:r>
        <w:rPr>
          <w:i/>
          <w:iCs/>
        </w:rPr>
        <w:t xml:space="preserve"> </w:t>
      </w:r>
      <w:r>
        <w:rPr>
          <w:i/>
          <w:iCs/>
        </w:rPr>
        <w:t xml:space="preserve">Pre-training</w:t>
      </w:r>
      <w:r>
        <w:rPr>
          <w:i/>
          <w:iCs/>
        </w:rPr>
        <w:t xml:space="preserve"> </w:t>
      </w:r>
      <w:r>
        <w:rPr>
          <w:i/>
          <w:iCs/>
        </w:rPr>
        <w:t xml:space="preserve">of</w:t>
      </w:r>
      <w:r>
        <w:rPr>
          <w:i/>
          <w:iCs/>
        </w:rPr>
        <w:t xml:space="preserve"> </w:t>
      </w:r>
      <w:r>
        <w:rPr>
          <w:i/>
          <w:iCs/>
        </w:rPr>
        <w:t xml:space="preserve">Deep Bidirectional Transformers</w:t>
      </w:r>
      <w:r>
        <w:rPr>
          <w:i/>
          <w:iCs/>
        </w:rPr>
        <w:t xml:space="preserve"> </w:t>
      </w:r>
      <w:r>
        <w:rPr>
          <w:i/>
          <w:iCs/>
        </w:rPr>
        <w:t xml:space="preserve">for</w:t>
      </w:r>
      <w:r>
        <w:rPr>
          <w:i/>
          <w:iCs/>
        </w:rPr>
        <w:t xml:space="preserve"> </w:t>
      </w:r>
      <w:r>
        <w:rPr>
          <w:i/>
          <w:iCs/>
        </w:rPr>
        <w:t xml:space="preserve">Language Understanding</w:t>
      </w:r>
      <w:r>
        <w:t xml:space="preserve"> </w:t>
      </w:r>
      <w:r>
        <w:t xml:space="preserve">(arXiv:1810.04805). arXiv.</w:t>
      </w:r>
      <w:r>
        <w:t xml:space="preserve"> </w:t>
      </w:r>
      <w:hyperlink r:id="rId108">
        <w:r>
          <w:rPr>
            <w:rStyle w:val="Hyperlink"/>
          </w:rPr>
          <w:t xml:space="preserve">https://doi.org/10.48550/arXiv.1810.04805</w:t>
        </w:r>
      </w:hyperlink>
    </w:p>
    <w:bookmarkEnd w:id="109"/>
    <w:bookmarkStart w:id="111" w:name="ref-fagerlinMakingNumbersMatter2007"/>
    <w:p>
      <w:pPr>
        <w:pStyle w:val="Bibliography"/>
      </w:pPr>
      <w:r>
        <w:t xml:space="preserve">Fagerlin, A., Ubel, P. A., Smith, D. M., &amp; Zikmund-Fisher, B. J. (2007). Making numbers matter: Present and future research in risk communication.</w:t>
      </w:r>
      <w:r>
        <w:t xml:space="preserve"> </w:t>
      </w:r>
      <w:r>
        <w:rPr>
          <w:i/>
          <w:iCs/>
        </w:rPr>
        <w:t xml:space="preserve">American Journal of Health Behavior</w:t>
      </w:r>
      <w:r>
        <w:t xml:space="preserve">,</w:t>
      </w:r>
      <w:r>
        <w:t xml:space="preserve"> </w:t>
      </w:r>
      <w:r>
        <w:rPr>
          <w:i/>
          <w:iCs/>
        </w:rPr>
        <w:t xml:space="preserve">31 Suppl 1</w:t>
      </w:r>
      <w:r>
        <w:t xml:space="preserve">, S47–56.</w:t>
      </w:r>
      <w:r>
        <w:t xml:space="preserve"> </w:t>
      </w:r>
      <w:hyperlink r:id="rId110">
        <w:r>
          <w:rPr>
            <w:rStyle w:val="Hyperlink"/>
          </w:rPr>
          <w:t xml:space="preserve">https://doi.org/10.5555/ajhb.2007.31.supp.S47</w:t>
        </w:r>
      </w:hyperlink>
    </w:p>
    <w:bookmarkEnd w:id="111"/>
    <w:bookmarkStart w:id="113" w:name="ref-fisherDynamicModelPsychological2015"/>
    <w:p>
      <w:pPr>
        <w:pStyle w:val="Bibliography"/>
      </w:pPr>
      <w:r>
        <w:t xml:space="preserve">Fisher, A. J. (2015). 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w:t>
      </w:r>
      <w:r>
        <w:t xml:space="preserve"> </w:t>
      </w:r>
      <w:r>
        <w:rPr>
          <w:i/>
          <w:iCs/>
        </w:rPr>
        <w:t xml:space="preserve">83</w:t>
      </w:r>
      <w:r>
        <w:t xml:space="preserve">(4), 825–836.</w:t>
      </w:r>
      <w:r>
        <w:t xml:space="preserve"> </w:t>
      </w:r>
      <w:hyperlink r:id="rId112">
        <w:r>
          <w:rPr>
            <w:rStyle w:val="Hyperlink"/>
          </w:rPr>
          <w:t xml:space="preserve">https://doi.org/10.1037/ccp0000026</w:t>
        </w:r>
      </w:hyperlink>
    </w:p>
    <w:bookmarkEnd w:id="113"/>
    <w:bookmarkStart w:id="115" w:name="ref-fronkStressAllostasisSubstance2020"/>
    <w:p>
      <w:pPr>
        <w:pStyle w:val="Bibliography"/>
      </w:pPr>
      <w:r>
        <w:t xml:space="preserve">Fronk, G. E., Sant’Ana, S. J., Kaye, J. T., &amp; Curtin, J. J. (2020). 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w:t>
      </w:r>
      <w:r>
        <w:t xml:space="preserve"> </w:t>
      </w:r>
      <w:r>
        <w:rPr>
          <w:i/>
          <w:iCs/>
        </w:rPr>
        <w:t xml:space="preserve">16</w:t>
      </w:r>
      <w:r>
        <w:t xml:space="preserve">(1), 401–430.</w:t>
      </w:r>
      <w:r>
        <w:t xml:space="preserve"> </w:t>
      </w:r>
      <w:hyperlink r:id="rId114">
        <w:r>
          <w:rPr>
            <w:rStyle w:val="Hyperlink"/>
          </w:rPr>
          <w:t xml:space="preserve">https://doi.org/10.1146/annurev-clinpsy-102419-125016</w:t>
        </w:r>
      </w:hyperlink>
    </w:p>
    <w:bookmarkEnd w:id="115"/>
    <w:bookmarkStart w:id="116" w:name="ref-gabryPriorDistributionsRstanarm2023"/>
    <w:p>
      <w:pPr>
        <w:pStyle w:val="Bibliography"/>
      </w:pPr>
      <w:r>
        <w:t xml:space="preserve">Gabry, J., &amp; Goodrich, B. (2023). Prior</w:t>
      </w:r>
      <w:r>
        <w:t xml:space="preserve"> </w:t>
      </w:r>
      <w:r>
        <w:t xml:space="preserve">Distributions</w:t>
      </w:r>
      <w:r>
        <w:t xml:space="preserve"> </w:t>
      </w:r>
      <w:r>
        <w:t xml:space="preserve">for rstanarm</w:t>
      </w:r>
      <w:r>
        <w:t xml:space="preserve"> </w:t>
      </w:r>
      <w:r>
        <w:t xml:space="preserve">Models</w:t>
      </w:r>
      <w:r>
        <w:t xml:space="preserve">. In</w:t>
      </w:r>
      <w:r>
        <w:t xml:space="preserve"> </w:t>
      </w:r>
      <w:r>
        <w:rPr>
          <w:i/>
          <w:iCs/>
        </w:rPr>
        <w:t xml:space="preserve">CRAN R-Project</w:t>
      </w:r>
      <w:r>
        <w:t xml:space="preserve">. https://cran.r-project.org/web/packages/rstanarm/vignettes/priors.html.</w:t>
      </w:r>
    </w:p>
    <w:bookmarkEnd w:id="116"/>
    <w:bookmarkStart w:id="117" w:name="ref-goodrichRstanarmBayesianApplied2023"/>
    <w:p>
      <w:pPr>
        <w:pStyle w:val="Bibliography"/>
      </w:pPr>
      <w:r>
        <w:t xml:space="preserve">Goodrich, B., Gabry, J., Ali, I., &amp; Brilleman, S. (2023).</w:t>
      </w:r>
      <w:r>
        <w:t xml:space="preserve"> </w:t>
      </w:r>
      <w:r>
        <w:rPr>
          <w:i/>
          <w:iCs/>
        </w:rPr>
        <w:t xml:space="preserve">Rstanarm:</w:t>
      </w:r>
      <w:r>
        <w:rPr>
          <w:i/>
          <w:iCs/>
        </w:rPr>
        <w:t xml:space="preserve"> </w:t>
      </w:r>
      <w:r>
        <w:rPr>
          <w:i/>
          <w:iCs/>
        </w:rPr>
        <w:t xml:space="preserve">Bayesian Applied Regression Modeling</w:t>
      </w:r>
      <w:r>
        <w:rPr>
          <w:i/>
          <w:iCs/>
        </w:rPr>
        <w:t xml:space="preserve"> </w:t>
      </w:r>
      <w:r>
        <w:rPr>
          <w:i/>
          <w:iCs/>
        </w:rPr>
        <w:t xml:space="preserve">via</w:t>
      </w:r>
      <w:r>
        <w:rPr>
          <w:i/>
          <w:iCs/>
        </w:rPr>
        <w:t xml:space="preserve"> </w:t>
      </w:r>
      <w:r>
        <w:rPr>
          <w:i/>
          <w:iCs/>
        </w:rPr>
        <w:t xml:space="preserve">Stan</w:t>
      </w:r>
      <w:r>
        <w:t xml:space="preserve">.</w:t>
      </w:r>
    </w:p>
    <w:bookmarkEnd w:id="117"/>
    <w:bookmarkStart w:id="119" w:name="Xa203ab3abd150ead1a7854a9fa5726c8a273f52"/>
    <w:p>
      <w:pPr>
        <w:pStyle w:val="Bibliography"/>
      </w:pPr>
      <w:r>
        <w:t xml:space="preserve">Greenfield, S. F., Brooks, A. J., Gordon, S. M., Green, C. A., Kropp, F., McHugh, R. K., Lincoln, M., Hien, D., &amp; Miele, G. M. (2007). 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w:t>
      </w:r>
      <w:r>
        <w:t xml:space="preserve"> </w:t>
      </w:r>
      <w:r>
        <w:rPr>
          <w:i/>
          <w:iCs/>
        </w:rPr>
        <w:t xml:space="preserve">86</w:t>
      </w:r>
      <w:r>
        <w:t xml:space="preserve">(1), 1–21.</w:t>
      </w:r>
      <w:r>
        <w:t xml:space="preserve"> </w:t>
      </w:r>
      <w:hyperlink r:id="rId118">
        <w:r>
          <w:rPr>
            <w:rStyle w:val="Hyperlink"/>
          </w:rPr>
          <w:t xml:space="preserve">https://doi.org/10.1016/j.drugalcdep.2006.05.012</w:t>
        </w:r>
      </w:hyperlink>
    </w:p>
    <w:bookmarkEnd w:id="119"/>
    <w:bookmarkStart w:id="120" w:name="X76c131a5b0a374a6ad1e33cf8e2c0563392269f"/>
    <w:p>
      <w:pPr>
        <w:pStyle w:val="Bibliography"/>
      </w:pPr>
      <w:r>
        <w:t xml:space="preserve">Hastie, T., Tibshirani, R., &amp; Friedman, J. H. (2009).</w:t>
      </w:r>
      <w:r>
        <w:t xml:space="preserve"> </w:t>
      </w:r>
      <w:r>
        <w:rPr>
          <w:i/>
          <w:iCs/>
        </w:rPr>
        <w:t xml:space="preserve">The elements of statistical learning: Data mining, inference, and prediction</w:t>
      </w:r>
      <w:r>
        <w:t xml:space="preserve"> </w:t>
      </w:r>
      <w:r>
        <w:t xml:space="preserve">(2nd ed). Springer.</w:t>
      </w:r>
    </w:p>
    <w:bookmarkEnd w:id="120"/>
    <w:bookmarkStart w:id="121" w:name="ref-hedegaardDrugOverdoseDeaths2021"/>
    <w:p>
      <w:pPr>
        <w:pStyle w:val="Bibliography"/>
      </w:pPr>
      <w:r>
        <w:t xml:space="preserve">Hedegaard, H., Miniño, A. M., Spencer, M. R., &amp; Warner, M. (2021).</w:t>
      </w:r>
      <w:r>
        <w:t xml:space="preserve"> </w:t>
      </w:r>
      <w:r>
        <w:rPr>
          <w:i/>
          <w:iCs/>
        </w:rPr>
        <w:t xml:space="preserve">Drug overdose deaths in the</w:t>
      </w:r>
      <w:r>
        <w:rPr>
          <w:i/>
          <w:iCs/>
        </w:rPr>
        <w:t xml:space="preserve"> </w:t>
      </w:r>
      <w:r>
        <w:rPr>
          <w:i/>
          <w:iCs/>
        </w:rPr>
        <w:t xml:space="preserve">United States</w:t>
      </w:r>
      <w:r>
        <w:rPr>
          <w:i/>
          <w:iCs/>
        </w:rPr>
        <w:t xml:space="preserve">, 1999–2020</w:t>
      </w:r>
      <w:r>
        <w:t xml:space="preserve">.</w:t>
      </w:r>
    </w:p>
    <w:bookmarkEnd w:id="121"/>
    <w:bookmarkStart w:id="122" w:name="ref-hsiehSampleSizeTables1989"/>
    <w:p>
      <w:pPr>
        <w:pStyle w:val="Bibliography"/>
      </w:pPr>
      <w:r>
        <w:t xml:space="preserve">Hsieh, F. (1989). Sample size tables for logistic regression.</w:t>
      </w:r>
      <w:r>
        <w:t xml:space="preserve"> </w:t>
      </w:r>
      <w:r>
        <w:rPr>
          <w:i/>
          <w:iCs/>
        </w:rPr>
        <w:t xml:space="preserve">Statistics in Medicine</w:t>
      </w:r>
      <w:r>
        <w:t xml:space="preserve">,</w:t>
      </w:r>
      <w:r>
        <w:t xml:space="preserve"> </w:t>
      </w:r>
      <w:r>
        <w:rPr>
          <w:i/>
          <w:iCs/>
        </w:rPr>
        <w:t xml:space="preserve">8</w:t>
      </w:r>
      <w:r>
        <w:t xml:space="preserve">, 795–802.</w:t>
      </w:r>
    </w:p>
    <w:bookmarkEnd w:id="122"/>
    <w:bookmarkStart w:id="124" w:name="ref-huangActivityIdentificationGPS2010"/>
    <w:p>
      <w:pPr>
        <w:pStyle w:val="Bibliography"/>
      </w:pPr>
      <w:r>
        <w:t xml:space="preserve">Huang, L., Li, Q., &amp; Yue, Y. (2010). 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w:t>
      </w:r>
      <w:r>
        <w:t xml:space="preserve"> </w:t>
      </w:r>
      <w:r>
        <w:rPr>
          <w:i/>
          <w:iCs/>
        </w:rPr>
        <w:t xml:space="preserve">Proceedings of the 2nd</w:t>
      </w:r>
      <w:r>
        <w:rPr>
          <w:i/>
          <w:iCs/>
        </w:rPr>
        <w:t xml:space="preserve"> </w:t>
      </w:r>
      <w:r>
        <w:rPr>
          <w:i/>
          <w:iCs/>
        </w:rPr>
        <w:t xml:space="preserve">ACM SIGSPATIAL International Workshop</w:t>
      </w:r>
      <w:r>
        <w:rPr>
          <w:i/>
          <w:iCs/>
        </w:rPr>
        <w:t xml:space="preserve"> </w:t>
      </w:r>
      <w:r>
        <w:rPr>
          <w:i/>
          <w:iCs/>
        </w:rPr>
        <w:t xml:space="preserve">on</w:t>
      </w:r>
      <w:r>
        <w:rPr>
          <w:i/>
          <w:iCs/>
        </w:rPr>
        <w:t xml:space="preserve"> </w:t>
      </w:r>
      <w:r>
        <w:rPr>
          <w:i/>
          <w:iCs/>
        </w:rPr>
        <w:t xml:space="preserve">Location Based Social Networks</w:t>
      </w:r>
      <w:r>
        <w:t xml:space="preserve">, 27–30.</w:t>
      </w:r>
      <w:r>
        <w:t xml:space="preserve"> </w:t>
      </w:r>
      <w:hyperlink r:id="rId123">
        <w:r>
          <w:rPr>
            <w:rStyle w:val="Hyperlink"/>
          </w:rPr>
          <w:t xml:space="preserve">https://doi.org/10.1145/1867699.1867704</w:t>
        </w:r>
      </w:hyperlink>
    </w:p>
    <w:bookmarkEnd w:id="124"/>
    <w:bookmarkStart w:id="126" w:name="X9dfa929848d202736296032659cec14e42606bb"/>
    <w:p>
      <w:pPr>
        <w:pStyle w:val="Bibliography"/>
      </w:pPr>
      <w:r>
        <w:t xml:space="preserve">Jones, A., Remmerswaal, D., Verveer, I., Robinson, E., Franken, I. H. A., Wen, C. K. F., &amp; Field, M. (2019). Compliance with ecological momentary assessment protocols in substance users: A meta-analysis.</w:t>
      </w:r>
      <w:r>
        <w:t xml:space="preserve"> </w:t>
      </w:r>
      <w:r>
        <w:rPr>
          <w:i/>
          <w:iCs/>
        </w:rPr>
        <w:t xml:space="preserve">Addiction (Abingdon, England)</w:t>
      </w:r>
      <w:r>
        <w:t xml:space="preserve">,</w:t>
      </w:r>
      <w:r>
        <w:t xml:space="preserve"> </w:t>
      </w:r>
      <w:r>
        <w:rPr>
          <w:i/>
          <w:iCs/>
        </w:rPr>
        <w:t xml:space="preserve">114</w:t>
      </w:r>
      <w:r>
        <w:t xml:space="preserve">(4), 609–619.</w:t>
      </w:r>
      <w:r>
        <w:t xml:space="preserve"> </w:t>
      </w:r>
      <w:hyperlink r:id="rId125">
        <w:r>
          <w:rPr>
            <w:rStyle w:val="Hyperlink"/>
          </w:rPr>
          <w:t xml:space="preserve">https://doi.org/10/gfsjzg</w:t>
        </w:r>
      </w:hyperlink>
    </w:p>
    <w:bookmarkEnd w:id="126"/>
    <w:bookmarkStart w:id="128" w:name="ref-kilaruIncidenceTreatmentOpioid2020"/>
    <w:p>
      <w:pPr>
        <w:pStyle w:val="Bibliography"/>
      </w:pPr>
      <w:r>
        <w:t xml:space="preserve">Kilaru, A. S., Xiong, A., Lowenstein, M., Meisel, Z. F., Perrone, J., Khatri, U., Mitra, N., &amp; Delgado, M. K. (2020). 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w:t>
      </w:r>
      <w:r>
        <w:t xml:space="preserve"> </w:t>
      </w:r>
      <w:r>
        <w:rPr>
          <w:i/>
          <w:iCs/>
        </w:rPr>
        <w:t xml:space="preserve">3</w:t>
      </w:r>
      <w:r>
        <w:t xml:space="preserve">(5), e205852.</w:t>
      </w:r>
      <w:r>
        <w:t xml:space="preserve"> </w:t>
      </w:r>
      <w:hyperlink r:id="rId127">
        <w:r>
          <w:rPr>
            <w:rStyle w:val="Hyperlink"/>
          </w:rPr>
          <w:t xml:space="preserve">https://doi.org/10.1001/jamanetworkopen.2020.5852</w:t>
        </w:r>
      </w:hyperlink>
    </w:p>
    <w:bookmarkEnd w:id="128"/>
    <w:bookmarkStart w:id="130" w:name="X79dffb24bc183d6bf6fe142dbf048fe8e5a5dd0"/>
    <w:p>
      <w:pPr>
        <w:pStyle w:val="Bibliography"/>
      </w:pPr>
      <w:r>
        <w:t xml:space="preserve">Kranzler, H. R., &amp; McKay, J. R. (2012). 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w:t>
      </w:r>
      <w:r>
        <w:t xml:space="preserve"> </w:t>
      </w:r>
      <w:r>
        <w:rPr>
          <w:i/>
          <w:iCs/>
        </w:rPr>
        <w:t xml:space="preserve">14</w:t>
      </w:r>
      <w:r>
        <w:t xml:space="preserve">(5), 486–493.</w:t>
      </w:r>
      <w:r>
        <w:t xml:space="preserve"> </w:t>
      </w:r>
      <w:hyperlink r:id="rId129">
        <w:r>
          <w:rPr>
            <w:rStyle w:val="Hyperlink"/>
          </w:rPr>
          <w:t xml:space="preserve">https://doi.org/10.1007/s11920-012-0296-5</w:t>
        </w:r>
      </w:hyperlink>
    </w:p>
    <w:bookmarkEnd w:id="130"/>
    <w:bookmarkStart w:id="131" w:name="Xa93a98d1ce255982a5ea923c39451c32053b2a2"/>
    <w:p>
      <w:pPr>
        <w:pStyle w:val="Bibliography"/>
      </w:pPr>
      <w:r>
        <w:t xml:space="preserve">Kuhn, M. (2022).</w:t>
      </w:r>
      <w:r>
        <w:t xml:space="preserve"> </w:t>
      </w:r>
      <w:r>
        <w:rPr>
          <w:i/>
          <w:iCs/>
        </w:rPr>
        <w:t xml:space="preserve">Tidyposterior:</w:t>
      </w:r>
      <w:r>
        <w:rPr>
          <w:i/>
          <w:iCs/>
        </w:rPr>
        <w:t xml:space="preserve"> </w:t>
      </w:r>
      <w:r>
        <w:rPr>
          <w:i/>
          <w:iCs/>
        </w:rPr>
        <w:t xml:space="preserve">Bayesian Analysis</w:t>
      </w:r>
      <w:r>
        <w:rPr>
          <w:i/>
          <w:iCs/>
        </w:rPr>
        <w:t xml:space="preserve"> </w:t>
      </w:r>
      <w:r>
        <w:rPr>
          <w:i/>
          <w:iCs/>
        </w:rPr>
        <w:t xml:space="preserve">to</w:t>
      </w:r>
      <w:r>
        <w:rPr>
          <w:i/>
          <w:iCs/>
        </w:rPr>
        <w:t xml:space="preserve"> </w:t>
      </w:r>
      <w:r>
        <w:rPr>
          <w:i/>
          <w:iCs/>
        </w:rPr>
        <w:t xml:space="preserve">Compare Models</w:t>
      </w:r>
      <w:r>
        <w:rPr>
          <w:i/>
          <w:iCs/>
        </w:rPr>
        <w:t xml:space="preserve"> </w:t>
      </w:r>
      <w:r>
        <w:rPr>
          <w:i/>
          <w:iCs/>
        </w:rPr>
        <w:t xml:space="preserve">using</w:t>
      </w:r>
      <w:r>
        <w:rPr>
          <w:i/>
          <w:iCs/>
        </w:rPr>
        <w:t xml:space="preserve"> </w:t>
      </w:r>
      <w:r>
        <w:rPr>
          <w:i/>
          <w:iCs/>
        </w:rPr>
        <w:t xml:space="preserve">Resampling Statistics</w:t>
      </w:r>
      <w:r>
        <w:t xml:space="preserve">.</w:t>
      </w:r>
    </w:p>
    <w:bookmarkEnd w:id="131"/>
    <w:bookmarkStart w:id="133" w:name="ref-kuhnAppliedPredictiveModeling2018"/>
    <w:p>
      <w:pPr>
        <w:pStyle w:val="Bibliography"/>
      </w:pPr>
      <w:r>
        <w:t xml:space="preserve">Kuhn, M., &amp; Johnson, K. (2018).</w:t>
      </w:r>
      <w:r>
        <w:t xml:space="preserve"> </w:t>
      </w:r>
      <w:r>
        <w:rPr>
          <w:i/>
          <w:iCs/>
        </w:rPr>
        <w:t xml:space="preserve">Applied</w:t>
      </w:r>
      <w:r>
        <w:rPr>
          <w:i/>
          <w:iCs/>
        </w:rPr>
        <w:t xml:space="preserve"> </w:t>
      </w:r>
      <w:r>
        <w:rPr>
          <w:i/>
          <w:iCs/>
        </w:rPr>
        <w:t xml:space="preserve">Predictive Modeling</w:t>
      </w:r>
      <w:r>
        <w:t xml:space="preserve"> </w:t>
      </w:r>
      <w:r>
        <w:t xml:space="preserve">(1st ed. 2013, Corr. 2nd printing 2018 edition). Springer.</w:t>
      </w:r>
      <w:r>
        <w:t xml:space="preserve"> </w:t>
      </w:r>
      <w:hyperlink r:id="rId132">
        <w:r>
          <w:rPr>
            <w:rStyle w:val="Hyperlink"/>
          </w:rPr>
          <w:t xml:space="preserve">https://doi.org/10.1007/978-1-4614-6849-3</w:t>
        </w:r>
      </w:hyperlink>
    </w:p>
    <w:bookmarkEnd w:id="133"/>
    <w:bookmarkStart w:id="134" w:name="ref-kuhnTidymodelsCollectionPackages2020"/>
    <w:p>
      <w:pPr>
        <w:pStyle w:val="Bibliography"/>
      </w:pPr>
      <w:r>
        <w:t xml:space="preserve">Kuhn, M., &amp; Wickham, H. (2020).</w:t>
      </w:r>
      <w:r>
        <w:t xml:space="preserve"> </w:t>
      </w:r>
      <w:r>
        <w:rPr>
          <w:i/>
          <w:iCs/>
        </w:rPr>
        <w:t xml:space="preserve">Tidymodels: A collection of packages for modeling and machine learning using tidyverse principles</w:t>
      </w:r>
      <w:r>
        <w:t xml:space="preserve">.</w:t>
      </w:r>
    </w:p>
    <w:bookmarkEnd w:id="134"/>
    <w:bookmarkStart w:id="136" w:name="ref-leeUrbanRuralDisparities2023"/>
    <w:p>
      <w:pPr>
        <w:pStyle w:val="Bibliography"/>
      </w:pPr>
      <w:r>
        <w:t xml:space="preserve">Lee, J. H., Wheeler, D. C., Zimmerman, E. B., Hines, A. L., &amp; Chapman, D. A. (2023). 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w:t>
      </w:r>
      <w:r>
        <w:t xml:space="preserve"> </w:t>
      </w:r>
      <w:r>
        <w:rPr>
          <w:i/>
          <w:iCs/>
        </w:rPr>
        <w:t xml:space="preserve">64</w:t>
      </w:r>
      <w:r>
        <w:t xml:space="preserve">(2), 149–156.</w:t>
      </w:r>
      <w:r>
        <w:t xml:space="preserve"> </w:t>
      </w:r>
      <w:hyperlink r:id="rId135">
        <w:r>
          <w:rPr>
            <w:rStyle w:val="Hyperlink"/>
          </w:rPr>
          <w:t xml:space="preserve">https://doi.org/10.1016/j.amepre.2022.08.022</w:t>
        </w:r>
      </w:hyperlink>
    </w:p>
    <w:bookmarkEnd w:id="136"/>
    <w:bookmarkStart w:id="137" w:name="X0943ff04c0b05099bf4a8c8078db37e3463cff7"/>
    <w:p>
      <w:pPr>
        <w:pStyle w:val="Bibliography"/>
      </w:pPr>
      <w:r>
        <w:t xml:space="preserve">Liese, B. S., &amp; Beck, A. T.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w:t>
      </w:r>
      <w:r>
        <w:t xml:space="preserve">(First edition). The Guilford Press.</w:t>
      </w:r>
    </w:p>
    <w:bookmarkEnd w:id="137"/>
    <w:bookmarkStart w:id="139" w:name="Xaa720cc9c8d959b428cd2035783815a9cba15e0"/>
    <w:p>
      <w:pPr>
        <w:pStyle w:val="Bibliography"/>
      </w:pPr>
      <w:r>
        <w:t xml:space="preserve">Lister, J. J., Weaver, A., Ellis, J. D., Himle, J. A., &amp; Ledgerwood, D. M. (2020). 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w:t>
      </w:r>
      <w:r>
        <w:t xml:space="preserve"> </w:t>
      </w:r>
      <w:r>
        <w:rPr>
          <w:i/>
          <w:iCs/>
        </w:rPr>
        <w:t xml:space="preserve">46</w:t>
      </w:r>
      <w:r>
        <w:t xml:space="preserve">(3), 273–288.</w:t>
      </w:r>
      <w:r>
        <w:t xml:space="preserve"> </w:t>
      </w:r>
      <w:hyperlink r:id="rId138">
        <w:r>
          <w:rPr>
            <w:rStyle w:val="Hyperlink"/>
          </w:rPr>
          <w:t xml:space="preserve">https://doi.org/10.1080/00952990.2019.1694536</w:t>
        </w:r>
      </w:hyperlink>
    </w:p>
    <w:bookmarkEnd w:id="139"/>
    <w:bookmarkStart w:id="140" w:name="X34be55f2a2ff67a14e7206627bb93b426490c87"/>
    <w:p>
      <w:pPr>
        <w:pStyle w:val="Bibliography"/>
      </w:pPr>
      <w:r>
        <w:t xml:space="preserve">Lundberg, S. M., &amp; Lee, S.-I. (2017). A unified approach to interpreting model predictions.</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4768–4777.</w:t>
      </w:r>
    </w:p>
    <w:bookmarkEnd w:id="140"/>
    <w:bookmarkStart w:id="141" w:name="X0900e084d2d8751b94683f82b04534ea811d54e"/>
    <w:p>
      <w:pPr>
        <w:pStyle w:val="Bibliography"/>
      </w:pPr>
      <w:r>
        <w:t xml:space="preserve">Marlatt, G. A., &amp; Gordon, J. R.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w:t>
      </w:r>
      <w:r>
        <w:t xml:space="preserve">(First edition). The Guilford Press.</w:t>
      </w:r>
    </w:p>
    <w:bookmarkEnd w:id="141"/>
    <w:bookmarkStart w:id="142" w:name="Xb55b40a3d7f46ba5e03427f7cd05843a1612710"/>
    <w:p>
      <w:pPr>
        <w:pStyle w:val="Bibliography"/>
      </w:pPr>
      <w:r>
        <w:t xml:space="preserve">Marwick, A. E., &amp; Boyd, D. (2018). 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w:t>
      </w:r>
      <w:r>
        <w:t xml:space="preserve"> </w:t>
      </w:r>
      <w:r>
        <w:rPr>
          <w:i/>
          <w:iCs/>
        </w:rPr>
        <w:t xml:space="preserve">12</w:t>
      </w:r>
      <w:r>
        <w:t xml:space="preserve">(0), 9.</w:t>
      </w:r>
    </w:p>
    <w:bookmarkEnd w:id="142"/>
    <w:bookmarkStart w:id="144" w:name="X1e16a8cc741ec7d68b9bde12ee2c181d9d36a93"/>
    <w:p>
      <w:pPr>
        <w:pStyle w:val="Bibliography"/>
      </w:pPr>
      <w:r>
        <w:t xml:space="preserve">McHugh, R. K., Hearon, B. A., &amp; Otto, M. W. (2010). 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w:t>
      </w:r>
      <w:r>
        <w:t xml:space="preserve"> </w:t>
      </w:r>
      <w:r>
        <w:rPr>
          <w:i/>
          <w:iCs/>
        </w:rPr>
        <w:t xml:space="preserve">33</w:t>
      </w:r>
      <w:r>
        <w:t xml:space="preserve">(3), 511–525.</w:t>
      </w:r>
      <w:r>
        <w:t xml:space="preserve"> </w:t>
      </w:r>
      <w:hyperlink r:id="rId143">
        <w:r>
          <w:rPr>
            <w:rStyle w:val="Hyperlink"/>
          </w:rPr>
          <w:t xml:space="preserve">https://doi.org/10.1016/j.psc.2010.04.012</w:t>
        </w:r>
      </w:hyperlink>
    </w:p>
    <w:bookmarkEnd w:id="144"/>
    <w:bookmarkStart w:id="146" w:name="ref-mchughSexGenderDifferences2018"/>
    <w:p>
      <w:pPr>
        <w:pStyle w:val="Bibliography"/>
      </w:pPr>
      <w:r>
        <w:t xml:space="preserve">McHugh, R. K., Votaw, V. R., Sugarman, D. E., &amp; Greenfield, S. F. (2018). Sex and gender differences in substance use disorders.</w:t>
      </w:r>
      <w:r>
        <w:t xml:space="preserve"> </w:t>
      </w:r>
      <w:r>
        <w:rPr>
          <w:i/>
          <w:iCs/>
        </w:rPr>
        <w:t xml:space="preserve">Clinical Psychology Review</w:t>
      </w:r>
      <w:r>
        <w:t xml:space="preserve">,</w:t>
      </w:r>
      <w:r>
        <w:t xml:space="preserve"> </w:t>
      </w:r>
      <w:r>
        <w:rPr>
          <w:i/>
          <w:iCs/>
        </w:rPr>
        <w:t xml:space="preserve">66</w:t>
      </w:r>
      <w:r>
        <w:t xml:space="preserve">, 12–23.</w:t>
      </w:r>
      <w:r>
        <w:t xml:space="preserve"> </w:t>
      </w:r>
      <w:hyperlink r:id="rId145">
        <w:r>
          <w:rPr>
            <w:rStyle w:val="Hyperlink"/>
          </w:rPr>
          <w:t xml:space="preserve">https://doi.org/10.1016/j.cpr.2017.10.012</w:t>
        </w:r>
      </w:hyperlink>
    </w:p>
    <w:bookmarkEnd w:id="146"/>
    <w:bookmarkStart w:id="148" w:name="ref-mclellanDrugDependenceChronic2000"/>
    <w:p>
      <w:pPr>
        <w:pStyle w:val="Bibliography"/>
      </w:pPr>
      <w:r>
        <w:t xml:space="preserve">McLellan, A. T., Lewis, D. C., O’Brien, C. P., &amp; Kleber, H. D. (2000). Drug dependence, a chronic medical illness: Implications for treatment, insurance, and outcomes evaluation.</w:t>
      </w:r>
      <w:r>
        <w:t xml:space="preserve"> </w:t>
      </w:r>
      <w:r>
        <w:rPr>
          <w:i/>
          <w:iCs/>
        </w:rPr>
        <w:t xml:space="preserve">JAMA</w:t>
      </w:r>
      <w:r>
        <w:t xml:space="preserve">,</w:t>
      </w:r>
      <w:r>
        <w:t xml:space="preserve"> </w:t>
      </w:r>
      <w:r>
        <w:rPr>
          <w:i/>
          <w:iCs/>
        </w:rPr>
        <w:t xml:space="preserve">284</w:t>
      </w:r>
      <w:r>
        <w:t xml:space="preserve">(13), 1689–1695.</w:t>
      </w:r>
      <w:r>
        <w:t xml:space="preserve"> </w:t>
      </w:r>
      <w:hyperlink r:id="rId147">
        <w:r>
          <w:rPr>
            <w:rStyle w:val="Hyperlink"/>
          </w:rPr>
          <w:t xml:space="preserve">https://doi.org/10.1001/jama.284.13.1689</w:t>
        </w:r>
      </w:hyperlink>
    </w:p>
    <w:bookmarkEnd w:id="148"/>
    <w:bookmarkStart w:id="150" w:name="ref-meyersIntersectionGenderDrug2021"/>
    <w:p>
      <w:pPr>
        <w:pStyle w:val="Bibliography"/>
      </w:pPr>
      <w:r>
        <w:t xml:space="preserve">Meyers, S. A., Earnshaw, V. A., D’Ambrosio, B., Courchesne, N., Werb, D., &amp; Smith, L. R. (2021). 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w:t>
      </w:r>
      <w:r>
        <w:t xml:space="preserve"> </w:t>
      </w:r>
      <w:r>
        <w:rPr>
          <w:i/>
          <w:iCs/>
        </w:rPr>
        <w:t xml:space="preserve">223</w:t>
      </w:r>
      <w:r>
        <w:t xml:space="preserve">, 108706.</w:t>
      </w:r>
      <w:r>
        <w:t xml:space="preserve"> </w:t>
      </w:r>
      <w:hyperlink r:id="rId149">
        <w:r>
          <w:rPr>
            <w:rStyle w:val="Hyperlink"/>
          </w:rPr>
          <w:t xml:space="preserve">https://doi.org/10.1016/j.drugalcdep.2021.108706</w:t>
        </w:r>
      </w:hyperlink>
    </w:p>
    <w:bookmarkEnd w:id="150"/>
    <w:bookmarkStart w:id="152" w:name="ref-mohrPersonalSensingUnderstanding2017"/>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151">
        <w:r>
          <w:rPr>
            <w:rStyle w:val="Hyperlink"/>
          </w:rPr>
          <w:t xml:space="preserve">https://doi.org/10.1146/annurev-clinpsy-032816-044949</w:t>
        </w:r>
      </w:hyperlink>
    </w:p>
    <w:bookmarkEnd w:id="152"/>
    <w:bookmarkStart w:id="153" w:name="X0c0e928dd8ff101aa479012bffab8d24e8c0dcf"/>
    <w:p>
      <w:pPr>
        <w:pStyle w:val="Bibliography"/>
      </w:pPr>
      <w:r>
        <w:t xml:space="preserve">Molnar, C.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Independently published.</w:t>
      </w:r>
    </w:p>
    <w:bookmarkEnd w:id="153"/>
    <w:bookmarkStart w:id="155" w:name="X1f44e09282148d362bdacfce67d6a56b1cf06db"/>
    <w:p>
      <w:pPr>
        <w:pStyle w:val="Bibliography"/>
      </w:pPr>
      <w:r>
        <w:t xml:space="preserve">Moshontz, H., Colmenares, A. J., Fronk, G. E., Sant’Ana, S. J., Wyant, K., Wanta, S. E., Maus, A., Jr, D. H. G., Shah, D., &amp; Curtin, J. J. (2021). 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w:t>
      </w:r>
      <w:r>
        <w:t xml:space="preserve"> </w:t>
      </w:r>
      <w:r>
        <w:rPr>
          <w:i/>
          <w:iCs/>
        </w:rPr>
        <w:t xml:space="preserve">10</w:t>
      </w:r>
      <w:r>
        <w:t xml:space="preserve">(12), e29563.</w:t>
      </w:r>
      <w:r>
        <w:t xml:space="preserve"> </w:t>
      </w:r>
      <w:hyperlink r:id="rId154">
        <w:r>
          <w:rPr>
            <w:rStyle w:val="Hyperlink"/>
          </w:rPr>
          <w:t xml:space="preserve">https://doi.org/10.2196/29563</w:t>
        </w:r>
      </w:hyperlink>
    </w:p>
    <w:bookmarkEnd w:id="155"/>
    <w:bookmarkStart w:id="157" w:name="ref-olfsonHealthcareCoverageService2022"/>
    <w:p>
      <w:pPr>
        <w:pStyle w:val="Bibliography"/>
      </w:pPr>
      <w:r>
        <w:t xml:space="preserve">Olfson, M., Mauro, C., Wall, M. M., Choi, C. J., Barry, C. L., &amp; Mojtabai, R. (2022). Healthcare coverage and service access for low-income adults with substance use disorders.</w:t>
      </w:r>
      <w:r>
        <w:t xml:space="preserve"> </w:t>
      </w:r>
      <w:r>
        <w:rPr>
          <w:i/>
          <w:iCs/>
        </w:rPr>
        <w:t xml:space="preserve">Journal of Substance Abuse Treatment</w:t>
      </w:r>
      <w:r>
        <w:t xml:space="preserve">,</w:t>
      </w:r>
      <w:r>
        <w:t xml:space="preserve"> </w:t>
      </w:r>
      <w:r>
        <w:rPr>
          <w:i/>
          <w:iCs/>
        </w:rPr>
        <w:t xml:space="preserve">137</w:t>
      </w:r>
      <w:r>
        <w:t xml:space="preserve">, 108710.</w:t>
      </w:r>
      <w:r>
        <w:t xml:space="preserve"> </w:t>
      </w:r>
      <w:hyperlink r:id="rId156">
        <w:r>
          <w:rPr>
            <w:rStyle w:val="Hyperlink"/>
          </w:rPr>
          <w:t xml:space="preserve">https://doi.org/10.1016/j.jsat.2021.108710</w:t>
        </w:r>
      </w:hyperlink>
    </w:p>
    <w:bookmarkEnd w:id="157"/>
    <w:bookmarkStart w:id="159" w:name="ref-pinedoCurrentReexaminationRacial2019"/>
    <w:p>
      <w:pPr>
        <w:pStyle w:val="Bibliography"/>
      </w:pPr>
      <w:r>
        <w:t xml:space="preserve">Pinedo, M. (2019). 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w:t>
      </w:r>
      <w:r>
        <w:t xml:space="preserve"> </w:t>
      </w:r>
      <w:r>
        <w:rPr>
          <w:i/>
          <w:iCs/>
        </w:rPr>
        <w:t xml:space="preserve">202</w:t>
      </w:r>
      <w:r>
        <w:t xml:space="preserve">, 162–167.</w:t>
      </w:r>
      <w:r>
        <w:t xml:space="preserve"> </w:t>
      </w:r>
      <w:hyperlink r:id="rId158">
        <w:r>
          <w:rPr>
            <w:rStyle w:val="Hyperlink"/>
          </w:rPr>
          <w:t xml:space="preserve">https://doi.org/10.1016/j.drugalcdep.2019.05.017</w:t>
        </w:r>
      </w:hyperlink>
    </w:p>
    <w:bookmarkEnd w:id="159"/>
    <w:bookmarkStart w:id="160" w:name="ref-plattProbabilisticOutputsSupport1999"/>
    <w:p>
      <w:pPr>
        <w:pStyle w:val="Bibliography"/>
      </w:pPr>
      <w:r>
        <w:t xml:space="preserve">Platt, J. (1999). Probabilistic outputs for support vector machines and comparisons to regularized likelihood methods. In</w:t>
      </w:r>
      <w:r>
        <w:t xml:space="preserve"> </w:t>
      </w:r>
      <w:r>
        <w:rPr>
          <w:i/>
          <w:iCs/>
        </w:rPr>
        <w:t xml:space="preserve">Advances in large margin classifiers</w:t>
      </w:r>
      <w:r>
        <w:t xml:space="preserve"> </w:t>
      </w:r>
      <w:r>
        <w:t xml:space="preserve">(pp. 61–74). MIT Press.</w:t>
      </w:r>
    </w:p>
    <w:bookmarkEnd w:id="160"/>
    <w:bookmarkStart w:id="162" w:name="ref-pulickIdiographicLapsePrediction2025"/>
    <w:p>
      <w:pPr>
        <w:pStyle w:val="Bibliography"/>
      </w:pPr>
      <w:r>
        <w:t xml:space="preserve">Pulick, E., Curtin, J., &amp; Mintz, Y. (2025). 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w:t>
      </w:r>
      <w:r>
        <w:t xml:space="preserve"> </w:t>
      </w:r>
      <w:r>
        <w:rPr>
          <w:i/>
          <w:iCs/>
        </w:rPr>
        <w:t xml:space="preserve">9</w:t>
      </w:r>
      <w:r>
        <w:t xml:space="preserve">(1), e73265.</w:t>
      </w:r>
      <w:r>
        <w:t xml:space="preserve"> </w:t>
      </w:r>
      <w:hyperlink r:id="rId161">
        <w:r>
          <w:rPr>
            <w:rStyle w:val="Hyperlink"/>
          </w:rPr>
          <w:t xml:space="preserve">https://doi.org/10.2196/73265</w:t>
        </w:r>
      </w:hyperlink>
    </w:p>
    <w:bookmarkEnd w:id="162"/>
    <w:bookmarkStart w:id="164" w:name="Xa1b8899d52f2070e9a46165cf23fe2013b5e4a3"/>
    <w:p>
      <w:pPr>
        <w:pStyle w:val="Bibliography"/>
      </w:pPr>
      <w:r>
        <w:t xml:space="preserve">Rawson, R. A., Shoptaw, S. J., Obert, J. L., McCann, M. J., Hasson, A. L., Marinelli-Casey, P. J., Brethen, P. R., &amp; Ling, W. (1995). 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w:t>
      </w:r>
      <w:r>
        <w:t xml:space="preserve"> </w:t>
      </w:r>
      <w:r>
        <w:rPr>
          <w:i/>
          <w:iCs/>
        </w:rPr>
        <w:t xml:space="preserve">12</w:t>
      </w:r>
      <w:r>
        <w:t xml:space="preserve">(2), 117–127.</w:t>
      </w:r>
      <w:r>
        <w:t xml:space="preserve"> </w:t>
      </w:r>
      <w:hyperlink r:id="rId163">
        <w:r>
          <w:rPr>
            <w:rStyle w:val="Hyperlink"/>
          </w:rPr>
          <w:t xml:space="preserve">https://doi.org/10.1016/0740-5472(94)00080-b</w:t>
        </w:r>
      </w:hyperlink>
    </w:p>
    <w:bookmarkEnd w:id="164"/>
    <w:bookmarkStart w:id="166" w:name="Xc5cdea043ab663a81d5612c8b1e0f7c2b734aab"/>
    <w:p>
      <w:pPr>
        <w:pStyle w:val="Bibliography"/>
      </w:pPr>
      <w:r>
        <w:t xml:space="preserve">Roche, M. J., Pincus, A. L., Rebar, A. L., Conroy, D. E., &amp; Ram, N. (2014). 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w:t>
      </w:r>
      <w:r>
        <w:t xml:space="preserve"> </w:t>
      </w:r>
      <w:r>
        <w:rPr>
          <w:i/>
          <w:iCs/>
        </w:rPr>
        <w:t xml:space="preserve">21</w:t>
      </w:r>
      <w:r>
        <w:t xml:space="preserve">(5), 515–528.</w:t>
      </w:r>
      <w:r>
        <w:t xml:space="preserve"> </w:t>
      </w:r>
      <w:hyperlink r:id="rId165">
        <w:r>
          <w:rPr>
            <w:rStyle w:val="Hyperlink"/>
          </w:rPr>
          <w:t xml:space="preserve">https://doi.org/10.1177/1073191114540320</w:t>
        </w:r>
      </w:hyperlink>
    </w:p>
    <w:bookmarkEnd w:id="166"/>
    <w:bookmarkStart w:id="167" w:name="X93e79e1a5ab79bb153842a6d1ed7d5e5cb3185f"/>
    <w:p>
      <w:pPr>
        <w:pStyle w:val="Bibliography"/>
      </w:pPr>
      <w:r>
        <w:t xml:space="preserve">RStudio Team. (2020).</w:t>
      </w:r>
      <w:r>
        <w:t xml:space="preserve"> </w:t>
      </w:r>
      <w:r>
        <w:rPr>
          <w:i/>
          <w:iCs/>
        </w:rPr>
        <w:t xml:space="preserve">RStudio</w:t>
      </w:r>
      <w:r>
        <w:rPr>
          <w:i/>
          <w:iCs/>
        </w:rPr>
        <w:t xml:space="preserve">:</w:t>
      </w:r>
      <w:r>
        <w:rPr>
          <w:i/>
          <w:iCs/>
        </w:rPr>
        <w:t xml:space="preserve"> </w:t>
      </w:r>
      <w:r>
        <w:rPr>
          <w:i/>
          <w:iCs/>
        </w:rPr>
        <w:t xml:space="preserve">Integrated Development</w:t>
      </w:r>
      <w:r>
        <w:rPr>
          <w:i/>
          <w:iCs/>
        </w:rPr>
        <w:t xml:space="preserve"> </w:t>
      </w:r>
      <w:r>
        <w:rPr>
          <w:i/>
          <w:iCs/>
        </w:rPr>
        <w:t xml:space="preserve">for</w:t>
      </w:r>
      <w:r>
        <w:rPr>
          <w:i/>
          <w:iCs/>
        </w:rPr>
        <w:t xml:space="preserve"> </w:t>
      </w:r>
      <w:r>
        <w:rPr>
          <w:i/>
          <w:iCs/>
        </w:rPr>
        <w:t xml:space="preserve">R</w:t>
      </w:r>
      <w:r>
        <w:t xml:space="preserve">. RStudio, Inc.</w:t>
      </w:r>
    </w:p>
    <w:bookmarkEnd w:id="167"/>
    <w:bookmarkStart w:id="169" w:name="ref-sociasAdoptingCascadeCare2016"/>
    <w:p>
      <w:pPr>
        <w:pStyle w:val="Bibliography"/>
      </w:pPr>
      <w:r>
        <w:t xml:space="preserve">Socías, M. E., Volkow, N., &amp; Wood, E. (2016). 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w:t>
      </w:r>
      <w:r>
        <w:t xml:space="preserve"> </w:t>
      </w:r>
      <w:r>
        <w:rPr>
          <w:i/>
          <w:iCs/>
        </w:rPr>
        <w:t xml:space="preserve">111</w:t>
      </w:r>
      <w:r>
        <w:t xml:space="preserve">(12), 2079–2081.</w:t>
      </w:r>
      <w:r>
        <w:t xml:space="preserve"> </w:t>
      </w:r>
      <w:hyperlink r:id="rId168">
        <w:r>
          <w:rPr>
            <w:rStyle w:val="Hyperlink"/>
          </w:rPr>
          <w:t xml:space="preserve">https://doi.org/10.1111/add.13479</w:t>
        </w:r>
      </w:hyperlink>
    </w:p>
    <w:bookmarkEnd w:id="169"/>
    <w:bookmarkStart w:id="171" w:name="Xd4c1d027f60920f356af6131267e679804e946e"/>
    <w:p>
      <w:pPr>
        <w:pStyle w:val="Bibliography"/>
      </w:pPr>
      <w:r>
        <w:t xml:space="preserve">Soyster, P. D., Ashlock, L., &amp; Fisher, A. J. (2022). 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w:t>
      </w:r>
      <w:r>
        <w:t xml:space="preserve"> </w:t>
      </w:r>
      <w:r>
        <w:rPr>
          <w:i/>
          <w:iCs/>
        </w:rPr>
        <w:t xml:space="preserve">36</w:t>
      </w:r>
      <w:r>
        <w:t xml:space="preserve">(3), 296–306.</w:t>
      </w:r>
      <w:r>
        <w:t xml:space="preserve"> </w:t>
      </w:r>
      <w:hyperlink r:id="rId170">
        <w:r>
          <w:rPr>
            <w:rStyle w:val="Hyperlink"/>
          </w:rPr>
          <w:t xml:space="preserve">https://doi.org/10.1037/adb0000666</w:t>
        </w:r>
      </w:hyperlink>
    </w:p>
    <w:bookmarkEnd w:id="171"/>
    <w:bookmarkStart w:id="173" w:name="X01387e434119cf09c116d0feeabab9f278d40e3"/>
    <w:p>
      <w:pPr>
        <w:pStyle w:val="Bibliography"/>
      </w:pPr>
      <w:r>
        <w:t xml:space="preserve">Stanojlović, M., &amp; Davidson, L. (2021). 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w:t>
      </w:r>
      <w:r>
        <w:t xml:space="preserve"> </w:t>
      </w:r>
      <w:r>
        <w:rPr>
          <w:i/>
          <w:iCs/>
        </w:rPr>
        <w:t xml:space="preserve">15</w:t>
      </w:r>
      <w:r>
        <w:t xml:space="preserve">, 1178221820976988.</w:t>
      </w:r>
      <w:r>
        <w:t xml:space="preserve"> </w:t>
      </w:r>
      <w:hyperlink r:id="rId172">
        <w:r>
          <w:rPr>
            <w:rStyle w:val="Hyperlink"/>
          </w:rPr>
          <w:t xml:space="preserve">https://doi.org/10.1177/1178221820976988</w:t>
        </w:r>
      </w:hyperlink>
    </w:p>
    <w:bookmarkEnd w:id="173"/>
    <w:bookmarkStart w:id="174" w:name="ref-studiesNIHRevitalizationAct1994"/>
    <w:p>
      <w:pPr>
        <w:pStyle w:val="Bibliography"/>
      </w:pPr>
      <w:r>
        <w:t xml:space="preserve">Studies, I. of M. (US). C. on E. and L. I. R. to the I. of W. in C., Mastroianni, A. C., Faden, R., &amp; Federman, D. (1994).</w:t>
      </w:r>
      <w:r>
        <w:t xml:space="preserve"> </w:t>
      </w:r>
      <w:r>
        <w:t xml:space="preserve">NIH Revitalization Act</w:t>
      </w:r>
      <w:r>
        <w:t xml:space="preserve"> </w:t>
      </w:r>
      <w:r>
        <w:t xml:space="preserve">of 1993</w:t>
      </w:r>
      <w:r>
        <w:t xml:space="preserve"> </w:t>
      </w:r>
      <w:r>
        <w:t xml:space="preserve">Public Law</w:t>
      </w:r>
      <w:r>
        <w:t xml:space="preserve"> </w:t>
      </w:r>
      <w:r>
        <w:t xml:space="preserve">103-43. 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4"/>
    <w:bookmarkStart w:id="175" w:name="X49615488ccbe1cc080620555246c804ab34d103"/>
    <w:p>
      <w:pPr>
        <w:pStyle w:val="Bibliography"/>
      </w:pPr>
      <w:r>
        <w:t xml:space="preserve">Substance Abuse and Mental Health Services Administration. (n.d.).</w:t>
      </w:r>
      <w:r>
        <w:t xml:space="preserve"> </w:t>
      </w:r>
      <w:r>
        <w:rPr>
          <w:i/>
          <w:iCs/>
        </w:rPr>
        <w:t xml:space="preserve">2023</w:t>
      </w:r>
      <w:r>
        <w:rPr>
          <w:i/>
          <w:iCs/>
        </w:rPr>
        <w:t xml:space="preserve"> </w:t>
      </w:r>
      <w:r>
        <w:rPr>
          <w:i/>
          <w:iCs/>
        </w:rPr>
        <w:t xml:space="preserve">NSDUH Detailed Tables</w:t>
      </w:r>
      <w:r>
        <w:rPr>
          <w:i/>
          <w:iCs/>
        </w:rPr>
        <w:t xml:space="preserve"> </w:t>
      </w:r>
      <w:r>
        <w:rPr>
          <w:i/>
          <w:iCs/>
        </w:rPr>
        <w:t xml:space="preserve"> </w:t>
      </w:r>
      <w:r>
        <w:rPr>
          <w:i/>
          <w:iCs/>
        </w:rPr>
        <w:t xml:space="preserve">CBHSQ Data</w:t>
      </w:r>
      <w:r>
        <w:t xml:space="preserve">. https://www.samhsa.gov/data/report/2023-nsduh-detailed-tables.</w:t>
      </w:r>
    </w:p>
    <w:bookmarkEnd w:id="175"/>
    <w:bookmarkStart w:id="177" w:name="Xdd108b50209bad1fdcf1a9fcca4dd1d7d3b13e9"/>
    <w:p>
      <w:pPr>
        <w:pStyle w:val="Bibliography"/>
      </w:pPr>
      <w:r>
        <w:t xml:space="preserve">Tausczik, Y. R., &amp; Pennebaker, J. W. (2010). 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w:t>
      </w:r>
      <w:r>
        <w:t xml:space="preserve"> </w:t>
      </w:r>
      <w:r>
        <w:rPr>
          <w:i/>
          <w:iCs/>
        </w:rPr>
        <w:t xml:space="preserve">29</w:t>
      </w:r>
      <w:r>
        <w:t xml:space="preserve">(1), 24–54.</w:t>
      </w:r>
      <w:r>
        <w:t xml:space="preserve"> </w:t>
      </w:r>
      <w:hyperlink r:id="rId176">
        <w:r>
          <w:rPr>
            <w:rStyle w:val="Hyperlink"/>
          </w:rPr>
          <w:t xml:space="preserve">https://doi.org/10.1177/0261927X09351676</w:t>
        </w:r>
      </w:hyperlink>
    </w:p>
    <w:bookmarkEnd w:id="177"/>
    <w:bookmarkStart w:id="179" w:name="ref-vannicelliEffectSexBias1984"/>
    <w:p>
      <w:pPr>
        <w:pStyle w:val="Bibliography"/>
      </w:pPr>
      <w:r>
        <w:t xml:space="preserve">Vannicelli, M., &amp; Nash, L. (1984). 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w:t>
      </w:r>
      <w:r>
        <w:t xml:space="preserve"> </w:t>
      </w:r>
      <w:r>
        <w:rPr>
          <w:i/>
          <w:iCs/>
        </w:rPr>
        <w:t xml:space="preserve">8</w:t>
      </w:r>
      <w:r>
        <w:t xml:space="preserve">(3), 334–336.</w:t>
      </w:r>
      <w:r>
        <w:t xml:space="preserve"> </w:t>
      </w:r>
      <w:hyperlink r:id="rId178">
        <w:r>
          <w:rPr>
            <w:rStyle w:val="Hyperlink"/>
          </w:rPr>
          <w:t xml:space="preserve">https://doi.org/10.1111/j.1530-0277.1984.tb05523.x</w:t>
        </w:r>
      </w:hyperlink>
    </w:p>
    <w:bookmarkEnd w:id="179"/>
    <w:bookmarkStart w:id="181" w:name="ref-veinotGoodIntentionsAre2018"/>
    <w:p>
      <w:pPr>
        <w:pStyle w:val="Bibliography"/>
      </w:pPr>
      <w:r>
        <w:t xml:space="preserve">Veinot, T. C., Mitchell, H., &amp; Ancker, J. S. (2018). Good intentions are not enough: How informatics interventions can worsen inequality.</w:t>
      </w:r>
      <w:r>
        <w:t xml:space="preserve"> </w:t>
      </w:r>
      <w:r>
        <w:rPr>
          <w:i/>
          <w:iCs/>
        </w:rPr>
        <w:t xml:space="preserve">Journal of the American Medical Informatics Association: JAMIA</w:t>
      </w:r>
      <w:r>
        <w:t xml:space="preserve">,</w:t>
      </w:r>
      <w:r>
        <w:t xml:space="preserve"> </w:t>
      </w:r>
      <w:r>
        <w:rPr>
          <w:i/>
          <w:iCs/>
        </w:rPr>
        <w:t xml:space="preserve">25</w:t>
      </w:r>
      <w:r>
        <w:t xml:space="preserve">(8), 1080–1088.</w:t>
      </w:r>
      <w:r>
        <w:t xml:space="preserve"> </w:t>
      </w:r>
      <w:hyperlink r:id="rId180">
        <w:r>
          <w:rPr>
            <w:rStyle w:val="Hyperlink"/>
          </w:rPr>
          <w:t xml:space="preserve">https://doi.org/10.1093/jamia/ocy052</w:t>
        </w:r>
      </w:hyperlink>
    </w:p>
    <w:bookmarkEnd w:id="181"/>
    <w:bookmarkStart w:id="183" w:name="ref-wagnerImprovingChronicIllness2001"/>
    <w:p>
      <w:pPr>
        <w:pStyle w:val="Bibliography"/>
      </w:pPr>
      <w:r>
        <w:t xml:space="preserve">Wagner, E. H., Austin, B. T., Davis, C., Hindmarsh, M., Schaefer, J., &amp; Bonomi, A. (2001). 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w:t>
      </w:r>
      <w:r>
        <w:t xml:space="preserve"> </w:t>
      </w:r>
      <w:r>
        <w:rPr>
          <w:i/>
          <w:iCs/>
        </w:rPr>
        <w:t xml:space="preserve">20</w:t>
      </w:r>
      <w:r>
        <w:t xml:space="preserve">(6), 64–78.</w:t>
      </w:r>
      <w:r>
        <w:t xml:space="preserve"> </w:t>
      </w:r>
      <w:hyperlink r:id="rId182">
        <w:r>
          <w:rPr>
            <w:rStyle w:val="Hyperlink"/>
          </w:rPr>
          <w:t xml:space="preserve">https://doi.org/10.1377/hlthaff.20.6.64</w:t>
        </w:r>
      </w:hyperlink>
    </w:p>
    <w:bookmarkEnd w:id="183"/>
    <w:bookmarkStart w:id="185" w:name="ref-walitzerGenderDifferencesAlcohol2006"/>
    <w:p>
      <w:pPr>
        <w:pStyle w:val="Bibliography"/>
      </w:pPr>
      <w:r>
        <w:t xml:space="preserve">Walitzer, K. S., &amp; Dearing, R. L. (2006). Gender differences in alcohol and substance use relapse.</w:t>
      </w:r>
      <w:r>
        <w:t xml:space="preserve"> </w:t>
      </w:r>
      <w:r>
        <w:rPr>
          <w:i/>
          <w:iCs/>
        </w:rPr>
        <w:t xml:space="preserve">Clinical Psychology Review</w:t>
      </w:r>
      <w:r>
        <w:t xml:space="preserve">,</w:t>
      </w:r>
      <w:r>
        <w:t xml:space="preserve"> </w:t>
      </w:r>
      <w:r>
        <w:rPr>
          <w:i/>
          <w:iCs/>
        </w:rPr>
        <w:t xml:space="preserve">26</w:t>
      </w:r>
      <w:r>
        <w:t xml:space="preserve">(2), 128–148.</w:t>
      </w:r>
      <w:r>
        <w:t xml:space="preserve"> </w:t>
      </w:r>
      <w:hyperlink r:id="rId184">
        <w:r>
          <w:rPr>
            <w:rStyle w:val="Hyperlink"/>
          </w:rPr>
          <w:t xml:space="preserve">https://doi.org/10.1016/j.cpr.2005.11.003</w:t>
        </w:r>
      </w:hyperlink>
    </w:p>
    <w:bookmarkEnd w:id="185"/>
    <w:bookmarkStart w:id="187" w:name="ref-waltersUsingMachineLearning2021"/>
    <w:p>
      <w:pPr>
        <w:pStyle w:val="Bibliography"/>
      </w:pPr>
      <w:r>
        <w:t xml:space="preserve">Walters, S. T., Businelle, M. S., Suchting, R., Li, X., Hébert, E. T., &amp; Mun, E.-Y. (2021). 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w:t>
      </w:r>
      <w:r>
        <w:t xml:space="preserve"> </w:t>
      </w:r>
      <w:r>
        <w:rPr>
          <w:i/>
          <w:iCs/>
        </w:rPr>
        <w:t xml:space="preserve">127</w:t>
      </w:r>
      <w:r>
        <w:t xml:space="preserve">, 108417.</w:t>
      </w:r>
      <w:r>
        <w:t xml:space="preserve"> </w:t>
      </w:r>
      <w:hyperlink r:id="rId186">
        <w:r>
          <w:rPr>
            <w:rStyle w:val="Hyperlink"/>
          </w:rPr>
          <w:t xml:space="preserve">https://doi.org/10.1016/j.jsat.2021.108417</w:t>
        </w:r>
      </w:hyperlink>
    </w:p>
    <w:bookmarkEnd w:id="187"/>
    <w:bookmarkStart w:id="189" w:name="X2d30c84041d97351f676569bf3de3da0c8a9d6d"/>
    <w:p>
      <w:pPr>
        <w:pStyle w:val="Bibliography"/>
      </w:pPr>
      <w:r>
        <w:t xml:space="preserve">WHO ASSIST Working Group. (2002).</w:t>
      </w:r>
      <w:r>
        <w:t xml:space="preserve"> </w:t>
      </w:r>
      <w:hyperlink r:id="rId188">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w:t>
      </w:r>
      <w:r>
        <w:t xml:space="preserve"> </w:t>
      </w:r>
      <w:r>
        <w:rPr>
          <w:i/>
          <w:iCs/>
        </w:rPr>
        <w:t xml:space="preserve">97</w:t>
      </w:r>
      <w:r>
        <w:t xml:space="preserve">(9), 1183–1194.</w:t>
      </w:r>
    </w:p>
    <w:bookmarkEnd w:id="189"/>
    <w:bookmarkStart w:id="191" w:name="X4446e184b7dd55a61fd406499f32542fdcf24b5"/>
    <w:p>
      <w:pPr>
        <w:pStyle w:val="Bibliography"/>
      </w:pPr>
      <w:r>
        <w:t xml:space="preserve">Witkiewitz, K., &amp; Marlatt, G. A. (2004). 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w:t>
      </w:r>
      <w:r>
        <w:t xml:space="preserve"> </w:t>
      </w:r>
      <w:r>
        <w:rPr>
          <w:i/>
          <w:iCs/>
        </w:rPr>
        <w:t xml:space="preserve">59</w:t>
      </w:r>
      <w:r>
        <w:t xml:space="preserve">(4), 224–235.</w:t>
      </w:r>
      <w:r>
        <w:t xml:space="preserve"> </w:t>
      </w:r>
      <w:hyperlink r:id="rId190">
        <w:r>
          <w:rPr>
            <w:rStyle w:val="Hyperlink"/>
          </w:rPr>
          <w:t xml:space="preserve">https://doi.org/10.1037/0003-066X.59.4.224</w:t>
        </w:r>
      </w:hyperlink>
    </w:p>
    <w:bookmarkEnd w:id="191"/>
    <w:bookmarkStart w:id="193" w:name="X254a0f87701f835b5365990b3eba45be7dca59c"/>
    <w:p>
      <w:pPr>
        <w:pStyle w:val="Bibliography"/>
      </w:pPr>
      <w:r>
        <w:t xml:space="preserve">Witkiewitz, K., &amp; Marlatt, G. A. (2007). 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w:t>
      </w:r>
      <w:r>
        <w:t xml:space="preserve"> </w:t>
      </w:r>
      <w:r>
        <w:rPr>
          <w:i/>
          <w:iCs/>
        </w:rPr>
        <w:t xml:space="preserve">27</w:t>
      </w:r>
      <w:r>
        <w:t xml:space="preserve">(6), 724–738.</w:t>
      </w:r>
      <w:r>
        <w:t xml:space="preserve"> </w:t>
      </w:r>
      <w:hyperlink r:id="rId192">
        <w:r>
          <w:rPr>
            <w:rStyle w:val="Hyperlink"/>
          </w:rPr>
          <w:t xml:space="preserve">https://doi.org/10.1016/j.cpr.2007.01.002</w:t>
        </w:r>
      </w:hyperlink>
    </w:p>
    <w:bookmarkEnd w:id="193"/>
    <w:bookmarkStart w:id="195" w:name="X513fadbf866a4ddf9f29b63741ad369252b4800"/>
    <w:p>
      <w:pPr>
        <w:pStyle w:val="Bibliography"/>
      </w:pPr>
      <w:r>
        <w:t xml:space="preserve">Wright, A. G. C., Hallquist, M. N., Stepp, S. D., Scott, L. N., Beeney, J. E., Lazarus, S. A., &amp; Pilkonis, P. A. (2016). 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w:t>
      </w:r>
      <w:r>
        <w:t xml:space="preserve"> </w:t>
      </w:r>
      <w:r>
        <w:rPr>
          <w:i/>
          <w:iCs/>
        </w:rPr>
        <w:t xml:space="preserve">23</w:t>
      </w:r>
      <w:r>
        <w:t xml:space="preserve">(4), 484–495.</w:t>
      </w:r>
      <w:r>
        <w:t xml:space="preserve"> </w:t>
      </w:r>
      <w:hyperlink r:id="rId194">
        <w:r>
          <w:rPr>
            <w:rStyle w:val="Hyperlink"/>
          </w:rPr>
          <w:t xml:space="preserve">https://doi.org/10.1177/1073191116653829</w:t>
        </w:r>
      </w:hyperlink>
    </w:p>
    <w:bookmarkEnd w:id="195"/>
    <w:bookmarkStart w:id="197" w:name="Xb35ee182d565575e339a0170868456c1684f821"/>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(1), e41833.</w:t>
      </w:r>
      <w:r>
        <w:t xml:space="preserve"> </w:t>
      </w:r>
      <w:hyperlink r:id="rId196">
        <w:r>
          <w:rPr>
            <w:rStyle w:val="Hyperlink"/>
          </w:rPr>
          <w:t xml:space="preserve">https://doi.org/10.2196/41833</w:t>
        </w:r>
      </w:hyperlink>
    </w:p>
    <w:bookmarkEnd w:id="197"/>
    <w:bookmarkStart w:id="199" w:name="ref-wyantMachineLearningModels2023"/>
    <w:p>
      <w:pPr>
        <w:pStyle w:val="Bibliography"/>
      </w:pPr>
      <w:r>
        <w:t xml:space="preserve">Wyant, K., Sant’Ana, S. J. K., Fronk, G., &amp; Curtin, J. J. (2024). 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8">
        <w:r>
          <w:rPr>
            <w:rStyle w:val="Hyperlink"/>
          </w:rPr>
          <w:t xml:space="preserve">https://doi.org/10.31234/osf.io/cgsf7</w:t>
        </w:r>
      </w:hyperlink>
    </w:p>
    <w:bookmarkEnd w:id="199"/>
    <w:bookmarkStart w:id="200" w:name="X0f0fab553d46f8852e582400eb2e6c745146f48"/>
    <w:p>
      <w:pPr>
        <w:pStyle w:val="Bibliography"/>
      </w:pPr>
      <w:r>
        <w:t xml:space="preserve">Wyant, K., Sant’Ana, S. J., Punturieri, C. E., Yu, J., Fronk, G. E., Maggard, C. M., Janssen, C., Wanta, S. E., Kornfield, R., van Swol, L. M., &amp; Curtin, J. J. (under review).</w:t>
      </w:r>
      <w:r>
        <w:t xml:space="preserve"> </w:t>
      </w:r>
      <w:r>
        <w:rPr>
          <w:i/>
          <w:iCs/>
        </w:rPr>
        <w:t xml:space="preserve">Maximizing engagement, trust, and clinical benefit of</w:t>
      </w:r>
      <w:r>
        <w:rPr>
          <w:i/>
          <w:iCs/>
        </w:rPr>
        <w:t xml:space="preserve"> </w:t>
      </w:r>
      <w:r>
        <w:rPr>
          <w:i/>
          <w:iCs/>
        </w:rPr>
        <w:t xml:space="preserve">AI-generated</w:t>
      </w:r>
      <w:r>
        <w:rPr>
          <w:i/>
          <w:iCs/>
        </w:rPr>
        <w:t xml:space="preserve"> </w:t>
      </w:r>
      <w:r>
        <w:rPr>
          <w:i/>
          <w:iCs/>
        </w:rPr>
        <w:t xml:space="preserve">recovery monitoring and support messages for alcohol use disorder:</w:t>
      </w:r>
      <w:r>
        <w:rPr>
          <w:i/>
          <w:iCs/>
        </w:rPr>
        <w:t xml:space="preserve"> </w:t>
      </w:r>
      <w:r>
        <w:rPr>
          <w:i/>
          <w:iCs/>
        </w:rPr>
        <w:t xml:space="preserve">Protocol</w:t>
      </w:r>
      <w:r>
        <w:rPr>
          <w:i/>
          <w:iCs/>
        </w:rPr>
        <w:t xml:space="preserve"> </w:t>
      </w:r>
      <w:r>
        <w:rPr>
          <w:i/>
          <w:iCs/>
        </w:rPr>
        <w:t xml:space="preserve">for an optimization study</w:t>
      </w:r>
      <w:r>
        <w:t xml:space="preserve">.</w:t>
      </w:r>
    </w:p>
    <w:bookmarkEnd w:id="200"/>
    <w:bookmarkStart w:id="202" w:name="Xdcc3e6c1429a41e0448c7c169835e10027482a3"/>
    <w:p>
      <w:pPr>
        <w:pStyle w:val="Bibliography"/>
      </w:pPr>
      <w:r>
        <w:t xml:space="preserve">Xie, K., Deng, K., &amp; Zhou, X. (2009). From trajectories to activities: A spatio-temporal join approach.</w:t>
      </w:r>
      <w:r>
        <w:t xml:space="preserve"> </w:t>
      </w:r>
      <w:r>
        <w:rPr>
          <w:i/>
          <w:iCs/>
        </w:rPr>
        <w:t xml:space="preserve">Proceedings of the 2009</w:t>
      </w:r>
      <w:r>
        <w:rPr>
          <w:i/>
          <w:iCs/>
        </w:rPr>
        <w:t xml:space="preserve"> </w:t>
      </w:r>
      <w:r>
        <w:rPr>
          <w:i/>
          <w:iCs/>
        </w:rPr>
        <w:t xml:space="preserve">International Workshop</w:t>
      </w:r>
      <w:r>
        <w:rPr>
          <w:i/>
          <w:iCs/>
        </w:rPr>
        <w:t xml:space="preserve"> </w:t>
      </w:r>
      <w:r>
        <w:rPr>
          <w:i/>
          <w:iCs/>
        </w:rPr>
        <w:t xml:space="preserve">on</w:t>
      </w:r>
      <w:r>
        <w:rPr>
          <w:i/>
          <w:iCs/>
        </w:rPr>
        <w:t xml:space="preserve"> </w:t>
      </w:r>
      <w:r>
        <w:rPr>
          <w:i/>
          <w:iCs/>
        </w:rPr>
        <w:t xml:space="preserve">Location Based Social Networks</w:t>
      </w:r>
      <w:r>
        <w:t xml:space="preserve">, 25–32.</w:t>
      </w:r>
      <w:r>
        <w:t xml:space="preserve"> </w:t>
      </w:r>
      <w:hyperlink r:id="rId201">
        <w:r>
          <w:rPr>
            <w:rStyle w:val="Hyperlink"/>
          </w:rPr>
          <w:t xml:space="preserve">https://doi.org/10.1145/1629890.1629897</w:t>
        </w:r>
      </w:hyperlink>
    </w:p>
    <w:bookmarkEnd w:id="202"/>
    <w:bookmarkStart w:id="204" w:name="ref-zikmund-fisherRightToolWhat2013"/>
    <w:p>
      <w:pPr>
        <w:pStyle w:val="Bibliography"/>
      </w:pPr>
      <w:r>
        <w:t xml:space="preserve">Zikmund-Fisher, B. J. (2013). The right tool is what they need, not what we have: A taxonomy of appropriate levels of precision in patient risk communication.</w:t>
      </w:r>
      <w:r>
        <w:t xml:space="preserve"> </w:t>
      </w:r>
      <w:r>
        <w:rPr>
          <w:i/>
          <w:iCs/>
        </w:rPr>
        <w:t xml:space="preserve">Medical Care Research and Review: MCRR</w:t>
      </w:r>
      <w:r>
        <w:t xml:space="preserve">,</w:t>
      </w:r>
      <w:r>
        <w:t xml:space="preserve"> </w:t>
      </w:r>
      <w:r>
        <w:rPr>
          <w:i/>
          <w:iCs/>
        </w:rPr>
        <w:t xml:space="preserve">70</w:t>
      </w:r>
      <w:r>
        <w:t xml:space="preserve">(1 Suppl), 37S–49S.</w:t>
      </w:r>
      <w:r>
        <w:t xml:space="preserve"> </w:t>
      </w:r>
      <w:hyperlink r:id="rId203">
        <w:r>
          <w:rPr>
            <w:rStyle w:val="Hyperlink"/>
          </w:rPr>
          <w:t xml:space="preserve">https://doi.org/10.1177/1077558712458541</w:t>
        </w:r>
      </w:hyperlink>
    </w:p>
    <w:bookmarkEnd w:id="204"/>
    <w:bookmarkStart w:id="206" w:name="X13b53253f4b8775a58215d7e1d3c0adbd73e844"/>
    <w:p>
      <w:pPr>
        <w:pStyle w:val="Bibliography"/>
      </w:pPr>
      <w:r>
        <w:t xml:space="preserve">Zipkin, D. A., Umscheid, C. A., Keating, N. L., Allen, E., Aung, K., Beyth, R., Kaatz, S., Mann, D. M., Sussman, J. B., Korenstein, D., Schardt, C., Nagi, A., Sloane, R., &amp; Feldstein, D. A. (2014). Evidence-based risk communication: A systematic review.</w:t>
      </w:r>
      <w:r>
        <w:t xml:space="preserve"> </w:t>
      </w:r>
      <w:r>
        <w:rPr>
          <w:i/>
          <w:iCs/>
        </w:rPr>
        <w:t xml:space="preserve">Annals of Internal Medicine</w:t>
      </w:r>
      <w:r>
        <w:t xml:space="preserve">,</w:t>
      </w:r>
      <w:r>
        <w:t xml:space="preserve"> </w:t>
      </w:r>
      <w:r>
        <w:rPr>
          <w:i/>
          <w:iCs/>
        </w:rPr>
        <w:t xml:space="preserve">161</w:t>
      </w:r>
      <w:r>
        <w:t xml:space="preserve">(4), 270–280.</w:t>
      </w:r>
      <w:r>
        <w:t xml:space="preserve"> </w:t>
      </w:r>
      <w:hyperlink r:id="rId205">
        <w:r>
          <w:rPr>
            <w:rStyle w:val="Hyperlink"/>
          </w:rPr>
          <w:t xml:space="preserve">https://doi.org/10.7326/M14-0295</w:t>
        </w:r>
      </w:hyperlink>
    </w:p>
    <w:bookmarkEnd w:id="206"/>
    <w:bookmarkEnd w:id="207"/>
    <w:bookmarkEnd w:id="2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7" Target="https://doi.org/10.1001/jama.284.13.1689" TargetMode="External" /><Relationship Type="http://schemas.openxmlformats.org/officeDocument/2006/relationships/hyperlink" Id="rId127" Target="https://doi.org/10.1001/jamanetworkopen.2020.5852" TargetMode="External" /><Relationship Type="http://schemas.openxmlformats.org/officeDocument/2006/relationships/hyperlink" Id="rId132" Target="https://doi.org/10.1007/978-1-4614-6849-3" TargetMode="External" /><Relationship Type="http://schemas.openxmlformats.org/officeDocument/2006/relationships/hyperlink" Id="rId91" Target="https://doi.org/10.1007/s10488-016-0718-5" TargetMode="External" /><Relationship Type="http://schemas.openxmlformats.org/officeDocument/2006/relationships/hyperlink" Id="rId101" Target="https://doi.org/10.1007/s10862-017-9632-8" TargetMode="External" /><Relationship Type="http://schemas.openxmlformats.org/officeDocument/2006/relationships/hyperlink" Id="rId129" Target="https://doi.org/10.1007/s11920-012-0296-5" TargetMode="External" /><Relationship Type="http://schemas.openxmlformats.org/officeDocument/2006/relationships/hyperlink" Id="rId163" Target="https://doi.org/10.1016/0740-5472(94)00080-b" TargetMode="External" /><Relationship Type="http://schemas.openxmlformats.org/officeDocument/2006/relationships/hyperlink" Id="rId135" Target="https://doi.org/10.1016/j.amepre.2022.08.022" TargetMode="External" /><Relationship Type="http://schemas.openxmlformats.org/officeDocument/2006/relationships/hyperlink" Id="rId106" Target="https://doi.org/10.1016/j.brat.2019.103506" TargetMode="External" /><Relationship Type="http://schemas.openxmlformats.org/officeDocument/2006/relationships/hyperlink" Id="rId184" Target="https://doi.org/10.1016/j.cpr.2005.11.003" TargetMode="External" /><Relationship Type="http://schemas.openxmlformats.org/officeDocument/2006/relationships/hyperlink" Id="rId192" Target="https://doi.org/10.1016/j.cpr.2007.01.002" TargetMode="External" /><Relationship Type="http://schemas.openxmlformats.org/officeDocument/2006/relationships/hyperlink" Id="rId145" Target="https://doi.org/10.1016/j.cpr.2017.10.012" TargetMode="External" /><Relationship Type="http://schemas.openxmlformats.org/officeDocument/2006/relationships/hyperlink" Id="rId118" Target="https://doi.org/10.1016/j.drugalcdep.2006.05.012" TargetMode="External" /><Relationship Type="http://schemas.openxmlformats.org/officeDocument/2006/relationships/hyperlink" Id="rId158" Target="https://doi.org/10.1016/j.drugalcdep.2019.05.017" TargetMode="External" /><Relationship Type="http://schemas.openxmlformats.org/officeDocument/2006/relationships/hyperlink" Id="rId149" Target="https://doi.org/10.1016/j.drugalcdep.2021.108706" TargetMode="External" /><Relationship Type="http://schemas.openxmlformats.org/officeDocument/2006/relationships/hyperlink" Id="rId186" Target="https://doi.org/10.1016/j.jsat.2021.108417" TargetMode="External" /><Relationship Type="http://schemas.openxmlformats.org/officeDocument/2006/relationships/hyperlink" Id="rId156" Target="https://doi.org/10.1016/j.jsat.2021.108710" TargetMode="External" /><Relationship Type="http://schemas.openxmlformats.org/officeDocument/2006/relationships/hyperlink" Id="rId143" Target="https://doi.org/10.1016/j.psc.2010.04.012" TargetMode="External" /><Relationship Type="http://schemas.openxmlformats.org/officeDocument/2006/relationships/hyperlink" Id="rId190" Target="https://doi.org/10.1037/0003-066X.59.4.224" TargetMode="External" /><Relationship Type="http://schemas.openxmlformats.org/officeDocument/2006/relationships/hyperlink" Id="rId170" Target="https://doi.org/10.1037/adb0000666" TargetMode="External" /><Relationship Type="http://schemas.openxmlformats.org/officeDocument/2006/relationships/hyperlink" Id="rId112"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8" Target="https://doi.org/10.1080/00952990.2019.1694536" TargetMode="External" /><Relationship Type="http://schemas.openxmlformats.org/officeDocument/2006/relationships/hyperlink" Id="rId180" Target="https://doi.org/10.1093/jamia/ocy052" TargetMode="External" /><Relationship Type="http://schemas.openxmlformats.org/officeDocument/2006/relationships/hyperlink" Id="rId168" Target="https://doi.org/10.1111/add.13479" TargetMode="External" /><Relationship Type="http://schemas.openxmlformats.org/officeDocument/2006/relationships/hyperlink" Id="rId178" Target="https://doi.org/10.1111/j.1530-0277.1984.tb05523.x" TargetMode="External" /><Relationship Type="http://schemas.openxmlformats.org/officeDocument/2006/relationships/hyperlink" Id="rId201" Target="https://doi.org/10.1145/1629890.1629897" TargetMode="External" /><Relationship Type="http://schemas.openxmlformats.org/officeDocument/2006/relationships/hyperlink" Id="rId123" Target="https://doi.org/10.1145/1867699.1867704" TargetMode="External" /><Relationship Type="http://schemas.openxmlformats.org/officeDocument/2006/relationships/hyperlink" Id="rId151" Target="https://doi.org/10.1146/annurev-clinpsy-032816-044949" TargetMode="External" /><Relationship Type="http://schemas.openxmlformats.org/officeDocument/2006/relationships/hyperlink" Id="rId114" Target="https://doi.org/10.1146/annurev-clinpsy-102419-125016" TargetMode="External" /><Relationship Type="http://schemas.openxmlformats.org/officeDocument/2006/relationships/hyperlink" Id="rId95" Target="https://doi.org/10.1146/annurev.clinpsy.3.022806.091455" TargetMode="External" /><Relationship Type="http://schemas.openxmlformats.org/officeDocument/2006/relationships/hyperlink" Id="rId176" Target="https://doi.org/10.1177/0261927X09351676" TargetMode="External" /><Relationship Type="http://schemas.openxmlformats.org/officeDocument/2006/relationships/hyperlink" Id="rId165" Target="https://doi.org/10.1177/1073191114540320" TargetMode="External" /><Relationship Type="http://schemas.openxmlformats.org/officeDocument/2006/relationships/hyperlink" Id="rId194" Target="https://doi.org/10.1177/1073191116653829" TargetMode="External" /><Relationship Type="http://schemas.openxmlformats.org/officeDocument/2006/relationships/hyperlink" Id="rId203" Target="https://doi.org/10.1177/1077558712458541" TargetMode="External" /><Relationship Type="http://schemas.openxmlformats.org/officeDocument/2006/relationships/hyperlink" Id="rId172" Target="https://doi.org/10.1177/1178221820976988" TargetMode="External" /><Relationship Type="http://schemas.openxmlformats.org/officeDocument/2006/relationships/hyperlink" Id="rId182" Target="https://doi.org/10.1377/hlthaff.20.6.64" TargetMode="External" /><Relationship Type="http://schemas.openxmlformats.org/officeDocument/2006/relationships/hyperlink" Id="rId97" Target="https://doi.org/10.21231/GNT1-HW21" TargetMode="External" /><Relationship Type="http://schemas.openxmlformats.org/officeDocument/2006/relationships/hyperlink" Id="rId154" Target="https://doi.org/10.2196/29563" TargetMode="External" /><Relationship Type="http://schemas.openxmlformats.org/officeDocument/2006/relationships/hyperlink" Id="rId89" Target="https://doi.org/10.2196/39862" TargetMode="External" /><Relationship Type="http://schemas.openxmlformats.org/officeDocument/2006/relationships/hyperlink" Id="rId196" Target="https://doi.org/10.2196/41833" TargetMode="External" /><Relationship Type="http://schemas.openxmlformats.org/officeDocument/2006/relationships/hyperlink" Id="rId161"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8" Target="https://doi.org/10.48550/arXiv.1810.04805" TargetMode="External" /><Relationship Type="http://schemas.openxmlformats.org/officeDocument/2006/relationships/hyperlink" Id="rId110" Target="https://doi.org/10.5555/ajhb.2007.31.supp.S47" TargetMode="External" /><Relationship Type="http://schemas.openxmlformats.org/officeDocument/2006/relationships/hyperlink" Id="rId205" Target="https://doi.org/10.7326/M14-0295" TargetMode="External" /><Relationship Type="http://schemas.openxmlformats.org/officeDocument/2006/relationships/hyperlink" Id="rId125"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3" Target="https://www.ncbi.nlm.nih.gov/pmc/articles/PMC2797101" TargetMode="External" /><Relationship Type="http://schemas.openxmlformats.org/officeDocument/2006/relationships/hyperlink" Id="rId188"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7" Target="https://doi.org/10.1001/jama.284.13.1689" TargetMode="External" /><Relationship Type="http://schemas.openxmlformats.org/officeDocument/2006/relationships/hyperlink" Id="rId127" Target="https://doi.org/10.1001/jamanetworkopen.2020.5852" TargetMode="External" /><Relationship Type="http://schemas.openxmlformats.org/officeDocument/2006/relationships/hyperlink" Id="rId132" Target="https://doi.org/10.1007/978-1-4614-6849-3" TargetMode="External" /><Relationship Type="http://schemas.openxmlformats.org/officeDocument/2006/relationships/hyperlink" Id="rId91" Target="https://doi.org/10.1007/s10488-016-0718-5" TargetMode="External" /><Relationship Type="http://schemas.openxmlformats.org/officeDocument/2006/relationships/hyperlink" Id="rId101" Target="https://doi.org/10.1007/s10862-017-9632-8" TargetMode="External" /><Relationship Type="http://schemas.openxmlformats.org/officeDocument/2006/relationships/hyperlink" Id="rId129" Target="https://doi.org/10.1007/s11920-012-0296-5" TargetMode="External" /><Relationship Type="http://schemas.openxmlformats.org/officeDocument/2006/relationships/hyperlink" Id="rId163" Target="https://doi.org/10.1016/0740-5472(94)00080-b" TargetMode="External" /><Relationship Type="http://schemas.openxmlformats.org/officeDocument/2006/relationships/hyperlink" Id="rId135" Target="https://doi.org/10.1016/j.amepre.2022.08.022" TargetMode="External" /><Relationship Type="http://schemas.openxmlformats.org/officeDocument/2006/relationships/hyperlink" Id="rId106" Target="https://doi.org/10.1016/j.brat.2019.103506" TargetMode="External" /><Relationship Type="http://schemas.openxmlformats.org/officeDocument/2006/relationships/hyperlink" Id="rId184" Target="https://doi.org/10.1016/j.cpr.2005.11.003" TargetMode="External" /><Relationship Type="http://schemas.openxmlformats.org/officeDocument/2006/relationships/hyperlink" Id="rId192" Target="https://doi.org/10.1016/j.cpr.2007.01.002" TargetMode="External" /><Relationship Type="http://schemas.openxmlformats.org/officeDocument/2006/relationships/hyperlink" Id="rId145" Target="https://doi.org/10.1016/j.cpr.2017.10.012" TargetMode="External" /><Relationship Type="http://schemas.openxmlformats.org/officeDocument/2006/relationships/hyperlink" Id="rId118" Target="https://doi.org/10.1016/j.drugalcdep.2006.05.012" TargetMode="External" /><Relationship Type="http://schemas.openxmlformats.org/officeDocument/2006/relationships/hyperlink" Id="rId158" Target="https://doi.org/10.1016/j.drugalcdep.2019.05.017" TargetMode="External" /><Relationship Type="http://schemas.openxmlformats.org/officeDocument/2006/relationships/hyperlink" Id="rId149" Target="https://doi.org/10.1016/j.drugalcdep.2021.108706" TargetMode="External" /><Relationship Type="http://schemas.openxmlformats.org/officeDocument/2006/relationships/hyperlink" Id="rId186" Target="https://doi.org/10.1016/j.jsat.2021.108417" TargetMode="External" /><Relationship Type="http://schemas.openxmlformats.org/officeDocument/2006/relationships/hyperlink" Id="rId156" Target="https://doi.org/10.1016/j.jsat.2021.108710" TargetMode="External" /><Relationship Type="http://schemas.openxmlformats.org/officeDocument/2006/relationships/hyperlink" Id="rId143" Target="https://doi.org/10.1016/j.psc.2010.04.012" TargetMode="External" /><Relationship Type="http://schemas.openxmlformats.org/officeDocument/2006/relationships/hyperlink" Id="rId190" Target="https://doi.org/10.1037/0003-066X.59.4.224" TargetMode="External" /><Relationship Type="http://schemas.openxmlformats.org/officeDocument/2006/relationships/hyperlink" Id="rId170" Target="https://doi.org/10.1037/adb0000666" TargetMode="External" /><Relationship Type="http://schemas.openxmlformats.org/officeDocument/2006/relationships/hyperlink" Id="rId112"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8" Target="https://doi.org/10.1080/00952990.2019.1694536" TargetMode="External" /><Relationship Type="http://schemas.openxmlformats.org/officeDocument/2006/relationships/hyperlink" Id="rId180" Target="https://doi.org/10.1093/jamia/ocy052" TargetMode="External" /><Relationship Type="http://schemas.openxmlformats.org/officeDocument/2006/relationships/hyperlink" Id="rId168" Target="https://doi.org/10.1111/add.13479" TargetMode="External" /><Relationship Type="http://schemas.openxmlformats.org/officeDocument/2006/relationships/hyperlink" Id="rId178" Target="https://doi.org/10.1111/j.1530-0277.1984.tb05523.x" TargetMode="External" /><Relationship Type="http://schemas.openxmlformats.org/officeDocument/2006/relationships/hyperlink" Id="rId201" Target="https://doi.org/10.1145/1629890.1629897" TargetMode="External" /><Relationship Type="http://schemas.openxmlformats.org/officeDocument/2006/relationships/hyperlink" Id="rId123" Target="https://doi.org/10.1145/1867699.1867704" TargetMode="External" /><Relationship Type="http://schemas.openxmlformats.org/officeDocument/2006/relationships/hyperlink" Id="rId151" Target="https://doi.org/10.1146/annurev-clinpsy-032816-044949" TargetMode="External" /><Relationship Type="http://schemas.openxmlformats.org/officeDocument/2006/relationships/hyperlink" Id="rId114" Target="https://doi.org/10.1146/annurev-clinpsy-102419-125016" TargetMode="External" /><Relationship Type="http://schemas.openxmlformats.org/officeDocument/2006/relationships/hyperlink" Id="rId95" Target="https://doi.org/10.1146/annurev.clinpsy.3.022806.091455" TargetMode="External" /><Relationship Type="http://schemas.openxmlformats.org/officeDocument/2006/relationships/hyperlink" Id="rId176" Target="https://doi.org/10.1177/0261927X09351676" TargetMode="External" /><Relationship Type="http://schemas.openxmlformats.org/officeDocument/2006/relationships/hyperlink" Id="rId165" Target="https://doi.org/10.1177/1073191114540320" TargetMode="External" /><Relationship Type="http://schemas.openxmlformats.org/officeDocument/2006/relationships/hyperlink" Id="rId194" Target="https://doi.org/10.1177/1073191116653829" TargetMode="External" /><Relationship Type="http://schemas.openxmlformats.org/officeDocument/2006/relationships/hyperlink" Id="rId203" Target="https://doi.org/10.1177/1077558712458541" TargetMode="External" /><Relationship Type="http://schemas.openxmlformats.org/officeDocument/2006/relationships/hyperlink" Id="rId172" Target="https://doi.org/10.1177/1178221820976988" TargetMode="External" /><Relationship Type="http://schemas.openxmlformats.org/officeDocument/2006/relationships/hyperlink" Id="rId182" Target="https://doi.org/10.1377/hlthaff.20.6.64" TargetMode="External" /><Relationship Type="http://schemas.openxmlformats.org/officeDocument/2006/relationships/hyperlink" Id="rId97" Target="https://doi.org/10.21231/GNT1-HW21" TargetMode="External" /><Relationship Type="http://schemas.openxmlformats.org/officeDocument/2006/relationships/hyperlink" Id="rId154" Target="https://doi.org/10.2196/29563" TargetMode="External" /><Relationship Type="http://schemas.openxmlformats.org/officeDocument/2006/relationships/hyperlink" Id="rId89" Target="https://doi.org/10.2196/39862" TargetMode="External" /><Relationship Type="http://schemas.openxmlformats.org/officeDocument/2006/relationships/hyperlink" Id="rId196" Target="https://doi.org/10.2196/41833" TargetMode="External" /><Relationship Type="http://schemas.openxmlformats.org/officeDocument/2006/relationships/hyperlink" Id="rId161"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8" Target="https://doi.org/10.48550/arXiv.1810.04805" TargetMode="External" /><Relationship Type="http://schemas.openxmlformats.org/officeDocument/2006/relationships/hyperlink" Id="rId110" Target="https://doi.org/10.5555/ajhb.2007.31.supp.S47" TargetMode="External" /><Relationship Type="http://schemas.openxmlformats.org/officeDocument/2006/relationships/hyperlink" Id="rId205" Target="https://doi.org/10.7326/M14-0295" TargetMode="External" /><Relationship Type="http://schemas.openxmlformats.org/officeDocument/2006/relationships/hyperlink" Id="rId125"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3" Target="https://www.ncbi.nlm.nih.gov/pmc/articles/PMC2797101" TargetMode="External" /><Relationship Type="http://schemas.openxmlformats.org/officeDocument/2006/relationships/hyperlink" Id="rId188"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Claire E. Punturieri; John J. Curtin</dc:creator>
  <cp:keywords>Substance use disorders, Precision mental health</cp:keywords>
  <dcterms:created xsi:type="dcterms:W3CDTF">2025-08-22T16:28:26Z</dcterms:created>
  <dcterms:modified xsi:type="dcterms:W3CDTF">2025-08-22T16:28:26Z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2025-08-22</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