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4572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3333749"/>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beta-calibrated lapse probabilities for the baseline (no lag) and 2-week lag models. Predicted lapse probability (x-axis) is binned in deciles. Observed lapse probabilities (y-axis) represent the proportion of true lapses observed in each bin. The dashed line represents a perfectly calibrated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Plots of global feature importance for all 5 models are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characterization-1"/>
    <w:p>
      <w:pPr>
        <w:pStyle w:val="Heading2"/>
      </w:pPr>
      <w:r>
        <w:t xml:space="preserve">Model Characterization</w:t>
      </w:r>
    </w:p>
    <w:p>
      <w:pPr>
        <w:pStyle w:val="FirstParagraph"/>
      </w:pPr>
      <w:r>
        <w:t xml:space="preserve">After applying a beta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at higher predicted probabilities.</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categoriesc(e.g., low, medium, or high risk) or through relative changes in risk (e.g.,</w:t>
      </w:r>
      <w:r>
        <w:t xml:space="preserve"> </w:t>
      </w:r>
      <w:r>
        <w:t xml:space="preserve">“Your risk of lapse is higher this week compared to last week”</w:t>
      </w:r>
      <w:r>
        <w:t xml:space="preserve">). These forms of feedback may be less sensitive to minor miscalibrations at the extremes.</w:t>
      </w:r>
    </w:p>
    <w:p>
      <w:pPr>
        <w:pStyle w:val="BodyText"/>
      </w:pPr>
      <w:r>
        <w:t xml:space="preserve">Global feature importance indicates how important a feature category was to the model’s predictions, on average across all participants and all observations. Past use proved to be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 relative ordering of top global features remained somewhat consistent across models. However, the magnitude of their importance varied by lag time. Future efficacy was a strong predictor for more immediate model predictions (i.e., no lag and 1-day lag), but its importance diminished as lag time increased. This feature was nearly as important as past use in the baseline (no lag) model, so its reduced importance in the 2 week model may help explain that model’s lower performance.</w:t>
      </w:r>
    </w:p>
    <w:p>
      <w:pPr>
        <w:pStyle w:val="BodyText"/>
      </w:pPr>
      <w:r>
        <w:t xml:space="preserve">Craving was consistently important, in magnitude and ranking, across all models. However, as lag time increased past/future risky situations increased in importance even surpassing craving. These descriptive representations of important features suggest opportunities to augment longer-lagged models with additional features. For example, it is reasonable that self-efficacy about the next week would matter less for predictions two weeks out. Including features that reflect longer forward facing time frames may improve performance for longer-lagged models.</w:t>
      </w:r>
    </w:p>
    <w:p>
      <w:pPr>
        <w:pStyle w:val="BodyText"/>
      </w:pPr>
      <w:r>
        <w:t xml:space="preserve">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w:t>
      </w:r>
    </w:p>
    <w:bookmarkEnd w:id="81"/>
    <w:bookmarkStart w:id="82"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2025-06-12T03:38:56Z</dcterms:created>
  <dcterms:modified xsi:type="dcterms:W3CDTF">2025-06-12T03:38:56Z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