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0">
        <w:r>
          <w:rPr>
            <w:rStyle w:val="Hyperlink"/>
          </w:rPr>
          <w:t xml:space="preserve">https://doi.org/10.2196/41833</w:t>
        </w:r>
      </w:hyperlink>
      <w:r>
        <w:t xml:space="preserve">.</w:t>
      </w:r>
    </w:p>
    <w:bookmarkEnd w:id="131"/>
    <w:bookmarkStart w:id="13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2">
        <w:r>
          <w:rPr>
            <w:rStyle w:val="Hyperlink"/>
          </w:rPr>
          <w:t xml:space="preserve">https://doi.org/10.31234/osf.io/cgsf7</w:t>
        </w:r>
      </w:hyperlink>
      <w:r>
        <w:t xml:space="preserve">.</w:t>
      </w:r>
    </w:p>
    <w:bookmarkEnd w:id="133"/>
    <w:bookmarkStart w:id="134"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0" Target="https://doi.org/10.2196/41833" TargetMode="External" /><Relationship Type="http://schemas.openxmlformats.org/officeDocument/2006/relationships/hyperlink" Id="rId132"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0" Target="https://doi.org/10.2196/41833" TargetMode="External" /><Relationship Type="http://schemas.openxmlformats.org/officeDocument/2006/relationships/hyperlink" Id="rId132"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2025-02-06T14:48:56Z</dcterms:created>
  <dcterms:modified xsi:type="dcterms:W3CDTF">2025-02-06T14:48:56Z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