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7.png" ContentType="image/png"/>
  <Override PartName="/word/media/rId3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2025-06-12</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(Bae et al. 2018; 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1"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50"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6"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End w:id="46"/>
    <w:bookmarkStart w:id="49" w:name="model-characterization"/>
    <w:p>
      <w:pPr>
        <w:pStyle w:val="Heading3"/>
      </w:pPr>
      <w:r>
        <w:t xml:space="preserve">Model Characterization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7" w:name="model-calibration"/>
    <w:p>
      <w:pPr>
        <w:pStyle w:val="Heading4"/>
      </w:pPr>
      <w:r>
        <w:t xml:space="preserve">Model Calibration</w:t>
      </w:r>
    </w:p>
    <w:p>
      <w:pPr>
        <w:pStyle w:val="FirstParagraph"/>
      </w:pPr>
      <w:r>
        <w:t xml:space="preserve">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provide histograms of the raw predicted probability distributions for each model in the supplement. We calibrated our raw probabilities using three candidate calibration methods: isotonic, logistic, and beta calibration. We calculated brier scores to assess the accuracy of our raw and calibrated probabilities for the no lag and 2-week lag models. Brier scores range from 0 (perfect accuracy) to 1 (perfect inaccuracy). We selected the optimal calibration method by choosing the method that had the lowest brier score (i.e., lowest error) when averaged across the two models. We provide calibration plots for the no lag and 2-week lag models (calibration plots for all five models are available in the supplement).</w:t>
      </w:r>
    </w:p>
    <w:bookmarkEnd w:id="47"/>
    <w:bookmarkStart w:id="48" w:name="feature-importance"/>
    <w:p>
      <w:pPr>
        <w:pStyle w:val="Heading4"/>
      </w:pPr>
      <w:r>
        <w:t xml:space="preserve">Feature Importance</w:t>
      </w:r>
    </w:p>
    <w:p>
      <w:pPr>
        <w:pStyle w:val="FirstParagraph"/>
      </w:pPr>
      <w:r>
        <w:t xml:space="preserve">We used the same single 5-fold cross-validation procedure to calculate Shapley values in log-odds units for binary classification models. Shapley values provide a description of the importance of categories of features across our five models</w:t>
      </w:r>
      <w:r>
        <w:t xml:space="preserve"> </w:t>
      </w:r>
      <w:r>
        <w:t xml:space="preserve">(Lundberg and Lee 2017)</w:t>
      </w:r>
      <w:r>
        <w:t xml:space="preserve">. An inherent property of Shapley values is their additivity, allowing us to combine features into feature categories. We created separate feature categories for each of the EMA questions, and the rate of past alcohol use. EMA items that asked about future and past separately were combined into a single category (e.g., past risky situations and future risky situations become past/future risky situations). Valence and arousal features were also combined into a single feature category. This gave us a total of 7 feature categories from 10 EMA questions.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w:t>
      </w:r>
    </w:p>
    <w:bookmarkEnd w:id="48"/>
    <w:bookmarkEnd w:id="49"/>
    <w:bookmarkEnd w:id="50"/>
    <w:bookmarkEnd w:id="51"/>
    <w:bookmarkStart w:id="79" w:name="results"/>
    <w:p>
      <w:pPr>
        <w:pStyle w:val="Heading1"/>
      </w:pPr>
      <w:r>
        <w:t xml:space="preserve">Results</w:t>
      </w:r>
    </w:p>
    <w:bookmarkStart w:id="54"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[0.88-0.90],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8" w:name="fig-pp"/>
          <w:p>
            <w:pPr>
              <w:pStyle w:val="Compact"/>
              <w:jc w:val="center"/>
            </w:pPr>
            <w:r>
              <w:drawing>
                <wp:inline>
                  <wp:extent cx="5334000" cy="4572000"/>
                  <wp:effectExtent b="0" l="0" r="0" t="0"/>
                  <wp:docPr descr="" title="" id="56" name="Picture"/>
                  <a:graphic>
                    <a:graphicData uri="http://schemas.openxmlformats.org/drawingml/2006/picture">
                      <pic:pic>
                        <pic:nvPicPr>
                          <pic:cNvPr descr="index_files/figure-docx/notebooks-mak_figures-fig-pp-output-1.png" id="57" name="Picture"/>
                          <pic:cNvPicPr>
                            <a:picLocks noChangeArrowheads="1" noChangeAspect="1"/>
                          </pic:cNvPicPr>
                        </pic:nvPicPr>
                        <pic:blipFill>
                          <a:blip r:embed="rId55"/>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8,000 posterior samples (4 chains × 2,000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1"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0.021</w:t>
                  </w:r>
                </w:p>
              </w:tc>
              <w:tc>
                <w:tcPr/>
                <w:p>
                  <w:pPr>
                    <w:pStyle w:val="Compact"/>
                    <w:jc w:val="left"/>
                    <w:jc w:val="center"/>
                  </w:pPr>
                  <w:r>
                    <w:t xml:space="preserve">[0.017, 0.026]</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w:t>
                  </w:r>
                </w:p>
              </w:tc>
              <w:tc>
                <w:tcPr/>
                <w:p>
                  <w:pPr>
                    <w:pStyle w:val="Compact"/>
                    <w:jc w:val="left"/>
                    <w:jc w:val="center"/>
                  </w:pPr>
                  <w:r>
                    <w:t xml:space="preserve">[0.025, 0.035]</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[0.037, 0.049]</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[0.056, 0.07]</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0.009</w:t>
                  </w:r>
                </w:p>
              </w:tc>
              <w:tc>
                <w:tcPr/>
                <w:p>
                  <w:pPr>
                    <w:pStyle w:val="Compact"/>
                    <w:jc w:val="left"/>
                    <w:jc w:val="center"/>
                  </w:pPr>
                  <w:r>
                    <w:t xml:space="preserve">[0.005, 0.014]</w:t>
                  </w:r>
                </w:p>
              </w:tc>
              <w:tc>
                <w:tcPr/>
                <w:p>
                  <w:pPr>
                    <w:pStyle w:val="Compact"/>
                    <w:jc w:val="left"/>
                    <w:jc w:val="center"/>
                  </w:pPr>
                  <w:r>
                    <w:t xml:space="preserve">1</w:t>
                  </w:r>
                </w:p>
              </w:tc>
            </w:tr>
            <w:tr>
              <w:tc>
                <w:tcPr/>
                <w:p>
                  <w:pPr>
                    <w:pStyle w:val="Compact"/>
                    <w:jc w:val="left"/>
                    <w:jc w:val="center"/>
                  </w:pPr>
                  <w:r>
                    <w:t xml:space="preserve">3 days vs. 1 week</w:t>
                  </w:r>
                </w:p>
              </w:tc>
              <w:tc>
                <w:tcPr/>
                <w:p>
                  <w:pPr>
                    <w:pStyle w:val="Compact"/>
                    <w:jc w:val="left"/>
                    <w:jc w:val="center"/>
                  </w:pPr>
                  <w:r>
                    <w:t xml:space="preserve">0.012</w:t>
                  </w:r>
                </w:p>
              </w:tc>
              <w:tc>
                <w:tcPr/>
                <w:p>
                  <w:pPr>
                    <w:pStyle w:val="Compact"/>
                    <w:jc w:val="left"/>
                    <w:jc w:val="center"/>
                  </w:pPr>
                  <w:r>
                    <w:t xml:space="preserve">[0.008, 0.017]</w:t>
                  </w:r>
                </w:p>
              </w:tc>
              <w:tc>
                <w:tcPr/>
                <w:p>
                  <w:pPr>
                    <w:pStyle w:val="Compact"/>
                    <w:jc w:val="left"/>
                    <w:jc w:val="center"/>
                  </w:pPr>
                  <w:r>
                    <w:t xml:space="preserve">1</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[0.015, 0.026]</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6"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pPr>
        <w:pStyle w:val="BodyText"/>
      </w:pPr>
      <w:r>
        <w:t xml:space="preserve">There was strong evidence (probabilities &gt; .81) that our models performed better for the advantaged groups compared to the non-advantaged groups. On average, across all five models, there was a median decrease in auROC of 0.13 (range 0.13-0.17)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w:t>
      </w:r>
    </w:p>
    <w:p>
      <w:pPr>
        <w:pStyle w:val="BodyText"/>
      </w:pPr>
      <w:r>
        <w:t xml:space="preserve">The proportion of positive lapse labels over all labels (lapse and no lapse) for each demographic subgroup were relatively consistent across groups: race/ethnicity (6%, not White vs. 8%, non-Hispanic White), income (12%, below poverty vs. 7%, above poverty), sex at birth (9%, female vs. 7%, male).</w:t>
      </w:r>
    </w:p>
    <w:tbl>
      <w:tblPr>
        <w:tblStyle w:val="Table"/>
        <w:tblW w:type="pct" w:w="5000"/>
        <w:tblLayout w:type="fixed"/>
        <w:tblLook w:firstRow="0" w:lastRow="0" w:firstColumn="0" w:lastColumn="0" w:noHBand="0" w:noVBand="0" w:val="0000"/>
      </w:tblPr>
      <w:tblGrid>
        <w:gridCol w:w="7920"/>
      </w:tblGrid>
      <w:tr>
        <w:tc>
          <w:tcPr/>
          <w:bookmarkStart w:id="64"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0.043</w:t>
                  </w:r>
                </w:p>
              </w:tc>
              <w:tc>
                <w:tcPr/>
                <w:p>
                  <w:pPr>
                    <w:pStyle w:val="Compact"/>
                    <w:jc w:val="left"/>
                    <w:jc w:val="center"/>
                  </w:pPr>
                  <w:r>
                    <w:t xml:space="preserve">[0.028, 0.059]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0.131</w:t>
                  </w:r>
                </w:p>
              </w:tc>
              <w:tc>
                <w:tcPr/>
                <w:p>
                  <w:pPr>
                    <w:pStyle w:val="Compact"/>
                    <w:jc w:val="left"/>
                    <w:jc w:val="center"/>
                  </w:pPr>
                  <w:r>
                    <w:t xml:space="preserve">[0.057, 0.222]</w:t>
                  </w:r>
                </w:p>
              </w:tc>
              <w:tc>
                <w:tcPr/>
                <w:p>
                  <w:pPr>
                    <w:pStyle w:val="Compact"/>
                    <w:jc w:val="left"/>
                    <w:jc w:val="center"/>
                  </w:pPr>
                  <w:r>
                    <w:t xml:space="preserve">0.999</w:t>
                  </w:r>
                </w:p>
              </w:tc>
            </w:tr>
            <w:tr>
              <w:tc>
                <w:tcPr/>
                <w:p>
                  <w:pPr>
                    <w:pStyle w:val="Compact"/>
                    <w:jc w:val="left"/>
                    <w:jc w:val="center"/>
                  </w:pPr>
                  <w:r>
                    <w:t xml:space="preserve">above poverty vs. below poverty</w:t>
                  </w:r>
                </w:p>
              </w:tc>
              <w:tc>
                <w:tcPr/>
                <w:p>
                  <w:pPr>
                    <w:pStyle w:val="Compact"/>
                    <w:jc w:val="left"/>
                    <w:jc w:val="center"/>
                  </w:pPr>
                  <w:r>
                    <w:t xml:space="preserve">0.012</w:t>
                  </w:r>
                </w:p>
              </w:tc>
              <w:tc>
                <w:tcPr/>
                <w:p>
                  <w:pPr>
                    <w:pStyle w:val="Compact"/>
                    <w:jc w:val="left"/>
                    <w:jc w:val="center"/>
                  </w:pPr>
                  <w:r>
                    <w:t xml:space="preserve">[-0.007, 0.033]</w:t>
                  </w:r>
                </w:p>
              </w:tc>
              <w:tc>
                <w:tcPr/>
                <w:p>
                  <w:pPr>
                    <w:pStyle w:val="Compact"/>
                    <w:jc w:val="left"/>
                    <w:jc w:val="center"/>
                  </w:pPr>
                  <w:r>
                    <w:t xml:space="preserve">0.848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0.098</w:t>
                  </w:r>
                </w:p>
              </w:tc>
              <w:tc>
                <w:tcPr/>
                <w:p>
                  <w:pPr>
                    <w:pStyle w:val="Compact"/>
                    <w:jc w:val="left"/>
                    <w:jc w:val="center"/>
                  </w:pPr>
                  <w:r>
                    <w:t xml:space="preserve">[0.073, 0.125]</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w:t>
                  </w:r>
                </w:p>
              </w:tc>
              <w:tc>
                <w:tcPr/>
                <w:p>
                  <w:pPr>
                    <w:pStyle w:val="Compact"/>
                    <w:jc w:val="left"/>
                    <w:jc w:val="center"/>
                  </w:pPr>
                  <w:r>
                    <w:t xml:space="preserve">[0.058, 0.208]</w:t>
                  </w:r>
                </w:p>
              </w:tc>
              <w:tc>
                <w:tcPr/>
                <w:p>
                  <w:pPr>
                    <w:pStyle w:val="Compact"/>
                    <w:jc w:val="left"/>
                    <w:jc w:val="center"/>
                  </w:pPr>
                  <w:r>
                    <w:t xml:space="preserve">0.998</w:t>
                  </w:r>
                </w:p>
              </w:tc>
            </w:tr>
            <w:tr>
              <w:tc>
                <w:tcPr/>
                <w:p>
                  <w:pPr>
                    <w:pStyle w:val="Compact"/>
                    <w:jc w:val="left"/>
                    <w:jc w:val="center"/>
                  </w:pPr>
                  <w:r>
                    <w:t xml:space="preserve">above poverty vs. below poverty</w:t>
                  </w:r>
                </w:p>
              </w:tc>
              <w:tc>
                <w:tcPr/>
                <w:p>
                  <w:pPr>
                    <w:pStyle w:val="Compact"/>
                    <w:jc w:val="left"/>
                    <w:jc w:val="center"/>
                  </w:pPr>
                  <w:r>
                    <w:t xml:space="preserve">0.039</w:t>
                  </w:r>
                </w:p>
              </w:tc>
              <w:tc>
                <w:tcPr/>
                <w:p>
                  <w:pPr>
                    <w:pStyle w:val="Compact"/>
                    <w:jc w:val="left"/>
                    <w:jc w:val="center"/>
                  </w:pPr>
                  <w:r>
                    <w:t xml:space="preserve">[0.008, 0.073]</w:t>
                  </w:r>
                </w:p>
              </w:tc>
              <w:tc>
                <w:tcPr/>
                <w:p>
                  <w:pPr>
                    <w:pStyle w:val="Compact"/>
                    <w:jc w:val="left"/>
                    <w:jc w:val="center"/>
                  </w:pPr>
                  <w:r>
                    <w:t xml:space="preserve">0.98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2" w:name="model-calibration-1"/>
    <w:p>
      <w:pPr>
        <w:pStyle w:val="Heading2"/>
      </w:pPr>
      <w:r>
        <w:t xml:space="preserve">Model Calibration</w:t>
      </w:r>
    </w:p>
    <w:p>
      <w:pPr>
        <w:pStyle w:val="FirstParagraph"/>
      </w:pPr>
      <w:r>
        <w:t xml:space="preserve">The raw probabilities produced by our final models were not well calibrated. Brier scores for the no lag model (.071) and the 2-week lag model (.077) were roughly equivalent to the base rate of lapses (.076). The base rate of positive cases (i.e., lapses) can be used as a benchmark, as it is what we would expect a brier score to be for a model that predicted the same probability for all observations. However, our models did produce variation in predicted probabilities, with probabilities spanning nearly the entire 0 - 1 range. Histograms of the raw predicted probabilities for all 5 models are available in the supplement.</w:t>
      </w:r>
    </w:p>
    <w:p>
      <w:pPr>
        <w:pStyle w:val="BodyText"/>
      </w:pPr>
      <w:r>
        <w:t xml:space="preserve">Beta-calibration was selected as the best calibration method (i.e., it had the lowest average brier score across the no lag and 2-week lag models). Brier scores for the no lag model (.043) and the 2-week model (.061) indicated improved calibration with the beta transformation. Notably, there was a 40% reduction in error for no lag beta-calibrated probabilities compared to the no lag raw probabilities (there was a corresponding 21% reduction in error for the 2-week lag model).</w:t>
      </w:r>
      <w:r>
        <w:t xml:space="preserve"> </w:t>
      </w:r>
      <w:hyperlink w:anchor="fig-cal">
        <w:r>
          <w:rPr>
            <w:rStyle w:val="Hyperlink"/>
          </w:rPr>
          <w:t xml:space="preserve">Figure 3</w:t>
        </w:r>
      </w:hyperlink>
      <w:r>
        <w:t xml:space="preserve"> </w:t>
      </w:r>
      <w:r>
        <w:t xml:space="preserve">shows the calibration plots for beta-calibrated probabilities for the no lag and 2-week lag model. Calibration plots for both raw and beta-calibrated probabilities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70" w:name="fig-cal"/>
          <w:p>
            <w:pPr>
              <w:pStyle w:val="Compact"/>
              <w:jc w:val="center"/>
            </w:pPr>
            <w:r>
              <w:drawing>
                <wp:inline>
                  <wp:extent cx="5334000" cy="5334000"/>
                  <wp:effectExtent b="0" l="0" r="0" t="0"/>
                  <wp:docPr descr="" title="" id="68" name="Picture"/>
                  <a:graphic>
                    <a:graphicData uri="http://schemas.openxmlformats.org/drawingml/2006/picture">
                      <pic:pic>
                        <pic:nvPicPr>
                          <pic:cNvPr descr="index_files/figure-docx/notebooks-mak_figures-fig-cal-output-1.png" id="69"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raw and calibrated lapse probabilities for the baseline (no lag) and 2-week lag models. Predicted probabilities (x-axis) are binned into deciles. Observed lapse probability (y-axis) represents the proportion of actual lapses observed in each bin. The dashed diagonal represents perfect calibration. Points below the line indicate overestimation and points above the line indicate underestimation. Raw probabilities are depicted as solid black curve. Beta and logistic calibrated probabilites are depicted as green dashed curve and pink dotted curve, respectively. The grey histogram along the bottom of the plot represents the proportion of raw probabilities in each bin.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Main Manuscript</w:t>
        </w:r>
      </w:hyperlink>
    </w:p>
    <w:bookmarkEnd w:id="72"/>
    <w:bookmarkStart w:id="78" w:name="feature-importance-1"/>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and 1-day lag), but its importance diminished as lag time increased. On the other hand, as lag time increased past/future risky situations increased in importance. Craving was consistently important, in magnitude, across all models. Panel A of</w:t>
      </w:r>
      <w:r>
        <w:t xml:space="preserve"> </w:t>
      </w:r>
      <w:hyperlink w:anchor="fig-4">
        <w:r>
          <w:rPr>
            <w:rStyle w:val="Hyperlink"/>
          </w:rPr>
          <w:t xml:space="preserve">Figure 4</w:t>
        </w:r>
      </w:hyperlink>
      <w:r>
        <w:t xml:space="preserve"> </w:t>
      </w:r>
      <w:r>
        <w:t xml:space="preserve">shows the relative ranking of feature categories for the no lag and 2-week lag models. Plots of global feature importance for all 5 models are available in the supplement. These findings were also consistent across demographic subgroups (plots of global feature importance by demographic group are available for the no lag and 2-week lag models in the supplement).</w:t>
      </w:r>
    </w:p>
    <w:p>
      <w:pPr>
        <w:pStyle w:val="BodyText"/>
      </w:pPr>
      <w:r>
        <w:t xml:space="preserve">Local feature importance is an indicator of how important a feature category is at a specific prediction timepoint (i.e., for a single individual on a specific day). Local importance can be used to map feature categories onto clinical interventions and recommendations (e.g., What does this individual need right now?). Panel B of</w:t>
      </w:r>
      <w:r>
        <w:t xml:space="preserve"> </w:t>
      </w:r>
      <w:hyperlink w:anchor="fig-4">
        <w:r>
          <w:rPr>
            <w:rStyle w:val="Hyperlink"/>
          </w:rPr>
          <w:t xml:space="preserve">Figure 4</w:t>
        </w:r>
      </w:hyperlink>
      <w:r>
        <w:t xml:space="preserve"> </w:t>
      </w:r>
      <w:r>
        <w:t xml:space="preserve">shows the range of local feature importance (minimum Shapley value and maximum Shapley value) for each EMA feature category for the no lag and 2-week lag models. This plot suggests that even feature categories with low global importance (e.g., valence/arousal and past pleasant event) have a wide range of local importance values, suggesting that for some people at some moments in time these features are clinically important.</w:t>
      </w:r>
    </w:p>
    <w:tbl>
      <w:tblPr>
        <w:tblStyle w:val="Table"/>
        <w:tblW w:type="pct" w:w="5000"/>
        <w:tblLayout w:type="fixed"/>
        <w:tblLook w:firstRow="0" w:lastRow="0" w:firstColumn="0" w:lastColumn="0" w:noHBand="0" w:noVBand="0" w:val="0000"/>
      </w:tblPr>
      <w:tblGrid>
        <w:gridCol w:w="7920"/>
      </w:tblGrid>
      <w:tr>
        <w:tc>
          <w:tcPr/>
          <w:bookmarkStart w:id="76" w:name="fig-4"/>
          <w:p>
            <w:pPr>
              <w:pStyle w:val="Compact"/>
              <w:jc w:val="center"/>
            </w:pPr>
            <w:r>
              <w:drawing>
                <wp:inline>
                  <wp:extent cx="5334000" cy="3333749"/>
                  <wp:effectExtent b="0" l="0" r="0" t="0"/>
                  <wp:docPr descr="" title="" id="74" name="Picture"/>
                  <a:graphic>
                    <a:graphicData uri="http://schemas.openxmlformats.org/drawingml/2006/picture">
                      <pic:pic>
                        <pic:nvPicPr>
                          <pic:cNvPr descr="index_files/figure-docx/notebooks-mak_figures-fig-4-output-1.png" id="75" name="Picture"/>
                          <pic:cNvPicPr>
                            <a:picLocks noChangeArrowheads="1" noChangeAspect="1"/>
                          </pic:cNvPicPr>
                        </pic:nvPicPr>
                        <pic:blipFill>
                          <a:blip r:embed="rId7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Figures for Main Manuscript</w:t>
        </w:r>
      </w:hyperlink>
    </w:p>
    <w:bookmarkEnd w:id="78"/>
    <w:bookmarkEnd w:id="79"/>
    <w:bookmarkStart w:id="171" w:name="discussion"/>
    <w:p>
      <w:pPr>
        <w:pStyle w:val="Heading1"/>
      </w:pPr>
      <w:r>
        <w:t xml:space="preserve">Discussion</w:t>
      </w:r>
    </w:p>
    <w:bookmarkStart w:id="80" w:name="model-performance"/>
    <w:p>
      <w:pPr>
        <w:pStyle w:val="Heading2"/>
      </w:pPr>
      <w:r>
        <w:t xml:space="preserve">Model Performance</w:t>
      </w:r>
    </w:p>
    <w:p>
      <w:pPr>
        <w:pStyle w:val="FirstParagraph"/>
      </w:pPr>
      <w:r>
        <w:t xml:space="preserve">Our models performed exceptionally well. Our no lag models had a .91 median posterior probability for auROC. This model predicts the probability of an immediate (i.e., within 24 hours) lapse back to alcohol use. Our 2-week lagged model, our most lagged model, had a .85 median posterior probability for auROC, suggesting lagged models can be used to shift a 24-hour prediction window up to weeks out.</w:t>
      </w:r>
    </w:p>
    <w:p>
      <w:pPr>
        <w:pStyle w:val="BodyText"/>
      </w:pPr>
      <w:r>
        <w:t xml:space="preserve">Across all models (no lag, 1 day, 3 days, 1 week, and 2 weeks) we saw model performance decrease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change day-by-day, if not more frequently. As lag time increases, features become less proximal to the start of the prediction window. Still, we wish to emphasize that our lowest auROC (.85) is still quite good, and the benefit of advanced notice (i.e., 2 weeks) likely outweighs the cost to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w:t>
      </w:r>
    </w:p>
    <w:bookmarkEnd w:id="80"/>
    <w:bookmarkStart w:id="81" w:name="model-characterization-1"/>
    <w:p>
      <w:pPr>
        <w:pStyle w:val="Heading2"/>
      </w:pPr>
      <w:r>
        <w:t xml:space="preserve">Model Characterization</w:t>
      </w:r>
    </w:p>
    <w:p>
      <w:pPr>
        <w:pStyle w:val="FirstParagraph"/>
      </w:pPr>
      <w:r>
        <w:t xml:space="preserve">After applying a beta transformation to our predicted probabilities, we found that our models were generally well calibrated. Well-calibrated probabilities are important because they indicate that the predicted probability aligns closely with the true likelihood of an outcome (i.e., a lapse). Our baseline (no lag) model had excellent calibration. However, the calibration plots suggest that with a longer lag time of 2 weeks, the model tends to overpredict the likelihood of lapses at higher predicted probabilities.</w:t>
      </w:r>
    </w:p>
    <w:p>
      <w:pPr>
        <w:pStyle w:val="BodyText"/>
      </w:pPr>
      <w:r>
        <w:t xml:space="preserve">This pattern may not be necessarily problematic. Research suggests that people often struggle to interpret probabilistic feedback, especially when it’s provided in raw numerical form</w:t>
      </w:r>
      <w:r>
        <w:t xml:space="preserve"> </w:t>
      </w:r>
      <w:r>
        <w:t xml:space="preserve">(Zikmund-Fisher 2013; Fagerlin et al. 2007; Zipkin et al. 2014)</w:t>
      </w:r>
      <w:r>
        <w:t xml:space="preserve">. As a result, it may be more effective to communicate risk using coarser categories (e.g., low, medium, or high risk) or through relative changes in risk (e.g.,</w:t>
      </w:r>
      <w:r>
        <w:t xml:space="preserve"> </w:t>
      </w:r>
      <w:r>
        <w:t xml:space="preserve">“Your risk of lapse is higher this week compared to last week”</w:t>
      </w:r>
      <w:r>
        <w:t xml:space="preserve">). These forms of feedback may be less sensitive to small miscalibrations at the extremes.</w:t>
      </w:r>
    </w:p>
    <w:p>
      <w:pPr>
        <w:pStyle w:val="BodyText"/>
      </w:pPr>
      <w:r>
        <w:t xml:space="preserve">Global feature importance indicates how important a feature category was to the model’s predictions, on average across all participants and all observations. Past use proved to be the most important feature across all models. This is unsurprising given that our outcome was lapse and past behavior is often the best predictor of future behavior. This finding also supports decades of clinical research on relapse prevention, where lapses (i.e., single instances of goal inconsistent alcohol use) are seen as precursors to relapse (i.e., full return to harmful drinking)</w:t>
      </w:r>
      <w:r>
        <w:t xml:space="preserve"> </w:t>
      </w:r>
      <w:r>
        <w:t xml:space="preserve">(Marlatt and Gordon 1985)</w:t>
      </w:r>
      <w:r>
        <w:t xml:space="preserve">.</w:t>
      </w:r>
    </w:p>
    <w:p>
      <w:pPr>
        <w:pStyle w:val="BodyText"/>
      </w:pPr>
      <w:r>
        <w:t xml:space="preserve">The relative ordering of top global features remained somewhat consistent across models. However, the magnitude of their importance varied by lag time. Future efficacy was a strong predictor for more immediate model predictions (i.e., no lag and 1-day lag), but its importance diminished as lag time increased. This feature was nearly as important as past use in the baseline (no lag) model, so its reduced importance in the 2 week model may help explain that model’s lower performance.</w:t>
      </w:r>
    </w:p>
    <w:p>
      <w:pPr>
        <w:pStyle w:val="BodyText"/>
      </w:pPr>
      <w:r>
        <w:t xml:space="preserve">Craving was consistently important, in magnitude and ranking, across all models. However, as lag time increased past/future risky situations increased in importance even surpassing craving. These descriptive representations of important features suggest opportunities to augment longer-lagged models with additional features. For example, it is reasonable that self-efficacy about the next week would matter less for predictions two weeks out. Including features that reflect longer forward facing time frames may improve performance for longer-lagged models.</w:t>
      </w:r>
    </w:p>
    <w:p>
      <w:pPr>
        <w:pStyle w:val="BodyText"/>
      </w:pPr>
      <w:r>
        <w:t xml:space="preserve">Local feature importance is how important a feature category is for an individual prediction timepoint for a single individual on a specific day, we saw a wide variation in possible values for both the no lag and 2-week lag models. A wide range of possible values suggests that even feature categories with low global importance are important risk-relevant factors for some people on some days.</w:t>
      </w:r>
    </w:p>
    <w:bookmarkEnd w:id="81"/>
    <w:bookmarkStart w:id="82" w:name="model-fairness"/>
    <w:p>
      <w:pPr>
        <w:pStyle w:val="Heading2"/>
      </w:pPr>
      <w:r>
        <w:t xml:space="preserve">Model Fairness</w:t>
      </w:r>
    </w:p>
    <w:p>
      <w:pPr>
        <w:pStyle w:val="FirstParagraph"/>
      </w:pPr>
      <w:r>
        <w:t xml:space="preserve">In our previous study</w:t>
      </w:r>
      <w:r>
        <w:t xml:space="preserve"> </w:t>
      </w:r>
      <w:r>
        <w:t xml:space="preserve">(Wyant et al. 2024)</w:t>
      </w:r>
      <w:r>
        <w:t xml:space="preserve">, we failed to assess model fairness. In recent years, the machine learning field has begun to understand the critical importance of evaluating model fairness when algorithms are used to inform important decisions (e.g., healthcare services offered, eligibility for loans, early parole). Algorithms that perform favorably for only a single majority group could widen existing disparities in access to resources and important clinical outcomes</w:t>
      </w:r>
      <w:r>
        <w:t xml:space="preserve"> </w:t>
      </w:r>
      <w:r>
        <w:t xml:space="preserve">(Veinot, Mitchell, and Ancker 2018)</w:t>
      </w:r>
      <w:r>
        <w:t xml:space="preserve">. Therefore, we are committed to continuing to improve our understanding of and methods for evaluating model fairness.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largest contributing factor is likely the lack of diversity in our training data. Our sample was majority non-Hispanic White (</w:t>
      </w:r>
      <w:r>
        <w:rPr>
          <w:i/>
          <w:iCs/>
        </w:rPr>
        <w:t xml:space="preserve">N</w:t>
      </w:r>
      <w:r>
        <w:t xml:space="preserve">=131, 87%) with an average income of $34,000. As a result, even with our coarse combination of race/ethnicity, the not White group was severely underrepresented relative to the non-Hispanic White group. Similarly, although less severely, our below poverty group was underrepresented relative to the above poverty group.</w:t>
      </w:r>
    </w:p>
    <w:p>
      <w:pPr>
        <w:pStyle w:val="BodyText"/>
      </w:pPr>
      <w:r>
        <w:t xml:space="preserve">One obvious potential solution to this problem is to recruit a more representative sample. These data were collected from 2015-2017. Our group has since committed to making changes in recruitment strategies. We are currently working to collect data from a more diverse sample of individuals with alcohol use disorder to improve these models</w:t>
      </w:r>
      <w:r>
        <w:t xml:space="preserve"> </w:t>
      </w:r>
      <w:r>
        <w:t xml:space="preserve">(Wyant et al. in prep)</w:t>
      </w:r>
      <w:r>
        <w:t xml:space="preserv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non-advantaged group representation in the data (e.g., using synthetic minority oversampling technique). We also could adjust the penalty weights so that prediction errors for non-advantaged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can capitalize on time series data by building individual models for each participant using their own data. Individual models may help mitigate issues of unfairness, as the model will weigh the individual’s own data more heavily than group level estimates. In other words, how does lapse risk evolve over time for a specific individual.</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decades of relapse risk research. However, prior to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most substance abuse treatment research due to their childbearing potential</w:t>
      </w:r>
      <w:r>
        <w:t xml:space="preserve"> </w:t>
      </w:r>
      <w:r>
        <w:t xml:space="preserve">(Vannicelli and Nash 1984)</w:t>
      </w:r>
      <w:r>
        <w:t xml:space="preserve">. As a result, it is possible that these constructs more precisely describe relapse risk factors for men than for women. This could mean that more research is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more broadly.</w:t>
      </w:r>
    </w:p>
    <w:p>
      <w:pPr>
        <w:pStyle w:val="BodyText"/>
      </w:pPr>
      <w:r>
        <w:t xml:space="preserve">An alternative approach could be to use a data-driven (bottom-up) approach to identify patterns and characteristics predictive of lapse in specific groups. Compared to traditional, theory-driven (top-down) methods, data-driven features reduce potential bias in features by minimizing researcher involvement. For example, applying natural language processing to text message content could allow new categories of features to emerge. These categories may or may not align with existing theoretical concepts of lapse and relapse, but because they are generated from participants’ own words, they may serve as reliable indicators of lapse risk for certain individuals.</w:t>
      </w:r>
    </w:p>
    <w:p>
      <w:pPr>
        <w:pStyle w:val="BodyText"/>
      </w:pPr>
      <w:r>
        <w:t xml:space="preserve">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result in individuals under-reporting lapses and/or risk factors, contributing to the gap in model performance. We saw a comparable, or slightly higher, percentage of positive lapse labels for disadvantaged compared to advantaged groups. However, comparable lapse labels (i.e., reported lapses) does not necessarily equate comparable reporting (i.e., proportion of true lapses reported).</w:t>
      </w:r>
    </w:p>
    <w:bookmarkEnd w:id="82"/>
    <w:bookmarkStart w:id="83" w:name="X40ab624ebf83813907a18dba36edd4d1d14a553"/>
    <w:p>
      <w:pPr>
        <w:pStyle w:val="Heading2"/>
      </w:pPr>
      <w:r>
        <w:t xml:space="preserve">Additional Limitations and Future Directions</w:t>
      </w:r>
    </w:p>
    <w:p>
      <w:pPr>
        <w:pStyle w:val="FirstParagraph"/>
      </w:pPr>
      <w:r>
        <w:t xml:space="preserve">We believe our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This study provides initial support that immediate and lagged prediction models can be built with high accuracy using EMA for recovery monitoring. Furthermore, the high variance in importance of features for individual predictions is well suited for making tailored recovery support recommendations.</w:t>
      </w:r>
    </w:p>
    <w:p>
      <w:pPr>
        <w:pStyle w:val="BodyText"/>
      </w:pPr>
      <w:r>
        <w:t xml:space="preserve">Our no lag models can be used to guide individuals to take immediate actionable steps to maintain their recovery goals and support them in implementing these steps (e.g., pointing them to a specific module in an app). For example, recommending an urge surfing activity when someone’s immediate risk is driven by strong craving, recommending a guided relaxation video when someone is reporting recent stressful events, or encouraging individuals to reflect on recent past successes or reasons for choosing abstinence or moderation when self-efficacy is low.</w:t>
      </w:r>
    </w:p>
    <w:p>
      <w:pPr>
        <w:pStyle w:val="BodyText"/>
      </w:pPr>
      <w:r>
        <w:t xml:space="preserve">The 2-week lagged model provides individuals with advanced warning of their lapse risk. These models are well-suited to support recovery needs that cannot be addressed within an app, such as scheduling positive or pleasant activities, increasing social engagement, or attending a peer-led recovery meeting.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w:t>
      </w:r>
      <w:r>
        <w:t xml:space="preserve">(Pulick, Curtin, and Mintz under review)</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83"/>
    <w:bookmarkStart w:id="84"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84"/>
    <w:bookmarkStart w:id="170" w:name="references"/>
    <w:p>
      <w:pPr>
        <w:pStyle w:val="Heading2"/>
      </w:pPr>
      <w:r>
        <w:t xml:space="preserve">References</w:t>
      </w:r>
    </w:p>
    <w:bookmarkStart w:id="169" w:name="refs"/>
    <w:bookmarkStart w:id="86"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85">
        <w:r>
          <w:rPr>
            <w:rStyle w:val="Hyperlink"/>
          </w:rPr>
          <w:t xml:space="preserve">https://doi.org/10.1016/j.addbeh.2017.11.039</w:t>
        </w:r>
      </w:hyperlink>
      <w:r>
        <w:t xml:space="preserve">.</w:t>
      </w:r>
    </w:p>
    <w:bookmarkEnd w:id="86"/>
    <w:bookmarkStart w:id="88"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87">
        <w:r>
          <w:rPr>
            <w:rStyle w:val="Hyperlink"/>
          </w:rPr>
          <w:t xml:space="preserve">https://doi.org/10.1007/s10488-016-0718-5</w:t>
        </w:r>
      </w:hyperlink>
      <w:r>
        <w:t xml:space="preserve">.</w:t>
      </w:r>
    </w:p>
    <w:bookmarkEnd w:id="88"/>
    <w:bookmarkStart w:id="89"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9"/>
    <w:bookmarkStart w:id="91"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90">
        <w:r>
          <w:rPr>
            <w:rStyle w:val="Hyperlink"/>
          </w:rPr>
          <w:t xml:space="preserve">https://doi.org/10.1146/annurev.clinpsy.3.022806.091455</w:t>
        </w:r>
      </w:hyperlink>
      <w:r>
        <w:t xml:space="preserve">.</w:t>
      </w:r>
    </w:p>
    <w:bookmarkEnd w:id="91"/>
    <w:bookmarkStart w:id="93"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92">
        <w:r>
          <w:rPr>
            <w:rStyle w:val="Hyperlink"/>
          </w:rPr>
          <w:t xml:space="preserve">https://doi.org/10.21231/GNT1-HW21</w:t>
        </w:r>
      </w:hyperlink>
      <w:r>
        <w:t xml:space="preserve">.</w:t>
      </w:r>
    </w:p>
    <w:bookmarkEnd w:id="93"/>
    <w:bookmarkStart w:id="94"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94"/>
    <w:bookmarkStart w:id="96" w:name="ref-dennisManagingAddictionChronic2007"/>
    <w:p>
      <w:pPr>
        <w:pStyle w:val="Bibliography"/>
      </w:pPr>
      <w:r>
        <w:t xml:space="preserve">Dennis, Michael, and Christy K Scott. 2007.</w:t>
      </w:r>
      <w:r>
        <w:t xml:space="preserve"> </w:t>
      </w:r>
      <w:r>
        <w:t xml:space="preserve">“</w:t>
      </w:r>
      <w:hyperlink r:id="rId95">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96"/>
    <w:bookmarkStart w:id="97"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97"/>
    <w:bookmarkStart w:id="99"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98">
        <w:r>
          <w:rPr>
            <w:rStyle w:val="Hyperlink"/>
          </w:rPr>
          <w:t xml:space="preserve">https://doi.org/10.1016/j.brat.2019.103506</w:t>
        </w:r>
      </w:hyperlink>
      <w:r>
        <w:t xml:space="preserve">.</w:t>
      </w:r>
    </w:p>
    <w:bookmarkEnd w:id="99"/>
    <w:bookmarkStart w:id="101" w:name="ref-fagerlinMakingNumbersMatter2007"/>
    <w:p>
      <w:pPr>
        <w:pStyle w:val="Bibliography"/>
      </w:pPr>
      <w:r>
        <w:t xml:space="preserve">Fagerlin, Angela, Peter A. Ubel, Dylan M. Smith, and Brian J. Zikmund-Fisher. 2007.</w:t>
      </w:r>
      <w:r>
        <w:t xml:space="preserve"> </w:t>
      </w:r>
      <w:r>
        <w:t xml:space="preserve">“Making Numbers Matter: Present and Future Research in Risk Communication.”</w:t>
      </w:r>
      <w:r>
        <w:t xml:space="preserve"> </w:t>
      </w:r>
      <w:r>
        <w:rPr>
          <w:i/>
          <w:iCs/>
        </w:rPr>
        <w:t xml:space="preserve">American Journal of Health Behavior</w:t>
      </w:r>
      <w:r>
        <w:t xml:space="preserve"> </w:t>
      </w:r>
      <w:r>
        <w:t xml:space="preserve">31 Suppl 1: S47–56.</w:t>
      </w:r>
      <w:r>
        <w:t xml:space="preserve"> </w:t>
      </w:r>
      <w:hyperlink r:id="rId100">
        <w:r>
          <w:rPr>
            <w:rStyle w:val="Hyperlink"/>
          </w:rPr>
          <w:t xml:space="preserve">https://doi.org/10.5555/ajhb.2007.31.supp.S47</w:t>
        </w:r>
      </w:hyperlink>
      <w:r>
        <w:t xml:space="preserve">.</w:t>
      </w:r>
    </w:p>
    <w:bookmarkEnd w:id="101"/>
    <w:bookmarkStart w:id="102"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102"/>
    <w:bookmarkStart w:id="103"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03"/>
    <w:bookmarkStart w:id="105"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104">
        <w:r>
          <w:rPr>
            <w:rStyle w:val="Hyperlink"/>
          </w:rPr>
          <w:t xml:space="preserve">https://doi.org/10.1016/j.drugalcdep.2006.05.012</w:t>
        </w:r>
      </w:hyperlink>
      <w:r>
        <w:t xml:space="preserve">.</w:t>
      </w:r>
    </w:p>
    <w:bookmarkEnd w:id="105"/>
    <w:bookmarkStart w:id="106"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106"/>
    <w:bookmarkStart w:id="107"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107"/>
    <w:bookmarkStart w:id="108"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08"/>
    <w:bookmarkStart w:id="110"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09">
        <w:r>
          <w:rPr>
            <w:rStyle w:val="Hyperlink"/>
          </w:rPr>
          <w:t xml:space="preserve">https://doi.org/10/gfsjzg</w:t>
        </w:r>
      </w:hyperlink>
      <w:r>
        <w:t xml:space="preserve">.</w:t>
      </w:r>
    </w:p>
    <w:bookmarkEnd w:id="110"/>
    <w:bookmarkStart w:id="112"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11">
        <w:r>
          <w:rPr>
            <w:rStyle w:val="Hyperlink"/>
          </w:rPr>
          <w:t xml:space="preserve">https://doi.org/10.1001/jamanetworkopen.2020.5852</w:t>
        </w:r>
      </w:hyperlink>
      <w:r>
        <w:t xml:space="preserve">.</w:t>
      </w:r>
    </w:p>
    <w:bookmarkEnd w:id="112"/>
    <w:bookmarkStart w:id="114"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13">
        <w:r>
          <w:rPr>
            <w:rStyle w:val="Hyperlink"/>
          </w:rPr>
          <w:t xml:space="preserve">https://doi.org/10.1007/s11920-012-0296-5</w:t>
        </w:r>
      </w:hyperlink>
      <w:r>
        <w:t xml:space="preserve">.</w:t>
      </w:r>
    </w:p>
    <w:bookmarkEnd w:id="114"/>
    <w:bookmarkStart w:id="115"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15"/>
    <w:bookmarkStart w:id="117"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16">
        <w:r>
          <w:rPr>
            <w:rStyle w:val="Hyperlink"/>
          </w:rPr>
          <w:t xml:space="preserve">https://doi.org/10.1007/978-1-4614-6849-3</w:t>
        </w:r>
      </w:hyperlink>
      <w:r>
        <w:t xml:space="preserve">.</w:t>
      </w:r>
    </w:p>
    <w:bookmarkEnd w:id="117"/>
    <w:bookmarkStart w:id="118"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18"/>
    <w:bookmarkStart w:id="119"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19"/>
    <w:bookmarkStart w:id="120"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20"/>
    <w:bookmarkStart w:id="121"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21"/>
    <w:bookmarkStart w:id="123" w:name="ref-mchughSexGenderDifferences2018a"/>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Gender and</w:t>
      </w:r>
      <w:r>
        <w:t xml:space="preserve"> </w:t>
      </w:r>
      <w:r>
        <w:t xml:space="preserve">Mental Health</w:t>
      </w:r>
      <w:r>
        <w:t xml:space="preserve">, 66 (December): 12–23.</w:t>
      </w:r>
      <w:r>
        <w:t xml:space="preserve"> </w:t>
      </w:r>
      <w:hyperlink r:id="rId122">
        <w:r>
          <w:rPr>
            <w:rStyle w:val="Hyperlink"/>
          </w:rPr>
          <w:t xml:space="preserve">https://doi.org/10.1016/j.cpr.2017.10.012</w:t>
        </w:r>
      </w:hyperlink>
      <w:r>
        <w:t xml:space="preserve">.</w:t>
      </w:r>
    </w:p>
    <w:bookmarkEnd w:id="123"/>
    <w:bookmarkStart w:id="125"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24">
        <w:r>
          <w:rPr>
            <w:rStyle w:val="Hyperlink"/>
          </w:rPr>
          <w:t xml:space="preserve">https://doi.org/10.1001/jama.284.13.1689</w:t>
        </w:r>
      </w:hyperlink>
      <w:r>
        <w:t xml:space="preserve">.</w:t>
      </w:r>
    </w:p>
    <w:bookmarkEnd w:id="125"/>
    <w:bookmarkStart w:id="127"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26">
        <w:r>
          <w:rPr>
            <w:rStyle w:val="Hyperlink"/>
          </w:rPr>
          <w:t xml:space="preserve">https://doi.org/10.1016/j.drugalcdep.2021.108706</w:t>
        </w:r>
      </w:hyperlink>
      <w:r>
        <w:t xml:space="preserve">.</w:t>
      </w:r>
    </w:p>
    <w:bookmarkEnd w:id="127"/>
    <w:bookmarkStart w:id="129"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28">
        <w:r>
          <w:rPr>
            <w:rStyle w:val="Hyperlink"/>
          </w:rPr>
          <w:t xml:space="preserve">https://doi.org/10.1146/annurev-clinpsy-032816-044949</w:t>
        </w:r>
      </w:hyperlink>
      <w:r>
        <w:t xml:space="preserve">.</w:t>
      </w:r>
    </w:p>
    <w:bookmarkEnd w:id="129"/>
    <w:bookmarkStart w:id="131"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30">
        <w:r>
          <w:rPr>
            <w:rStyle w:val="Hyperlink"/>
          </w:rPr>
          <w:t xml:space="preserve">https://doi.org/10.2196/29563</w:t>
        </w:r>
      </w:hyperlink>
      <w:r>
        <w:t xml:space="preserve">.</w:t>
      </w:r>
    </w:p>
    <w:bookmarkEnd w:id="131"/>
    <w:bookmarkStart w:id="133"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32">
        <w:r>
          <w:rPr>
            <w:rStyle w:val="Hyperlink"/>
          </w:rPr>
          <w:t xml:space="preserve">https://doi.org/10.1016/j.jsat.2021.108710</w:t>
        </w:r>
      </w:hyperlink>
      <w:r>
        <w:t xml:space="preserve">.</w:t>
      </w:r>
    </w:p>
    <w:bookmarkEnd w:id="133"/>
    <w:bookmarkStart w:id="13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34">
        <w:r>
          <w:rPr>
            <w:rStyle w:val="Hyperlink"/>
          </w:rPr>
          <w:t xml:space="preserve">https://doi.org/10.1016/j.drugalcdep.2019.05.017</w:t>
        </w:r>
      </w:hyperlink>
      <w:r>
        <w:t xml:space="preserve">.</w:t>
      </w:r>
    </w:p>
    <w:bookmarkEnd w:id="135"/>
    <w:bookmarkStart w:id="136" w:name="X5568dae9ed26820cf1c228b96eb0968c1eec288"/>
    <w:p>
      <w:pPr>
        <w:pStyle w:val="Bibliography"/>
      </w:pPr>
      <w:r>
        <w:t xml:space="preserve">Pulick, Eric, John J. Curtin, and Yonatan Mintz. under review.</w:t>
      </w:r>
      <w:r>
        <w:t xml:space="preserve"> </w:t>
      </w:r>
      <w:r>
        <w:t xml:space="preserve">“Idiographic Lapse Prediction with State Space Modeling:</w:t>
      </w:r>
      <w:r>
        <w:t xml:space="preserve"> </w:t>
      </w:r>
      <w:r>
        <w:t xml:space="preserve">Algorithm</w:t>
      </w:r>
      <w:r>
        <w:t xml:space="preserve"> </w:t>
      </w:r>
      <w:r>
        <w:t xml:space="preserve">Development and Validation,”</w:t>
      </w:r>
      <w:r>
        <w:t xml:space="preserve"> </w:t>
      </w:r>
      <w:r>
        <w:t xml:space="preserve">under review.</w:t>
      </w:r>
    </w:p>
    <w:bookmarkEnd w:id="136"/>
    <w:bookmarkStart w:id="137"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37"/>
    <w:bookmarkStart w:id="139"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38">
        <w:r>
          <w:rPr>
            <w:rStyle w:val="Hyperlink"/>
          </w:rPr>
          <w:t xml:space="preserve">https://doi.org/10.1111/add.13479</w:t>
        </w:r>
      </w:hyperlink>
      <w:r>
        <w:t xml:space="preserve">.</w:t>
      </w:r>
    </w:p>
    <w:bookmarkEnd w:id="139"/>
    <w:bookmarkStart w:id="141"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40">
        <w:r>
          <w:rPr>
            <w:rStyle w:val="Hyperlink"/>
          </w:rPr>
          <w:t xml:space="preserve">https://doi.org/10.1037/adb0000666</w:t>
        </w:r>
      </w:hyperlink>
      <w:r>
        <w:t xml:space="preserve">.</w:t>
      </w:r>
    </w:p>
    <w:bookmarkEnd w:id="141"/>
    <w:bookmarkStart w:id="143"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42">
        <w:r>
          <w:rPr>
            <w:rStyle w:val="Hyperlink"/>
          </w:rPr>
          <w:t xml:space="preserve">https://doi.org/10.1177/1178221820976988</w:t>
        </w:r>
      </w:hyperlink>
      <w:r>
        <w:t xml:space="preserve">.</w:t>
      </w:r>
    </w:p>
    <w:bookmarkEnd w:id="143"/>
    <w:bookmarkStart w:id="144"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44"/>
    <w:bookmarkStart w:id="145"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45"/>
    <w:bookmarkStart w:id="147"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46">
        <w:r>
          <w:rPr>
            <w:rStyle w:val="Hyperlink"/>
          </w:rPr>
          <w:t xml:space="preserve">https://doi.org/10.1111/j.1530-0277.1984.tb05523.x</w:t>
        </w:r>
      </w:hyperlink>
      <w:r>
        <w:t xml:space="preserve">.</w:t>
      </w:r>
    </w:p>
    <w:bookmarkEnd w:id="147"/>
    <w:bookmarkStart w:id="149"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48">
        <w:r>
          <w:rPr>
            <w:rStyle w:val="Hyperlink"/>
          </w:rPr>
          <w:t xml:space="preserve">https://doi.org/10.1093/jamia/ocy052</w:t>
        </w:r>
      </w:hyperlink>
      <w:r>
        <w:t xml:space="preserve">.</w:t>
      </w:r>
    </w:p>
    <w:bookmarkEnd w:id="149"/>
    <w:bookmarkStart w:id="151" w:name="Xeb95c6b3117655df981d06efbd146872632c4fa"/>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Relapse in the addictive behaviors, 26 (2): 128–48.</w:t>
      </w:r>
      <w:r>
        <w:t xml:space="preserve"> </w:t>
      </w:r>
      <w:hyperlink r:id="rId150">
        <w:r>
          <w:rPr>
            <w:rStyle w:val="Hyperlink"/>
          </w:rPr>
          <w:t xml:space="preserve">https://doi.org/10.1016/j.cpr.2005.11.003</w:t>
        </w:r>
      </w:hyperlink>
      <w:r>
        <w:t xml:space="preserve">.</w:t>
      </w:r>
    </w:p>
    <w:bookmarkEnd w:id="151"/>
    <w:bookmarkStart w:id="153"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52">
        <w:r>
          <w:rPr>
            <w:rStyle w:val="Hyperlink"/>
          </w:rPr>
          <w:t xml:space="preserve">https://doi.org/10.1016/j.jsat.2021.108417</w:t>
        </w:r>
      </w:hyperlink>
      <w:r>
        <w:t xml:space="preserve">.</w:t>
      </w:r>
    </w:p>
    <w:bookmarkEnd w:id="153"/>
    <w:bookmarkStart w:id="155" w:name="X2d30c84041d97351f676569bf3de3da0c8a9d6d"/>
    <w:p>
      <w:pPr>
        <w:pStyle w:val="Bibliography"/>
      </w:pPr>
      <w:r>
        <w:t xml:space="preserve">WHO ASSIST Working Group. 2002.</w:t>
      </w:r>
      <w:r>
        <w:t xml:space="preserve"> </w:t>
      </w:r>
      <w:r>
        <w:t xml:space="preserve">“</w:t>
      </w:r>
      <w:hyperlink r:id="rId154">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55"/>
    <w:bookmarkStart w:id="157"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56">
        <w:r>
          <w:rPr>
            <w:rStyle w:val="Hyperlink"/>
          </w:rPr>
          <w:t xml:space="preserve">https://doi.org/10.1037/0003-066X.59.4.224</w:t>
        </w:r>
      </w:hyperlink>
      <w:r>
        <w:t xml:space="preserve">.</w:t>
      </w:r>
    </w:p>
    <w:bookmarkEnd w:id="157"/>
    <w:bookmarkStart w:id="159"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58">
        <w:r>
          <w:rPr>
            <w:rStyle w:val="Hyperlink"/>
          </w:rPr>
          <w:t xml:space="preserve">https://doi.org/10.1016/j.cpr.2007.01.002</w:t>
        </w:r>
      </w:hyperlink>
      <w:r>
        <w:t xml:space="preserve">.</w:t>
      </w:r>
    </w:p>
    <w:bookmarkEnd w:id="159"/>
    <w:bookmarkStart w:id="161"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60">
        <w:r>
          <w:rPr>
            <w:rStyle w:val="Hyperlink"/>
          </w:rPr>
          <w:t xml:space="preserve">https://doi.org/10.2196/41833</w:t>
        </w:r>
      </w:hyperlink>
      <w:r>
        <w:t xml:space="preserve">.</w:t>
      </w:r>
    </w:p>
    <w:bookmarkEnd w:id="161"/>
    <w:bookmarkStart w:id="163"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62">
        <w:r>
          <w:rPr>
            <w:rStyle w:val="Hyperlink"/>
          </w:rPr>
          <w:t xml:space="preserve">https://doi.org/10.31234/osf.io/cgsf7</w:t>
        </w:r>
      </w:hyperlink>
      <w:r>
        <w:t xml:space="preserve">.</w:t>
      </w:r>
    </w:p>
    <w:bookmarkEnd w:id="163"/>
    <w:bookmarkStart w:id="164" w:name="X3f67f11df296341e595ed74232696d3a94ce536"/>
    <w:p>
      <w:pPr>
        <w:pStyle w:val="Bibliography"/>
      </w:pPr>
      <w:r>
        <w:t xml:space="preserve">Wyant, Kendra, Sarah Sant’Ana, Claire Punturieri, Jiachen Yu, Gaylen Fronk, Rachel Kornfield, Lyn Van Swol, et al.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64"/>
    <w:bookmarkStart w:id="166" w:name="ref-zikmund-fisherRightToolWhat2013"/>
    <w:p>
      <w:pPr>
        <w:pStyle w:val="Bibliography"/>
      </w:pPr>
      <w:r>
        <w:t xml:space="preserve">Zikmund-Fisher, Brian J. 2013.</w:t>
      </w:r>
      <w:r>
        <w:t xml:space="preserve"> </w:t>
      </w:r>
      <w:r>
        <w:t xml:space="preserve">“The Right Tool Is What They Need, Not What We Have: A Taxonomy of Appropriate Levels of Precision in Patient Risk Communication.”</w:t>
      </w:r>
      <w:r>
        <w:t xml:space="preserve"> </w:t>
      </w:r>
      <w:r>
        <w:rPr>
          <w:i/>
          <w:iCs/>
        </w:rPr>
        <w:t xml:space="preserve">Medical Care Research and Review: MCRR</w:t>
      </w:r>
      <w:r>
        <w:t xml:space="preserve"> </w:t>
      </w:r>
      <w:r>
        <w:t xml:space="preserve">70 (1 Suppl): 37S–49S.</w:t>
      </w:r>
      <w:r>
        <w:t xml:space="preserve"> </w:t>
      </w:r>
      <w:hyperlink r:id="rId165">
        <w:r>
          <w:rPr>
            <w:rStyle w:val="Hyperlink"/>
          </w:rPr>
          <w:t xml:space="preserve">https://doi.org/10.1177/1077558712458541</w:t>
        </w:r>
      </w:hyperlink>
      <w:r>
        <w:t xml:space="preserve">.</w:t>
      </w:r>
    </w:p>
    <w:bookmarkEnd w:id="166"/>
    <w:bookmarkStart w:id="168" w:name="X13b53253f4b8775a58215d7e1d3c0adbd73e844"/>
    <w:p>
      <w:pPr>
        <w:pStyle w:val="Bibliography"/>
      </w:pPr>
      <w:r>
        <w:t xml:space="preserve">Zipkin, Daniella A., Craig A. Umscheid, Nancy L. Keating, Elizabeth Allen, KoKo Aung, Rebecca Beyth, Scott Kaatz, et al. 2014.</w:t>
      </w:r>
      <w:r>
        <w:t xml:space="preserve"> </w:t>
      </w:r>
      <w:r>
        <w:t xml:space="preserve">“Evidence-Based Risk Communication: A Systematic Review.”</w:t>
      </w:r>
      <w:r>
        <w:t xml:space="preserve"> </w:t>
      </w:r>
      <w:r>
        <w:rPr>
          <w:i/>
          <w:iCs/>
        </w:rPr>
        <w:t xml:space="preserve">Annals of Internal Medicine</w:t>
      </w:r>
      <w:r>
        <w:t xml:space="preserve"> </w:t>
      </w:r>
      <w:r>
        <w:t xml:space="preserve">161 (4): 270–80.</w:t>
      </w:r>
      <w:r>
        <w:t xml:space="preserve"> </w:t>
      </w:r>
      <w:hyperlink r:id="rId167">
        <w:r>
          <w:rPr>
            <w:rStyle w:val="Hyperlink"/>
          </w:rPr>
          <w:t xml:space="preserve">https://doi.org/10.7326/M14-0295</w:t>
        </w:r>
      </w:hyperlink>
      <w:r>
        <w:t xml:space="preserve">.</w:t>
      </w:r>
    </w:p>
    <w:bookmarkEnd w:id="168"/>
    <w:bookmarkEnd w:id="169"/>
    <w:bookmarkEnd w:id="170"/>
    <w:bookmarkEnd w:id="1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hyperlink" Id="rId124" Target="https://doi.org/10.1001/jama.284.13.1689" TargetMode="External" /><Relationship Type="http://schemas.openxmlformats.org/officeDocument/2006/relationships/hyperlink" Id="rId111" Target="https://doi.org/10.1001/jamanetworkopen.2020.5852" TargetMode="External" /><Relationship Type="http://schemas.openxmlformats.org/officeDocument/2006/relationships/hyperlink" Id="rId116" Target="https://doi.org/10.1007/978-1-4614-6849-3" TargetMode="External" /><Relationship Type="http://schemas.openxmlformats.org/officeDocument/2006/relationships/hyperlink" Id="rId87" Target="https://doi.org/10.1007/s10488-016-0718-5" TargetMode="External" /><Relationship Type="http://schemas.openxmlformats.org/officeDocument/2006/relationships/hyperlink" Id="rId113" Target="https://doi.org/10.1007/s11920-012-0296-5" TargetMode="External" /><Relationship Type="http://schemas.openxmlformats.org/officeDocument/2006/relationships/hyperlink" Id="rId85" Target="https://doi.org/10.1016/j.addbeh.2017.11.039" TargetMode="External" /><Relationship Type="http://schemas.openxmlformats.org/officeDocument/2006/relationships/hyperlink" Id="rId98" Target="https://doi.org/10.1016/j.brat.2019.103506" TargetMode="External" /><Relationship Type="http://schemas.openxmlformats.org/officeDocument/2006/relationships/hyperlink" Id="rId150" Target="https://doi.org/10.1016/j.cpr.2005.11.003" TargetMode="External" /><Relationship Type="http://schemas.openxmlformats.org/officeDocument/2006/relationships/hyperlink" Id="rId158" Target="https://doi.org/10.1016/j.cpr.2007.01.002" TargetMode="External" /><Relationship Type="http://schemas.openxmlformats.org/officeDocument/2006/relationships/hyperlink" Id="rId122" Target="https://doi.org/10.1016/j.cpr.2017.10.012" TargetMode="External" /><Relationship Type="http://schemas.openxmlformats.org/officeDocument/2006/relationships/hyperlink" Id="rId104" Target="https://doi.org/10.1016/j.drugalcdep.2006.05.012" TargetMode="External" /><Relationship Type="http://schemas.openxmlformats.org/officeDocument/2006/relationships/hyperlink" Id="rId134" Target="https://doi.org/10.1016/j.drugalcdep.2019.05.017" TargetMode="External" /><Relationship Type="http://schemas.openxmlformats.org/officeDocument/2006/relationships/hyperlink" Id="rId126" Target="https://doi.org/10.1016/j.drugalcdep.2021.108706" TargetMode="External" /><Relationship Type="http://schemas.openxmlformats.org/officeDocument/2006/relationships/hyperlink" Id="rId152" Target="https://doi.org/10.1016/j.jsat.2021.108417" TargetMode="External" /><Relationship Type="http://schemas.openxmlformats.org/officeDocument/2006/relationships/hyperlink" Id="rId132" Target="https://doi.org/10.1016/j.jsat.2021.108710" TargetMode="External" /><Relationship Type="http://schemas.openxmlformats.org/officeDocument/2006/relationships/hyperlink" Id="rId156" Target="https://doi.org/10.1037/0003-066X.59.4.224" TargetMode="External" /><Relationship Type="http://schemas.openxmlformats.org/officeDocument/2006/relationships/hyperlink" Id="rId140" Target="https://doi.org/10.1037/adb0000666" TargetMode="External" /><Relationship Type="http://schemas.openxmlformats.org/officeDocument/2006/relationships/hyperlink" Id="rId148" Target="https://doi.org/10.1093/jamia/ocy052" TargetMode="External" /><Relationship Type="http://schemas.openxmlformats.org/officeDocument/2006/relationships/hyperlink" Id="rId138" Target="https://doi.org/10.1111/add.13479" TargetMode="External" /><Relationship Type="http://schemas.openxmlformats.org/officeDocument/2006/relationships/hyperlink" Id="rId146" Target="https://doi.org/10.1111/j.1530-0277.1984.tb05523.x" TargetMode="External" /><Relationship Type="http://schemas.openxmlformats.org/officeDocument/2006/relationships/hyperlink" Id="rId128" Target="https://doi.org/10.1146/annurev-clinpsy-032816-044949" TargetMode="External" /><Relationship Type="http://schemas.openxmlformats.org/officeDocument/2006/relationships/hyperlink" Id="rId90" Target="https://doi.org/10.1146/annurev.clinpsy.3.022806.091455" TargetMode="External" /><Relationship Type="http://schemas.openxmlformats.org/officeDocument/2006/relationships/hyperlink" Id="rId165" Target="https://doi.org/10.1177/1077558712458541" TargetMode="External" /><Relationship Type="http://schemas.openxmlformats.org/officeDocument/2006/relationships/hyperlink" Id="rId142" Target="https://doi.org/10.1177/1178221820976988" TargetMode="External" /><Relationship Type="http://schemas.openxmlformats.org/officeDocument/2006/relationships/hyperlink" Id="rId92" Target="https://doi.org/10.21231/GNT1-HW21" TargetMode="External" /><Relationship Type="http://schemas.openxmlformats.org/officeDocument/2006/relationships/hyperlink" Id="rId130" Target="https://doi.org/10.2196/29563" TargetMode="External" /><Relationship Type="http://schemas.openxmlformats.org/officeDocument/2006/relationships/hyperlink" Id="rId160" Target="https://doi.org/10.2196/41833" TargetMode="External" /><Relationship Type="http://schemas.openxmlformats.org/officeDocument/2006/relationships/hyperlink" Id="rId162" Target="https://doi.org/10.31234/osf.io/cgsf7" TargetMode="External" /><Relationship Type="http://schemas.openxmlformats.org/officeDocument/2006/relationships/hyperlink" Id="rId100" Target="https://doi.org/10.5555/ajhb.2007.31.supp.S47" TargetMode="External" /><Relationship Type="http://schemas.openxmlformats.org/officeDocument/2006/relationships/hyperlink" Id="rId167" Target="https://doi.org/10.7326/M14-0295" TargetMode="External" /><Relationship Type="http://schemas.openxmlformats.org/officeDocument/2006/relationships/hyperlink" Id="rId109"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95" Target="https://www.ncbi.nlm.nih.gov/pmc/articles/PMC2797101" TargetMode="External" /><Relationship Type="http://schemas.openxmlformats.org/officeDocument/2006/relationships/hyperlink" Id="rId154"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24" Target="https://doi.org/10.1001/jama.284.13.1689" TargetMode="External" /><Relationship Type="http://schemas.openxmlformats.org/officeDocument/2006/relationships/hyperlink" Id="rId111" Target="https://doi.org/10.1001/jamanetworkopen.2020.5852" TargetMode="External" /><Relationship Type="http://schemas.openxmlformats.org/officeDocument/2006/relationships/hyperlink" Id="rId116" Target="https://doi.org/10.1007/978-1-4614-6849-3" TargetMode="External" /><Relationship Type="http://schemas.openxmlformats.org/officeDocument/2006/relationships/hyperlink" Id="rId87" Target="https://doi.org/10.1007/s10488-016-0718-5" TargetMode="External" /><Relationship Type="http://schemas.openxmlformats.org/officeDocument/2006/relationships/hyperlink" Id="rId113" Target="https://doi.org/10.1007/s11920-012-0296-5" TargetMode="External" /><Relationship Type="http://schemas.openxmlformats.org/officeDocument/2006/relationships/hyperlink" Id="rId85" Target="https://doi.org/10.1016/j.addbeh.2017.11.039" TargetMode="External" /><Relationship Type="http://schemas.openxmlformats.org/officeDocument/2006/relationships/hyperlink" Id="rId98" Target="https://doi.org/10.1016/j.brat.2019.103506" TargetMode="External" /><Relationship Type="http://schemas.openxmlformats.org/officeDocument/2006/relationships/hyperlink" Id="rId150" Target="https://doi.org/10.1016/j.cpr.2005.11.003" TargetMode="External" /><Relationship Type="http://schemas.openxmlformats.org/officeDocument/2006/relationships/hyperlink" Id="rId158" Target="https://doi.org/10.1016/j.cpr.2007.01.002" TargetMode="External" /><Relationship Type="http://schemas.openxmlformats.org/officeDocument/2006/relationships/hyperlink" Id="rId122" Target="https://doi.org/10.1016/j.cpr.2017.10.012" TargetMode="External" /><Relationship Type="http://schemas.openxmlformats.org/officeDocument/2006/relationships/hyperlink" Id="rId104" Target="https://doi.org/10.1016/j.drugalcdep.2006.05.012" TargetMode="External" /><Relationship Type="http://schemas.openxmlformats.org/officeDocument/2006/relationships/hyperlink" Id="rId134" Target="https://doi.org/10.1016/j.drugalcdep.2019.05.017" TargetMode="External" /><Relationship Type="http://schemas.openxmlformats.org/officeDocument/2006/relationships/hyperlink" Id="rId126" Target="https://doi.org/10.1016/j.drugalcdep.2021.108706" TargetMode="External" /><Relationship Type="http://schemas.openxmlformats.org/officeDocument/2006/relationships/hyperlink" Id="rId152" Target="https://doi.org/10.1016/j.jsat.2021.108417" TargetMode="External" /><Relationship Type="http://schemas.openxmlformats.org/officeDocument/2006/relationships/hyperlink" Id="rId132" Target="https://doi.org/10.1016/j.jsat.2021.108710" TargetMode="External" /><Relationship Type="http://schemas.openxmlformats.org/officeDocument/2006/relationships/hyperlink" Id="rId156" Target="https://doi.org/10.1037/0003-066X.59.4.224" TargetMode="External" /><Relationship Type="http://schemas.openxmlformats.org/officeDocument/2006/relationships/hyperlink" Id="rId140" Target="https://doi.org/10.1037/adb0000666" TargetMode="External" /><Relationship Type="http://schemas.openxmlformats.org/officeDocument/2006/relationships/hyperlink" Id="rId148" Target="https://doi.org/10.1093/jamia/ocy052" TargetMode="External" /><Relationship Type="http://schemas.openxmlformats.org/officeDocument/2006/relationships/hyperlink" Id="rId138" Target="https://doi.org/10.1111/add.13479" TargetMode="External" /><Relationship Type="http://schemas.openxmlformats.org/officeDocument/2006/relationships/hyperlink" Id="rId146" Target="https://doi.org/10.1111/j.1530-0277.1984.tb05523.x" TargetMode="External" /><Relationship Type="http://schemas.openxmlformats.org/officeDocument/2006/relationships/hyperlink" Id="rId128" Target="https://doi.org/10.1146/annurev-clinpsy-032816-044949" TargetMode="External" /><Relationship Type="http://schemas.openxmlformats.org/officeDocument/2006/relationships/hyperlink" Id="rId90" Target="https://doi.org/10.1146/annurev.clinpsy.3.022806.091455" TargetMode="External" /><Relationship Type="http://schemas.openxmlformats.org/officeDocument/2006/relationships/hyperlink" Id="rId165" Target="https://doi.org/10.1177/1077558712458541" TargetMode="External" /><Relationship Type="http://schemas.openxmlformats.org/officeDocument/2006/relationships/hyperlink" Id="rId142" Target="https://doi.org/10.1177/1178221820976988" TargetMode="External" /><Relationship Type="http://schemas.openxmlformats.org/officeDocument/2006/relationships/hyperlink" Id="rId92" Target="https://doi.org/10.21231/GNT1-HW21" TargetMode="External" /><Relationship Type="http://schemas.openxmlformats.org/officeDocument/2006/relationships/hyperlink" Id="rId130" Target="https://doi.org/10.2196/29563" TargetMode="External" /><Relationship Type="http://schemas.openxmlformats.org/officeDocument/2006/relationships/hyperlink" Id="rId160" Target="https://doi.org/10.2196/41833" TargetMode="External" /><Relationship Type="http://schemas.openxmlformats.org/officeDocument/2006/relationships/hyperlink" Id="rId162" Target="https://doi.org/10.31234/osf.io/cgsf7" TargetMode="External" /><Relationship Type="http://schemas.openxmlformats.org/officeDocument/2006/relationships/hyperlink" Id="rId100" Target="https://doi.org/10.5555/ajhb.2007.31.supp.S47" TargetMode="External" /><Relationship Type="http://schemas.openxmlformats.org/officeDocument/2006/relationships/hyperlink" Id="rId167" Target="https://doi.org/10.7326/M14-0295" TargetMode="External" /><Relationship Type="http://schemas.openxmlformats.org/officeDocument/2006/relationships/hyperlink" Id="rId109"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95" Target="https://www.ncbi.nlm.nih.gov/pmc/articles/PMC2797101" TargetMode="External" /><Relationship Type="http://schemas.openxmlformats.org/officeDocument/2006/relationships/hyperlink" Id="rId154"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John J. Curtin</dc:creator>
  <cp:keywords>Substance use disorders, Precision mental health</cp:keywords>
  <dcterms:created xsi:type="dcterms:W3CDTF">2025-06-20T14:22:55Z</dcterms:created>
  <dcterms:modified xsi:type="dcterms:W3CDTF">2025-06-20T14:22:55Z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2025-06-12</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