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Super</w:t>
      </w:r>
      <w:r>
        <w:t xml:space="preserve"> </w:t>
      </w:r>
      <w:r>
        <w:t xml:space="preserve">Cool</w:t>
      </w:r>
      <w:r>
        <w:t xml:space="preserve"> </w:t>
      </w:r>
      <w:r>
        <w:t xml:space="preserve">Study</w:t>
      </w:r>
    </w:p>
    <w:p>
      <w:pPr>
        <w:pStyle w:val="Author"/>
      </w:pPr>
      <w:r>
        <w:t xml:space="preserve">Josephine</w:t>
      </w:r>
      <w:r>
        <w:t xml:space="preserve"> </w:t>
      </w:r>
      <w:r>
        <w:t xml:space="preserve">Student</w:t>
      </w:r>
    </w:p>
    <w:p>
      <w:pPr>
        <w:pStyle w:val="Author"/>
      </w:pPr>
      <w:r>
        <w:t xml:space="preserve">John</w:t>
      </w:r>
      <w:r>
        <w:t xml:space="preserve"> </w:t>
      </w:r>
      <w:r>
        <w:t xml:space="preserve">J.</w:t>
      </w:r>
      <w:r>
        <w:t xml:space="preserve"> </w:t>
      </w:r>
      <w:r>
        <w:t xml:space="preserve">Curtin</w:t>
      </w:r>
    </w:p>
    <w:p>
      <w:pPr>
        <w:pStyle w:val="Date"/>
      </w:pPr>
      <w:r>
        <w:t xml:space="preserve">2024-03-06</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bookmarkStart w:id="36" w:name="sec-intro"/>
    <w:p>
      <w:pPr>
        <w:pStyle w:val="Heading2"/>
      </w:pPr>
      <w:r>
        <w:t xml:space="preserve">Introduction</w:t>
      </w:r>
    </w:p>
    <w:p>
      <w:pPr>
        <w:pStyle w:val="FirstParagraph"/>
      </w:pPr>
      <w:r>
        <w:t xml:space="preserve">You can write your text using markdown.</w:t>
      </w:r>
    </w:p>
    <w:p>
      <w:pPr>
        <w:pStyle w:val="BodyText"/>
      </w:pPr>
      <w:r>
        <w:t xml:space="preserve">Top level section headings use ##</w:t>
      </w:r>
    </w:p>
    <w:p>
      <w:pPr>
        <w:pStyle w:val="BodyText"/>
      </w:pPr>
      <w:r>
        <w:t xml:space="preserve">Notice use of curly braces to label a section if you want to later cross-reference to it. #sec- is required as part of the label</w:t>
      </w:r>
    </w:p>
    <w:bookmarkStart w:id="20" w:name="sub-heading-demo"/>
    <w:p>
      <w:pPr>
        <w:pStyle w:val="Heading3"/>
      </w:pPr>
      <w:r>
        <w:t xml:space="preserve">Sub-heading Demo</w:t>
      </w:r>
    </w:p>
    <w:p>
      <w:pPr>
        <w:pStyle w:val="FirstParagraph"/>
      </w:pPr>
      <w:r>
        <w:t xml:space="preserve">You can use sub-headings in your paper as well</w:t>
      </w:r>
    </w:p>
    <w:bookmarkEnd w:id="20"/>
    <w:bookmarkStart w:id="22" w:name="symbols-and-equations"/>
    <w:p>
      <w:pPr>
        <w:pStyle w:val="Heading3"/>
      </w:pPr>
      <w:r>
        <w:t xml:space="preserve">Symbols and Equations</w:t>
      </w:r>
    </w:p>
    <w:p>
      <w:pPr>
        <w:pStyle w:val="FirstParagraph"/>
      </w:pPr>
      <w:r>
        <w:t xml:space="preserve">You can use quarto inline or display math equations as needed. Quarto provides</w:t>
      </w:r>
      <w:r>
        <w:t xml:space="preserve"> </w:t>
      </w:r>
      <w:hyperlink r:id="rId21">
        <w:r>
          <w:rPr>
            <w:rStyle w:val="Hyperlink"/>
          </w:rPr>
          <w:t xml:space="preserve">details</w:t>
        </w:r>
      </w:hyperlink>
      <w:r>
        <w:t xml:space="preserve"> </w:t>
      </w:r>
      <w:r>
        <w:t xml:space="preserve">on the use of these equations.</w:t>
      </w:r>
    </w:p>
    <w:p>
      <w:pPr>
        <w:pStyle w:val="BodyText"/>
      </w:pPr>
      <w:r>
        <w:t xml:space="preserve">For example</w:t>
      </w:r>
      <w:r>
        <w:t xml:space="preserve"> </w:t>
      </w:r>
      <m:oMath>
        <m:r>
          <m:t>x</m:t>
        </m:r>
      </m:oMath>
      <w:r>
        <w:t xml:space="preserve"> </w:t>
      </w:r>
      <w:r>
        <w:t xml:space="preserve">and</w:t>
      </w:r>
      <w:r>
        <w:t xml:space="preserve"> </w:t>
      </w:r>
      <m:oMath>
        <m:r>
          <m:t>y</m:t>
        </m:r>
      </m:oMath>
      <w:r>
        <w:t xml:space="preserve"> </w:t>
      </w:r>
      <w:r>
        <w:t xml:space="preserve">are two variables. And here is an important formula:</w:t>
      </w:r>
    </w:p>
    <w:p>
      <w:pPr>
        <w:pStyle w:val="BodyText"/>
      </w:pPr>
      <m:oMathPara>
        <m:oMathParaPr>
          <m:jc m:val="center"/>
        </m:oMathParaPr>
        <m:oMath>
          <m:r>
            <m:t>p</m:t>
          </m:r>
          <m:d>
            <m:dPr>
              <m:begChr m:val="("/>
              <m:endChr m:val=")"/>
              <m:sepChr m:val=""/>
              <m:grow/>
            </m:dPr>
            <m:e>
              <m:r>
                <m:t>x</m:t>
              </m:r>
            </m:e>
          </m:d>
          <m:r>
            <m:rPr>
              <m:sty m:val="p"/>
            </m:rPr>
            <m:t>=</m:t>
          </m:r>
          <m:f>
            <m:fPr>
              <m:type m:val="bar"/>
            </m:fPr>
            <m:num>
              <m:sSup>
                <m:e>
                  <m:r>
                    <m:t>e</m:t>
                  </m:r>
                </m:e>
                <m:sup>
                  <m:r>
                    <m:rPr>
                      <m:sty m:val="p"/>
                    </m:rPr>
                    <m:t>−</m:t>
                  </m:r>
                  <m:r>
                    <m:t>λ</m:t>
                  </m:r>
                </m:sup>
              </m:sSup>
              <m:sSup>
                <m:e>
                  <m:r>
                    <m:t>λ</m:t>
                  </m:r>
                </m:e>
                <m:sup>
                  <m:r>
                    <m:t>x</m:t>
                  </m:r>
                </m:sup>
              </m:sSup>
            </m:num>
            <m:den>
              <m:r>
                <m:t>x</m:t>
              </m:r>
              <m:r>
                <m:rPr>
                  <m:sty m:val="p"/>
                </m:rPr>
                <m:t>!</m:t>
              </m:r>
            </m:den>
          </m:f>
        </m:oMath>
      </m:oMathPara>
    </w:p>
    <w:bookmarkEnd w:id="22"/>
    <w:bookmarkStart w:id="24" w:name="tables"/>
    <w:p>
      <w:pPr>
        <w:pStyle w:val="Heading3"/>
      </w:pPr>
      <w:r>
        <w:t xml:space="preserve">Tables</w:t>
      </w:r>
    </w:p>
    <w:p>
      <w:pPr>
        <w:pStyle w:val="FirstParagraph"/>
      </w:pPr>
      <w:r>
        <w:t xml:space="preserve">Tables are generally created and output from notebooks in the /notebooks folder. You can then embed these tables in your manuscript.</w:t>
      </w:r>
      <w:r>
        <w:t xml:space="preserve"> </w:t>
      </w:r>
    </w:p>
    <w:p>
      <w:pPr>
        <w:pStyle w:val="BodyText"/>
      </w:pPr>
      <w:r>
        <w:t xml:space="preserve">Alternatively, this is an example of a simple table that is hard-coded using markdown table format. We don’t recommend this for tables built from data. Tables values should come directly from data so they don’t need to be typed in and will update if your data change. However, you may have other uses for simple tables where this method is helpful.</w:t>
      </w:r>
    </w:p>
    <w:tbl>
      <w:tblPr>
        <w:tblStyle w:val="Table"/>
        <w:tblW w:type="pct" w:w="5000"/>
        <w:tblLook w:firstRow="0" w:lastRow="0" w:firstColumn="0" w:lastColumn="0" w:noHBand="0" w:noVBand="0" w:val="0000"/>
        <w:jc w:val="start"/>
        <w:tblLayout w:type="fixed"/>
      </w:tblPr>
      <w:tblGrid>
        <w:gridCol w:w="7920"/>
      </w:tblGrid>
      <w:tr>
        <w:tc>
          <w:tcPr/>
          <w:bookmarkStart w:id="23" w:name="tbl-history"/>
          <w:p>
            <w:pPr>
              <w:jc w:val="center"/>
            </w:pPr>
            <w:pPr>
              <w:jc w:val="start"/>
              <w:spacing w:before="200"/>
              <w:pStyle w:val="ImageCaption"/>
            </w:pPr>
            <w:r>
              <w:t xml:space="preserve">Table 1: Recent historic eruptions on La Palma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Name</w:t>
                  </w:r>
                </w:p>
              </w:tc>
              <w:tc>
                <w:tcPr/>
                <w:p>
                  <w:pPr>
                    <w:pStyle w:val="Compact"/>
                    <w:jc w:val="left"/>
                    <w:jc w:val="center"/>
                  </w:pPr>
                  <w:r>
                    <w:t xml:space="preserve">Year</w:t>
                  </w:r>
                </w:p>
              </w:tc>
            </w:tr>
            <w:tr>
              <w:tc>
                <w:tcPr/>
                <w:p>
                  <w:pPr>
                    <w:pStyle w:val="Compact"/>
                    <w:jc w:val="left"/>
                    <w:jc w:val="center"/>
                  </w:pPr>
                  <w:r>
                    <w:t xml:space="preserve">Current</w:t>
                  </w:r>
                </w:p>
              </w:tc>
              <w:tc>
                <w:tcPr/>
                <w:p>
                  <w:pPr>
                    <w:pStyle w:val="Compact"/>
                    <w:jc w:val="left"/>
                    <w:jc w:val="center"/>
                  </w:pPr>
                  <w:r>
                    <w:t xml:space="preserve">2021</w:t>
                  </w:r>
                </w:p>
              </w:tc>
            </w:tr>
            <w:tr>
              <w:tc>
                <w:tcPr/>
                <w:p>
                  <w:pPr>
                    <w:pStyle w:val="Compact"/>
                    <w:jc w:val="left"/>
                    <w:jc w:val="center"/>
                  </w:pPr>
                  <w:r>
                    <w:t xml:space="preserve">Teneguía</w:t>
                  </w:r>
                </w:p>
              </w:tc>
              <w:tc>
                <w:tcPr/>
                <w:p>
                  <w:pPr>
                    <w:pStyle w:val="Compact"/>
                    <w:jc w:val="left"/>
                    <w:jc w:val="center"/>
                  </w:pPr>
                  <w:r>
                    <w:t xml:space="preserve">1971</w:t>
                  </w:r>
                </w:p>
              </w:tc>
            </w:tr>
            <w:tr>
              <w:tc>
                <w:tcPr/>
                <w:p>
                  <w:pPr>
                    <w:pStyle w:val="Compact"/>
                    <w:jc w:val="left"/>
                    <w:jc w:val="center"/>
                  </w:pPr>
                  <w:r>
                    <w:t xml:space="preserve">Nambroque</w:t>
                  </w:r>
                </w:p>
              </w:tc>
              <w:tc>
                <w:tcPr/>
                <w:p>
                  <w:pPr>
                    <w:pStyle w:val="Compact"/>
                    <w:jc w:val="left"/>
                    <w:jc w:val="center"/>
                  </w:pPr>
                  <w:r>
                    <w:t xml:space="preserve">1949</w:t>
                  </w:r>
                </w:p>
              </w:tc>
            </w:tr>
            <w:tr>
              <w:tc>
                <w:tcPr/>
                <w:p>
                  <w:pPr>
                    <w:pStyle w:val="Compact"/>
                    <w:jc w:val="left"/>
                    <w:jc w:val="center"/>
                  </w:pPr>
                  <w:r>
                    <w:t xml:space="preserve">El Charco</w:t>
                  </w:r>
                </w:p>
              </w:tc>
              <w:tc>
                <w:tcPr/>
                <w:p>
                  <w:pPr>
                    <w:pStyle w:val="Compact"/>
                    <w:jc w:val="left"/>
                    <w:jc w:val="center"/>
                  </w:pPr>
                  <w:r>
                    <w:t xml:space="preserve">1712</w:t>
                  </w:r>
                </w:p>
              </w:tc>
            </w:tr>
            <w:tr>
              <w:tc>
                <w:tcPr/>
                <w:p>
                  <w:pPr>
                    <w:pStyle w:val="Compact"/>
                    <w:jc w:val="left"/>
                    <w:jc w:val="center"/>
                  </w:pPr>
                  <w:r>
                    <w:t xml:space="preserve">Volcán San Antonio</w:t>
                  </w:r>
                </w:p>
              </w:tc>
              <w:tc>
                <w:tcPr/>
                <w:p>
                  <w:pPr>
                    <w:pStyle w:val="Compact"/>
                    <w:jc w:val="left"/>
                    <w:jc w:val="center"/>
                  </w:pPr>
                  <w:r>
                    <w:t xml:space="preserve">1677</w:t>
                  </w:r>
                </w:p>
              </w:tc>
            </w:tr>
            <w:tr>
              <w:tc>
                <w:tcPr/>
                <w:p>
                  <w:pPr>
                    <w:pStyle w:val="Compact"/>
                    <w:jc w:val="left"/>
                    <w:jc w:val="center"/>
                  </w:pPr>
                  <w:r>
                    <w:t xml:space="preserve">Volcán San Martin</w:t>
                  </w:r>
                </w:p>
              </w:tc>
              <w:tc>
                <w:tcPr/>
                <w:p>
                  <w:pPr>
                    <w:pStyle w:val="Compact"/>
                    <w:jc w:val="left"/>
                    <w:jc w:val="center"/>
                  </w:pPr>
                  <w:r>
                    <w:t xml:space="preserve">1646</w:t>
                  </w:r>
                </w:p>
              </w:tc>
            </w:tr>
            <w:tr>
              <w:tc>
                <w:tcPr/>
                <w:p>
                  <w:pPr>
                    <w:pStyle w:val="Compact"/>
                    <w:jc w:val="left"/>
                    <w:jc w:val="center"/>
                  </w:pPr>
                  <w:r>
                    <w:t xml:space="preserve">Tajuya near El Paso</w:t>
                  </w:r>
                </w:p>
              </w:tc>
              <w:tc>
                <w:tcPr/>
                <w:p>
                  <w:pPr>
                    <w:pStyle w:val="Compact"/>
                    <w:jc w:val="left"/>
                    <w:jc w:val="center"/>
                  </w:pPr>
                  <w:r>
                    <w:t xml:space="preserve">1585</w:t>
                  </w:r>
                </w:p>
              </w:tc>
            </w:tr>
            <w:tr>
              <w:tc>
                <w:tcPr/>
                <w:p>
                  <w:pPr>
                    <w:pStyle w:val="Compact"/>
                    <w:jc w:val="left"/>
                    <w:jc w:val="center"/>
                  </w:pPr>
                  <w:r>
                    <w:t xml:space="preserve">Montaña Quemada</w:t>
                  </w:r>
                </w:p>
              </w:tc>
              <w:tc>
                <w:tcPr/>
                <w:p>
                  <w:pPr>
                    <w:pStyle w:val="Compact"/>
                    <w:jc w:val="left"/>
                    <w:jc w:val="center"/>
                  </w:pPr>
                  <w:r>
                    <w:t xml:space="preserve">1492</w:t>
                  </w:r>
                </w:p>
              </w:tc>
            </w:tr>
          </w:tbl>
          <w:bookmarkEnd w:id="23"/>
          <w:p/>
        </w:tc>
      </w:tr>
    </w:tbl>
    <w:bookmarkEnd w:id="24"/>
    <w:bookmarkStart w:id="34" w:name="figures"/>
    <w:p>
      <w:pPr>
        <w:pStyle w:val="Heading3"/>
      </w:pPr>
      <w:r>
        <w:t xml:space="preserve">Figures</w:t>
      </w:r>
    </w:p>
    <w:p>
      <w:pPr>
        <w:pStyle w:val="FirstParagraph"/>
      </w:pPr>
      <w:r>
        <w:t xml:space="preserve">Figures are also generally created in separate notebooks and embedded into your manuscript.</w:t>
      </w:r>
    </w:p>
    <w:tbl>
      <w:tblPr>
        <w:tblStyle w:val="Table"/>
        <w:tblW w:type="pct" w:w="5000"/>
        <w:tblLook w:firstRow="0" w:lastRow="0" w:firstColumn="0" w:lastColumn="0" w:noHBand="0" w:noVBand="0" w:val="0000"/>
        <w:jc w:val="start"/>
        <w:tblLayout w:type="fixed"/>
      </w:tblPr>
      <w:tblGrid>
        <w:gridCol w:w="7920"/>
      </w:tblGrid>
      <w:tr>
        <w:tc>
          <w:tcPr/>
          <w:bookmarkStart w:id="28" w:name="fig-1"/>
          <w:p>
            <w:pPr>
              <w:pStyle w:val="Compact"/>
              <w:jc w:val="center"/>
            </w:pPr>
            <w:r>
              <w:drawing>
                <wp:inline>
                  <wp:extent cx="5334000" cy="3810000"/>
                  <wp:effectExtent b="0" l="0" r="0" t="0"/>
                  <wp:docPr descr="" title="" id="26" name="Picture"/>
                  <a:graphic>
                    <a:graphicData uri="http://schemas.openxmlformats.org/drawingml/2006/picture">
                      <pic:pic>
                        <pic:nvPicPr>
                          <pic:cNvPr descr="index_files/figure-docx/notebooks-fig1-fig-1-output-1.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Basic Barplot Figure</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Figure 1</w:t>
        </w:r>
      </w:hyperlink>
    </w:p>
    <w:p>
      <w:pPr>
        <w:pStyle w:val="BodyText"/>
      </w:pPr>
      <w:r>
        <w:t xml:space="preserve">We can also insert image files directly into our manuscript using images that are saved in the /images folder</w:t>
      </w:r>
    </w:p>
    <w:tbl>
      <w:tblPr>
        <w:tblStyle w:val="Table"/>
        <w:tblW w:type="pct" w:w="5000"/>
        <w:tblLook w:firstRow="0" w:lastRow="0" w:firstColumn="0" w:lastColumn="0" w:noHBand="0" w:noVBand="0" w:val="0000"/>
        <w:jc w:val="start"/>
        <w:tblLayout w:type="fixed"/>
      </w:tblPr>
      <w:tblGrid>
        <w:gridCol w:w="7920"/>
      </w:tblGrid>
      <w:tr>
        <w:tc>
          <w:tcPr/>
          <w:bookmarkStart w:id="33" w:name="fig-map"/>
          <w:p>
            <w:pPr>
              <w:pStyle w:val="Compact"/>
              <w:jc w:val="center"/>
            </w:pPr>
            <w:r>
              <w:drawing>
                <wp:inline>
                  <wp:extent cx="5334000" cy="2369740"/>
                  <wp:effectExtent b="0" l="0" r="0" t="0"/>
                  <wp:docPr descr="" title="" id="31" name="Picture"/>
                  <a:graphic>
                    <a:graphicData uri="http://schemas.openxmlformats.org/drawingml/2006/picture">
                      <pic:pic>
                        <pic:nvPicPr>
                          <pic:cNvPr descr="images/la-palma-map.png" id="32" name="Picture"/>
                          <pic:cNvPicPr>
                            <a:picLocks noChangeArrowheads="1" noChangeAspect="1"/>
                          </pic:cNvPicPr>
                        </pic:nvPicPr>
                        <pic:blipFill>
                          <a:blip r:embed="rId30"/>
                          <a:stretch>
                            <a:fillRect/>
                          </a:stretch>
                        </pic:blipFill>
                        <pic:spPr bwMode="auto">
                          <a:xfrm>
                            <a:off x="0" y="0"/>
                            <a:ext cx="5334000" cy="23697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Map of La Palma</w:t>
            </w:r>
          </w:p>
          <w:bookmarkEnd w:id="33"/>
        </w:tc>
      </w:tr>
    </w:tbl>
    <w:p>
      <w:pPr>
        <w:pStyle w:val="BodyText"/>
      </w:pPr>
      <w:r>
        <w:t xml:space="preserve">Alternatively, these images can be saved in a repository that is available via the web</w:t>
      </w:r>
    </w:p>
    <w:bookmarkEnd w:id="34"/>
    <w:bookmarkStart w:id="35" w:name="references"/>
    <w:p>
      <w:pPr>
        <w:pStyle w:val="Heading3"/>
      </w:pPr>
      <w:r>
        <w:t xml:space="preserve">References</w:t>
      </w:r>
    </w:p>
    <w:p>
      <w:pPr>
        <w:pStyle w:val="FirstParagraph"/>
      </w:pPr>
      <w:r>
        <w:t xml:space="preserve">We can use cite relevant research in multiple formats. The two most common are:</w:t>
      </w:r>
    </w:p>
    <w:p>
      <w:pPr>
        <w:numPr>
          <w:ilvl w:val="0"/>
          <w:numId w:val="1001"/>
        </w:numPr>
        <w:pStyle w:val="Compact"/>
      </w:pPr>
      <w:r>
        <w:t xml:space="preserve">Marrero et al. (2019)</w:t>
      </w:r>
      <w:r>
        <w:t xml:space="preserve"> </w:t>
      </w:r>
      <w:r>
        <w:t xml:space="preserve">concluded something.</w:t>
      </w:r>
      <w:r>
        <w:br/>
      </w:r>
    </w:p>
    <w:p>
      <w:pPr>
        <w:numPr>
          <w:ilvl w:val="0"/>
          <w:numId w:val="1001"/>
        </w:numPr>
        <w:pStyle w:val="Compact"/>
      </w:pPr>
      <w:r>
        <w:t xml:space="preserve">These are the conclusions</w:t>
      </w:r>
      <w:r>
        <w:t xml:space="preserve">(Marrero et al. 2019)</w:t>
      </w:r>
      <w:r>
        <w:t xml:space="preserve">.</w:t>
      </w:r>
    </w:p>
    <w:p>
      <w:pPr>
        <w:pStyle w:val="FirstParagraph"/>
      </w:pPr>
      <w:r>
        <w:t xml:space="preserve">Article references are stored in a .bib file using betterbibtex (BBT) format. We create these references in Zotero collections.</w:t>
      </w:r>
    </w:p>
    <w:p>
      <w:pPr>
        <w:pStyle w:val="BodyText"/>
      </w:pPr>
      <w:r>
        <w:t xml:space="preserve">You can also reference other sections in the paper (e.g., Methods are described in</w:t>
      </w:r>
      <w:r>
        <w:t xml:space="preserve"> </w:t>
      </w:r>
      <w:hyperlink w:anchor="sec-methods">
        <w:r>
          <w:rPr>
            <w:rStyle w:val="Hyperlink"/>
          </w:rPr>
          <w:t xml:space="preserve">Section 2</w:t>
        </w:r>
      </w:hyperlink>
      <w:r>
        <w:t xml:space="preserve">)</w:t>
      </w:r>
    </w:p>
    <w:p>
      <w:pPr>
        <w:pStyle w:val="BodyText"/>
      </w:pPr>
      <w:r>
        <w:t xml:space="preserve">You can reference them elsewhere using the @ symbol. Here is a reference to</w:t>
      </w:r>
      <w:r>
        <w:t xml:space="preserve"> </w:t>
      </w:r>
      <w:hyperlink w:anchor="fig-1">
        <w:r>
          <w:rPr>
            <w:rStyle w:val="Hyperlink"/>
          </w:rPr>
          <w:t xml:space="preserve">Figure 1</w:t>
        </w:r>
      </w:hyperlink>
    </w:p>
    <w:p>
      <w:pPr>
        <w:pStyle w:val="BodyText"/>
      </w:pPr>
      <w:r>
        <w:t xml:space="preserve">We can also reference this type of figure elsewhere if we want (</w:t>
      </w:r>
      <w:hyperlink w:anchor="fig-map">
        <w:r>
          <w:rPr>
            <w:rStyle w:val="Hyperlink"/>
          </w:rPr>
          <w:t xml:space="preserve">Figure 2</w:t>
        </w:r>
      </w:hyperlink>
      <w:r>
        <w:t xml:space="preserve">).</w:t>
      </w:r>
    </w:p>
    <w:bookmarkEnd w:id="35"/>
    <w:bookmarkEnd w:id="36"/>
    <w:bookmarkStart w:id="37" w:name="sec-methods"/>
    <w:p>
      <w:pPr>
        <w:pStyle w:val="Heading2"/>
      </w:pPr>
      <w:r>
        <w:t xml:space="preserve">Methods</w:t>
      </w:r>
    </w:p>
    <w:bookmarkEnd w:id="37"/>
    <w:bookmarkStart w:id="38" w:name="sec-results"/>
    <w:p>
      <w:pPr>
        <w:pStyle w:val="Heading2"/>
      </w:pPr>
      <w:r>
        <w:t xml:space="preserve">Results</w:t>
      </w:r>
    </w:p>
    <w:p>
      <w:pPr>
        <w:pStyle w:val="FirstParagraph"/>
      </w:pPr>
      <w:r>
        <w:t xml:space="preserve">We can also print results (HOW???)</w:t>
      </w:r>
      <w:r>
        <w:t xml:space="preserve"> </w:t>
      </w:r>
      <w:r>
        <w:rPr>
          <w:rStyle w:val="VerbatimChar"/>
        </w:rPr>
        <w:t xml:space="preserve">r summary(m)</w:t>
      </w:r>
    </w:p>
    <w:bookmarkEnd w:id="38"/>
    <w:bookmarkStart w:id="39" w:name="sec-discussion"/>
    <w:p>
      <w:pPr>
        <w:pStyle w:val="Heading2"/>
      </w:pPr>
      <w:r>
        <w:t xml:space="preserve">Discussion</w:t>
      </w:r>
    </w:p>
    <w:bookmarkEnd w:id="39"/>
    <w:bookmarkStart w:id="43" w:name="references-1"/>
    <w:p>
      <w:pPr>
        <w:pStyle w:val="Heading2"/>
      </w:pPr>
      <w:r>
        <w:t xml:space="preserve">References</w:t>
      </w:r>
    </w:p>
    <w:bookmarkStart w:id="42" w:name="refs"/>
    <w:bookmarkStart w:id="41" w:name="ref-marrero2019"/>
    <w:p>
      <w:pPr>
        <w:pStyle w:val="Bibliography"/>
      </w:pPr>
      <w:r>
        <w:t xml:space="preserve">Marrero, José, Alicia García, Manuel Berrocoso, Ángeles Llinares, Antonio Rodríguez-Losada, and R. Ortiz. 2019.</w:t>
      </w:r>
      <w:r>
        <w:t xml:space="preserve"> </w:t>
      </w:r>
      <w:r>
        <w:t xml:space="preserve">“Strategies for the Development of Volcanic Hazard Maps in Monogenetic Volcanic Fields: The Example of</w:t>
      </w:r>
      <w:r>
        <w:t xml:space="preserve"> </w:t>
      </w:r>
      <w:r>
        <w:t xml:space="preserve">La</w:t>
      </w:r>
      <w:r>
        <w:t xml:space="preserve"> </w:t>
      </w:r>
      <w:r>
        <w:t xml:space="preserve">Palma</w:t>
      </w:r>
      <w:r>
        <w:t xml:space="preserve"> </w:t>
      </w:r>
      <w:r>
        <w:t xml:space="preserve">(</w:t>
      </w:r>
      <w:r>
        <w:t xml:space="preserve">Canary</w:t>
      </w:r>
      <w:r>
        <w:t xml:space="preserve"> </w:t>
      </w:r>
      <w:r>
        <w:t xml:space="preserve">Islands</w:t>
      </w:r>
      <w:r>
        <w:t xml:space="preserve">).”</w:t>
      </w:r>
      <w:r>
        <w:t xml:space="preserve"> </w:t>
      </w:r>
      <w:r>
        <w:rPr>
          <w:iCs/>
          <w:i/>
        </w:rPr>
        <w:t xml:space="preserve">Journal of Applied Volcanology</w:t>
      </w:r>
      <w:r>
        <w:t xml:space="preserve"> </w:t>
      </w:r>
      <w:r>
        <w:t xml:space="preserve">8 (July).</w:t>
      </w:r>
      <w:r>
        <w:t xml:space="preserve"> </w:t>
      </w:r>
      <w:hyperlink r:id="rId40">
        <w:r>
          <w:rPr>
            <w:rStyle w:val="Hyperlink"/>
          </w:rPr>
          <w:t xml:space="preserve">https://doi.org/10.1186/s13617-019-0085-5</w:t>
        </w:r>
      </w:hyperlink>
      <w:r>
        <w:t xml:space="preserve">.</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40" Target="https://doi.org/10.1186/s13617-019-0085-5" TargetMode="External" /><Relationship Type="http://schemas.openxmlformats.org/officeDocument/2006/relationships/hyperlink" Id="rId29" Target="https://jjcurtin.github.io/study_template/notebooks/fig1-preview.html#cell-fig-1" TargetMode="External" /><Relationship Type="http://schemas.openxmlformats.org/officeDocument/2006/relationships/hyperlink" Id="rId21" Target="https://quarto.org/docs/authoring/markdown-basics.html#equations"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186/s13617-019-0085-5" TargetMode="External" /><Relationship Type="http://schemas.openxmlformats.org/officeDocument/2006/relationships/hyperlink" Id="rId29" Target="https://jjcurtin.github.io/study_template/notebooks/fig1-preview.html#cell-fig-1" TargetMode="External" /><Relationship Type="http://schemas.openxmlformats.org/officeDocument/2006/relationships/hyperlink" Id="rId21" Target="https://quarto.org/docs/authoring/markdown-basics.html#equ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Super Cool Study</dc:title>
  <dc:creator>Josephine Student; John J. Curtin</dc:creator>
  <cp:keywords>Substance use disorders, Precision mental health</cp:keywords>
  <dcterms:created xsi:type="dcterms:W3CDTF">2024-03-06T14:45:25Z</dcterms:created>
  <dcterms:modified xsi:type="dcterms:W3CDTF">2024-03-06T14:45:25Z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The ARC produces some of the best science around!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