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2024-07-29</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r>
        <w:t xml:space="preserve"> </w:t>
      </w:r>
      <w:r>
        <w:t xml:space="preserve"> </w:t>
      </w: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0"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8"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6"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5"/>
      </w:r>
    </w:p>
    <w:bookmarkEnd w:id="36"/>
    <w:bookmarkStart w:id="37"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37"/>
    <w:bookmarkEnd w:id="38"/>
    <w:bookmarkEnd w:id="39"/>
    <w:bookmarkEnd w:id="40"/>
    <w:bookmarkStart w:id="100" w:name="results"/>
    <w:p>
      <w:pPr>
        <w:pStyle w:val="Heading1"/>
      </w:pPr>
      <w:r>
        <w:t xml:space="preserve">Results</w:t>
      </w:r>
    </w:p>
    <w:bookmarkStart w:id="43"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1"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1"/>
          <w:p/>
        </w:tc>
      </w:tr>
    </w:tbl>
    <w:p>
      <w:pPr>
        <w:pStyle w:val="BodyText"/>
      </w:pPr>
      <w:r>
        <w:rPr>
          <w:vertAlign w:val="subscript"/>
        </w:rPr>
        <w:t xml:space="preserve">Source:</w:t>
      </w:r>
      <w:r>
        <w:rPr>
          <w:vertAlign w:val="subscript"/>
        </w:rPr>
        <w:t xml:space="preserve"> </w:t>
      </w:r>
      <w:hyperlink r:id="rId42">
        <w:r>
          <w:rPr>
            <w:rStyle w:val="Hyperlink"/>
            <w:vertAlign w:val="subscript"/>
          </w:rPr>
          <w:t xml:space="preserve">Make All Tables for Main Manuscript</w:t>
        </w:r>
      </w:hyperlink>
    </w:p>
    <w:bookmarkEnd w:id="43"/>
    <w:bookmarkStart w:id="49" w:name="model-evaluation-1"/>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334000" cy="3810000"/>
                  <wp:effectExtent b="0" l="0" r="0" t="0"/>
                  <wp:docPr descr="" title="" id="45" name="Picture"/>
                  <a:graphic>
                    <a:graphicData uri="http://schemas.openxmlformats.org/drawingml/2006/picture">
                      <pic:pic>
                        <pic:nvPicPr>
                          <pic:cNvPr descr="index_files/figure-docx/notebooks-mak_figures-fig-1-output-1.png" id="46" name="Picture"/>
                          <pic:cNvPicPr>
                            <a:picLocks noChangeArrowheads="1" noChangeAspect="1"/>
                          </pic:cNvPicPr>
                        </pic:nvPicPr>
                        <pic:blipFill>
                          <a:blip r:embed="rId4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Panel A depicts posterior probability for area under ROC curve (auROC) and Bayesian credible intervals by model. Dashed line indicates a model performing at chance. Panel B depicts difference in auROCs by demographic group</w:t>
            </w:r>
          </w:p>
          <w:bookmarkEnd w:id="47"/>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Figures for Main Manuscript</w:t>
        </w:r>
      </w:hyperlink>
    </w:p>
    <w:bookmarkEnd w:id="49"/>
    <w:bookmarkStart w:id="52" w:name="model-comparisons-1"/>
    <w:p>
      <w:pPr>
        <w:pStyle w:val="Heading2"/>
      </w:pPr>
      <w:r>
        <w:t xml:space="preserve">Model Comparisons</w:t>
      </w:r>
    </w:p>
    <w:bookmarkStart w:id="50"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increase in auROC for the baseline vs. 168 hour lag model was 0.023 (95% CI=[0.016-0.029]), yielding a significant probability of 1.000 that the lagged model had worse performance. The median increase in auROC for the baseline vs. 336 hour lag model was 0.041 (95% CI=[0.033-0.049]), yielding a significant probability of 1.000 that the lagged model had worse performance.</w:t>
      </w:r>
    </w:p>
    <w:bookmarkEnd w:id="50"/>
    <w:bookmarkStart w:id="51"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1"/>
    <w:bookmarkEnd w:id="52"/>
    <w:bookmarkStart w:id="53"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1</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of -0.159 (range NA–0.179) for non-Hispanic White participants compared to participants who were not White. On average there was a median increase in auROC of -0.080 (range -0.059–0.116) for male participants compared to female participants. On average there was a median increase in auROC of -0.092 (range -0.086–0.133) for participants above the federal poverty line compared to participants below the federal poverty line. A table of model performance for each demographic group separately by model can be found in the supplement.</w:t>
      </w:r>
    </w:p>
    <w:bookmarkEnd w:id="53"/>
    <w:bookmarkStart w:id="59"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2</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p>
      <w:pPr>
        <w:pStyle w:val="BodyText"/>
      </w:pPr>
      <w:r>
        <w:t xml:space="preserve">Panel B shows the local feature importance scores colored by high or low feature value for the 336 hour lag model.</w:t>
      </w:r>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fig-shap"/>
          <w:p>
            <w:pPr>
              <w:pStyle w:val="Compact"/>
              <w:jc w:val="center"/>
            </w:pPr>
            <w:r>
              <w:drawing>
                <wp:inline>
                  <wp:extent cx="5334000" cy="4191000"/>
                  <wp:effectExtent b="0" l="0" r="0" t="0"/>
                  <wp:docPr descr="" title="" id="55" name="Picture"/>
                  <a:graphic>
                    <a:graphicData uri="http://schemas.openxmlformats.org/drawingml/2006/picture">
                      <pic:pic>
                        <pic:nvPicPr>
                          <pic:cNvPr descr="index_files/figure-docx/notebooks-mak_figures-fig-shap-output-1.png" id="56" name="Picture"/>
                          <pic:cNvPicPr>
                            <a:picLocks noChangeArrowheads="1" noChangeAspect="1"/>
                          </pic:cNvPicPr>
                        </pic:nvPicPr>
                        <pic:blipFill>
                          <a:blip r:embed="rId54"/>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Make All Figures for Main Manuscript</w:t>
        </w:r>
      </w:hyperlink>
    </w:p>
    <w:bookmarkEnd w:id="59"/>
    <w:bookmarkStart w:id="60"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0"/>
    <w:bookmarkStart w:id="99" w:name="references"/>
    <w:p>
      <w:pPr>
        <w:pStyle w:val="Heading2"/>
      </w:pPr>
      <w:r>
        <w:t xml:space="preserve">References</w:t>
      </w:r>
    </w:p>
    <w:bookmarkStart w:id="98" w:name="refs"/>
    <w:bookmarkStart w:id="62"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1">
        <w:r>
          <w:rPr>
            <w:rStyle w:val="Hyperlink"/>
          </w:rPr>
          <w:t xml:space="preserve">https://doi.org/10.1016/j.addbeh.2017.11.039</w:t>
        </w:r>
      </w:hyperlink>
      <w:r>
        <w:t xml:space="preserve">.</w:t>
      </w:r>
    </w:p>
    <w:bookmarkEnd w:id="62"/>
    <w:bookmarkStart w:id="64"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3">
        <w:r>
          <w:rPr>
            <w:rStyle w:val="Hyperlink"/>
          </w:rPr>
          <w:t xml:space="preserve">https://doi.org/10.21231/GNT1-HW21</w:t>
        </w:r>
      </w:hyperlink>
      <w:r>
        <w:t xml:space="preserve">.</w:t>
      </w:r>
    </w:p>
    <w:bookmarkEnd w:id="64"/>
    <w:bookmarkStart w:id="66"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65">
        <w:r>
          <w:rPr>
            <w:rStyle w:val="Hyperlink"/>
          </w:rPr>
          <w:t xml:space="preserve">https://doi.org/10.1016/j.jsat.2013.08.004</w:t>
        </w:r>
      </w:hyperlink>
      <w:r>
        <w:t xml:space="preserve">.</w:t>
      </w:r>
    </w:p>
    <w:bookmarkEnd w:id="66"/>
    <w:bookmarkStart w:id="68"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67">
        <w:r>
          <w:rPr>
            <w:rStyle w:val="Hyperlink"/>
          </w:rPr>
          <w:t xml:space="preserve">https://doi.org/10.1016/j.brat.2019.103506</w:t>
        </w:r>
      </w:hyperlink>
      <w:r>
        <w:t xml:space="preserve">.</w:t>
      </w:r>
    </w:p>
    <w:bookmarkEnd w:id="68"/>
    <w:bookmarkStart w:id="70"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69">
        <w:r>
          <w:rPr>
            <w:rStyle w:val="Hyperlink"/>
          </w:rPr>
          <w:t xml:space="preserve">https://doi.org/10.1016/j.drugalcdep.2006.05.012</w:t>
        </w:r>
      </w:hyperlink>
      <w:r>
        <w:t xml:space="preserve">.</w:t>
      </w:r>
    </w:p>
    <w:bookmarkEnd w:id="70"/>
    <w:bookmarkStart w:id="71"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1"/>
    <w:bookmarkStart w:id="73"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2">
        <w:r>
          <w:rPr>
            <w:rStyle w:val="Hyperlink"/>
          </w:rPr>
          <w:t xml:space="preserve">https://doi.org/10.1001/jamanetworkopen.2020.5852</w:t>
        </w:r>
      </w:hyperlink>
      <w:r>
        <w:t xml:space="preserve">.</w:t>
      </w:r>
    </w:p>
    <w:bookmarkEnd w:id="73"/>
    <w:bookmarkStart w:id="75"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4">
        <w:r>
          <w:rPr>
            <w:rStyle w:val="Hyperlink"/>
          </w:rPr>
          <w:t xml:space="preserve">https://doi.org/10.1007/978-1-4614-6849-3</w:t>
        </w:r>
      </w:hyperlink>
      <w:r>
        <w:t xml:space="preserve">.</w:t>
      </w:r>
    </w:p>
    <w:bookmarkEnd w:id="75"/>
    <w:bookmarkStart w:id="7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76"/>
    <w:bookmarkStart w:id="78"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77">
        <w:r>
          <w:rPr>
            <w:rStyle w:val="Hyperlink"/>
          </w:rPr>
          <w:t xml:space="preserve">https://doi.org/10.1214/17-EJS1338SI</w:t>
        </w:r>
      </w:hyperlink>
      <w:r>
        <w:t xml:space="preserve">.</w:t>
      </w:r>
    </w:p>
    <w:bookmarkEnd w:id="78"/>
    <w:bookmarkStart w:id="79"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79"/>
    <w:bookmarkStart w:id="80"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0"/>
    <w:bookmarkStart w:id="8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1">
        <w:r>
          <w:rPr>
            <w:rStyle w:val="Hyperlink"/>
          </w:rPr>
          <w:t xml:space="preserve">https://doi.org/10.1016/j.jsat.2021.108710</w:t>
        </w:r>
      </w:hyperlink>
      <w:r>
        <w:t xml:space="preserve">.</w:t>
      </w:r>
    </w:p>
    <w:bookmarkEnd w:id="82"/>
    <w:bookmarkStart w:id="8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3">
        <w:r>
          <w:rPr>
            <w:rStyle w:val="Hyperlink"/>
          </w:rPr>
          <w:t xml:space="preserve">https://doi.org/10.1016/j.drugalcdep.2019.05.017</w:t>
        </w:r>
      </w:hyperlink>
      <w:r>
        <w:t xml:space="preserve">.</w:t>
      </w:r>
    </w:p>
    <w:bookmarkEnd w:id="84"/>
    <w:bookmarkStart w:id="8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85"/>
    <w:bookmarkStart w:id="87"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86">
        <w:r>
          <w:rPr>
            <w:rStyle w:val="Hyperlink"/>
          </w:rPr>
          <w:t xml:space="preserve">https://doi.org/10.1037/adb0000666</w:t>
        </w:r>
      </w:hyperlink>
      <w:r>
        <w:t xml:space="preserve">.</w:t>
      </w:r>
    </w:p>
    <w:bookmarkEnd w:id="87"/>
    <w:bookmarkStart w:id="89"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88">
        <w:r>
          <w:rPr>
            <w:rStyle w:val="Hyperlink"/>
          </w:rPr>
          <w:t xml:space="preserve">https://doi.org/10.1016/j.jsat.2021.108417</w:t>
        </w:r>
      </w:hyperlink>
      <w:r>
        <w:t xml:space="preserve">.</w:t>
      </w:r>
    </w:p>
    <w:bookmarkEnd w:id="89"/>
    <w:bookmarkStart w:id="91"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0">
        <w:r>
          <w:rPr>
            <w:rStyle w:val="Hyperlink"/>
          </w:rPr>
          <w:t xml:space="preserve">https://doi.org/10.1037/0003-066X.59.4.224</w:t>
        </w:r>
      </w:hyperlink>
      <w:r>
        <w:t xml:space="preserve">.</w:t>
      </w:r>
    </w:p>
    <w:bookmarkEnd w:id="91"/>
    <w:bookmarkStart w:id="93"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2">
        <w:r>
          <w:rPr>
            <w:rStyle w:val="Hyperlink"/>
          </w:rPr>
          <w:t xml:space="preserve">https://doi.org/10.1016/j.cpr.2007.01.002</w:t>
        </w:r>
      </w:hyperlink>
      <w:r>
        <w:t xml:space="preserve">.</w:t>
      </w:r>
    </w:p>
    <w:bookmarkEnd w:id="93"/>
    <w:bookmarkStart w:id="95"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4">
        <w:r>
          <w:rPr>
            <w:rStyle w:val="Hyperlink"/>
          </w:rPr>
          <w:t xml:space="preserve">https://doi.org/10.2196/41833</w:t>
        </w:r>
      </w:hyperlink>
      <w:r>
        <w:t xml:space="preserve">.</w:t>
      </w:r>
    </w:p>
    <w:bookmarkEnd w:id="95"/>
    <w:bookmarkStart w:id="97"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96">
        <w:r>
          <w:rPr>
            <w:rStyle w:val="Hyperlink"/>
          </w:rPr>
          <w:t xml:space="preserve">https://doi.org/10.31234/osf.io/cgsf7</w:t>
        </w:r>
      </w:hyperlink>
      <w:r>
        <w:t xml:space="preserve">.</w:t>
      </w:r>
    </w:p>
    <w:bookmarkEnd w:id="97"/>
    <w:bookmarkEnd w:id="98"/>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hyperlink" Id="rId72" Target="https://doi.org/10.1001/jamanetworkopen.2020.5852" TargetMode="External" /><Relationship Type="http://schemas.openxmlformats.org/officeDocument/2006/relationships/hyperlink" Id="rId74" Target="https://doi.org/10.1007/978-1-4614-6849-3" TargetMode="External" /><Relationship Type="http://schemas.openxmlformats.org/officeDocument/2006/relationships/hyperlink" Id="rId61" Target="https://doi.org/10.1016/j.addbeh.2017.11.039" TargetMode="External" /><Relationship Type="http://schemas.openxmlformats.org/officeDocument/2006/relationships/hyperlink" Id="rId67" Target="https://doi.org/10.1016/j.brat.2019.103506" TargetMode="External" /><Relationship Type="http://schemas.openxmlformats.org/officeDocument/2006/relationships/hyperlink" Id="rId92" Target="https://doi.org/10.1016/j.cpr.2007.01.002" TargetMode="External" /><Relationship Type="http://schemas.openxmlformats.org/officeDocument/2006/relationships/hyperlink" Id="rId69" Target="https://doi.org/10.1016/j.drugalcdep.2006.05.012" TargetMode="External" /><Relationship Type="http://schemas.openxmlformats.org/officeDocument/2006/relationships/hyperlink" Id="rId83" Target="https://doi.org/10.1016/j.drugalcdep.2019.05.017" TargetMode="External" /><Relationship Type="http://schemas.openxmlformats.org/officeDocument/2006/relationships/hyperlink" Id="rId65" Target="https://doi.org/10.1016/j.jsat.2013.08.004" TargetMode="External" /><Relationship Type="http://schemas.openxmlformats.org/officeDocument/2006/relationships/hyperlink" Id="rId88" Target="https://doi.org/10.1016/j.jsat.2021.108417" TargetMode="External" /><Relationship Type="http://schemas.openxmlformats.org/officeDocument/2006/relationships/hyperlink" Id="rId81" Target="https://doi.org/10.1016/j.jsat.2021.108710" TargetMode="External" /><Relationship Type="http://schemas.openxmlformats.org/officeDocument/2006/relationships/hyperlink" Id="rId90" Target="https://doi.org/10.1037/0003-066X.59.4.224" TargetMode="External" /><Relationship Type="http://schemas.openxmlformats.org/officeDocument/2006/relationships/hyperlink" Id="rId86" Target="https://doi.org/10.1037/adb0000666" TargetMode="External" /><Relationship Type="http://schemas.openxmlformats.org/officeDocument/2006/relationships/hyperlink" Id="rId77" Target="https://doi.org/10.1214/17-EJS1338SI" TargetMode="External" /><Relationship Type="http://schemas.openxmlformats.org/officeDocument/2006/relationships/hyperlink" Id="rId63" Target="https://doi.org/10.21231/GNT1-HW21" TargetMode="External" /><Relationship Type="http://schemas.openxmlformats.org/officeDocument/2006/relationships/hyperlink" Id="rId94" Target="https://doi.org/10.2196/41833" TargetMode="External" /><Relationship Type="http://schemas.openxmlformats.org/officeDocument/2006/relationships/hyperlink" Id="rId96"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8" Target="https://jjcurtin.github.io/study_lag/notebooks\mak_figures-preview.html#cell-fig-1" TargetMode="External" /><Relationship Type="http://schemas.openxmlformats.org/officeDocument/2006/relationships/hyperlink" Id="rId58" Target="https://jjcurtin.github.io/study_lag/notebooks\mak_figures-preview.html#cell-fig-shap" TargetMode="External" /><Relationship Type="http://schemas.openxmlformats.org/officeDocument/2006/relationships/hyperlink" Id="rId42"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1/jamanetworkopen.2020.5852" TargetMode="External" /><Relationship Type="http://schemas.openxmlformats.org/officeDocument/2006/relationships/hyperlink" Id="rId74" Target="https://doi.org/10.1007/978-1-4614-6849-3" TargetMode="External" /><Relationship Type="http://schemas.openxmlformats.org/officeDocument/2006/relationships/hyperlink" Id="rId61" Target="https://doi.org/10.1016/j.addbeh.2017.11.039" TargetMode="External" /><Relationship Type="http://schemas.openxmlformats.org/officeDocument/2006/relationships/hyperlink" Id="rId67" Target="https://doi.org/10.1016/j.brat.2019.103506" TargetMode="External" /><Relationship Type="http://schemas.openxmlformats.org/officeDocument/2006/relationships/hyperlink" Id="rId92" Target="https://doi.org/10.1016/j.cpr.2007.01.002" TargetMode="External" /><Relationship Type="http://schemas.openxmlformats.org/officeDocument/2006/relationships/hyperlink" Id="rId69" Target="https://doi.org/10.1016/j.drugalcdep.2006.05.012" TargetMode="External" /><Relationship Type="http://schemas.openxmlformats.org/officeDocument/2006/relationships/hyperlink" Id="rId83" Target="https://doi.org/10.1016/j.drugalcdep.2019.05.017" TargetMode="External" /><Relationship Type="http://schemas.openxmlformats.org/officeDocument/2006/relationships/hyperlink" Id="rId65" Target="https://doi.org/10.1016/j.jsat.2013.08.004" TargetMode="External" /><Relationship Type="http://schemas.openxmlformats.org/officeDocument/2006/relationships/hyperlink" Id="rId88" Target="https://doi.org/10.1016/j.jsat.2021.108417" TargetMode="External" /><Relationship Type="http://schemas.openxmlformats.org/officeDocument/2006/relationships/hyperlink" Id="rId81" Target="https://doi.org/10.1016/j.jsat.2021.108710" TargetMode="External" /><Relationship Type="http://schemas.openxmlformats.org/officeDocument/2006/relationships/hyperlink" Id="rId90" Target="https://doi.org/10.1037/0003-066X.59.4.224" TargetMode="External" /><Relationship Type="http://schemas.openxmlformats.org/officeDocument/2006/relationships/hyperlink" Id="rId86" Target="https://doi.org/10.1037/adb0000666" TargetMode="External" /><Relationship Type="http://schemas.openxmlformats.org/officeDocument/2006/relationships/hyperlink" Id="rId77" Target="https://doi.org/10.1214/17-EJS1338SI" TargetMode="External" /><Relationship Type="http://schemas.openxmlformats.org/officeDocument/2006/relationships/hyperlink" Id="rId63" Target="https://doi.org/10.21231/GNT1-HW21" TargetMode="External" /><Relationship Type="http://schemas.openxmlformats.org/officeDocument/2006/relationships/hyperlink" Id="rId94" Target="https://doi.org/10.2196/41833" TargetMode="External" /><Relationship Type="http://schemas.openxmlformats.org/officeDocument/2006/relationships/hyperlink" Id="rId96"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8" Target="https://jjcurtin.github.io/study_lag/notebooks\mak_figures-preview.html#cell-fig-1" TargetMode="External" /><Relationship Type="http://schemas.openxmlformats.org/officeDocument/2006/relationships/hyperlink" Id="rId58" Target="https://jjcurtin.github.io/study_lag/notebooks\mak_figures-preview.html#cell-fig-shap" TargetMode="External" /><Relationship Type="http://schemas.openxmlformats.org/officeDocument/2006/relationships/hyperlink" Id="rId42"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2024-07-30T14:31:27Z</dcterms:created>
  <dcterms:modified xsi:type="dcterms:W3CDTF">2024-07-30T14:31:27Z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2024-07-29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