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2024-12-04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All</w:t>
      </w:r>
      <w:r>
        <w:t xml:space="preserve"> </w:t>
      </w:r>
      <w:r>
        <w:t xml:space="preserve">models</w:t>
      </w:r>
      <w:r>
        <w:t xml:space="preserve"> </w:t>
      </w:r>
      <w:r>
        <w:t xml:space="preserve">performed</w:t>
      </w:r>
      <w:r>
        <w:t xml:space="preserve"> </w:t>
      </w:r>
      <w:r>
        <w:t xml:space="preserve">worse</w:t>
      </w:r>
      <w:r>
        <w:t xml:space="preserve"> </w:t>
      </w:r>
      <w:r>
        <w:t xml:space="preserve">for</w:t>
      </w:r>
      <w:r>
        <w:t xml:space="preserve"> </w:t>
      </w:r>
      <w:r>
        <w:t xml:space="preserve">disadvantaged</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4" w:name="introduction"/>
    <w:p>
      <w:pPr>
        <w:pStyle w:val="Heading1"/>
      </w:pPr>
      <w:r>
        <w:t xml:space="preserve">Introduction</w:t>
      </w:r>
    </w:p>
    <w:bookmarkStart w:id="21" w:name="precision-medicine"/>
    <w:p>
      <w:pPr>
        <w:pStyle w:val="Heading2"/>
      </w:pPr>
      <w:r>
        <w:t xml:space="preserve">Precision Medicine</w:t>
      </w:r>
    </w:p>
    <w:p>
      <w:pPr>
        <w:pStyle w:val="FirstParagraph"/>
      </w:pPr>
      <w:r>
        <w:t xml:space="preserve">Substance use disorders are chronic diseases, characterized by high relapse rates, frequent reentry into treatment, and an increased risk of mortality</w:t>
      </w:r>
      <w:r>
        <w:t xml:space="preserve"> </w:t>
      </w:r>
      <w:r>
        <w:t xml:space="preserve">(Dennis and Scott 2007)</w:t>
      </w:r>
      <w:r>
        <w:t xml:space="preserve">. Few individuals receive any treatment, and even fewer receive continuous care throughout their recovery</w:t>
      </w:r>
      <w:r>
        <w:t xml:space="preserve"> </w:t>
      </w:r>
      <w:r>
        <w:t xml:space="preserve">(SAMHSA Center for Behavioral Health Statistics and Quality 2021)</w:t>
      </w:r>
      <w:r>
        <w:t xml:space="preserve">. Continuing care, including ongoing monitoring and early re-intervention, has been well established as the gold standard for managing chronic health conditions such as diabetes, asthma, and HIV. Yet, continuing care for substance use disorders is largely lacking</w:t>
      </w:r>
      <w:r>
        <w:t xml:space="preserve"> </w:t>
      </w:r>
      <w:r>
        <w:t xml:space="preserve">(Stanojlović and Davidson 2021; Socías, Volkow, and Wood 2016)</w:t>
      </w:r>
      <w:r>
        <w:t xml:space="preserve">.</w:t>
      </w:r>
    </w:p>
    <w:p>
      <w:pPr>
        <w:pStyle w:val="BodyText"/>
      </w:pPr>
      <w:r>
        <w:t xml:space="preserve">Importantly, people need different types of support at different points in their recovery. Personalized monitoring of changes in relapse risk factors could help patients adapt their lifestyle, behaviors, and supports to successfully address these factors</w:t>
      </w:r>
      <w:r>
        <w:t xml:space="preserve"> </w:t>
      </w:r>
      <w:r>
        <w:t xml:space="preserve">(Kranzler and McKay 2012; Friedmann et al. 2004)</w:t>
      </w:r>
      <w:r>
        <w:t xml:space="preserve">. A precision medicine approach to automated continuous relapse risk monitoring and recovery support could help fill this gap in continuing care.</w:t>
      </w:r>
    </w:p>
    <w:p>
      <w:pPr>
        <w:pStyle w:val="BodyText"/>
      </w:pPr>
      <w:r>
        <w:t xml:space="preserve">Precision medicine has been a goal in healthcare for over half a century</w:t>
      </w:r>
      <w:r>
        <w:t xml:space="preserve"> </w:t>
      </w:r>
      <w:r>
        <w:t xml:space="preserve">(DeRubeis 2019)</w:t>
      </w:r>
      <w:r>
        <w:t xml:space="preserve">. Traditionally, it seeks to answer the question of</w:t>
      </w:r>
      <w:r>
        <w:t xml:space="preserve"> </w:t>
      </w:r>
      <w:r>
        <w:rPr>
          <w:iCs/>
          <w:i/>
        </w:rPr>
        <w:t xml:space="preserve">how</w:t>
      </w:r>
      <w:r>
        <w:t xml:space="preserve"> </w:t>
      </w:r>
      <w:r>
        <w:t xml:space="preserve">to best treat a specific individual, given their unique combination of genetic, lifestyle, and environmental characteristics (e.g., which medication is most effective for whom).</w:t>
      </w:r>
    </w:p>
    <w:p>
      <w:pPr>
        <w:pStyle w:val="BodyText"/>
      </w:pPr>
      <w:r>
        <w:t xml:space="preserve">Today, this approach extends to mental health conditions (i.e., precision mental health) such as depression, substance use disorders, and suicide. Mental health conditions are complex, fluctuating processes. Many medical conditions often have clear biological precursors, that can be treated well with a single medication. In contrast, mental health conditions are influenced by numerous psychosocial factors, and require a wide array of support options. Moreover, the factors driving mental health conditions differ between individuals and can change within an individual over time. Thus, precision mental health must consider both the</w:t>
      </w:r>
      <w:r>
        <w:t xml:space="preserve"> </w:t>
      </w:r>
      <w:r>
        <w:rPr>
          <w:iCs/>
          <w:i/>
        </w:rPr>
        <w:t xml:space="preserve">how</w:t>
      </w:r>
      <w:r>
        <w:t xml:space="preserve"> </w:t>
      </w:r>
      <w:r>
        <w:t xml:space="preserve">and the</w:t>
      </w:r>
      <w:r>
        <w:t xml:space="preserve"> </w:t>
      </w:r>
      <w:r>
        <w:rPr>
          <w:iCs/>
          <w:i/>
        </w:rPr>
        <w:t xml:space="preserve">when</w:t>
      </w:r>
      <w:r>
        <w:t xml:space="preserve"> </w:t>
      </w:r>
      <w:r>
        <w:t xml:space="preserve">(e.g., which treatment is most effective for whom at what moment).</w:t>
      </w:r>
    </w:p>
    <w:bookmarkEnd w:id="21"/>
    <w:bookmarkStart w:id="22" w:name="previous-work"/>
    <w:p>
      <w:pPr>
        <w:pStyle w:val="Heading2"/>
      </w:pPr>
      <w:r>
        <w:t xml:space="preserve">Previous Work</w:t>
      </w:r>
    </w:p>
    <w:p>
      <w:pPr>
        <w:pStyle w:val="FirstParagraph"/>
      </w:pPr>
      <w:r>
        <w:t xml:space="preserve">In early example of precision mental health applied to substance use disorders, the Project MATCH research group attempted to match individuals with alcohol use disorder to their optimal treatment based on baseline measures of individual characteristics</w:t>
      </w:r>
      <w:r>
        <w:t xml:space="preserve"> </w:t>
      </w:r>
      <w:r>
        <w:t xml:space="preserve">(Project Match Research Group 1997)</w:t>
      </w:r>
      <w:r>
        <w:t xml:space="preserve">. Unfortunately, early studies like these were methodologically constrained to use small sets of features (i.e., individual trait and demographic differences) that failed to capture the complex and heterogeneous nature of substance use disorders and use a single measurement point (i.e., at baseline)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can handle large sets of features and non-linear and interactive relationships between these features. As a result models better represent the nuanced complexity of mental health conditions. Moreover, machine learning tools can help understand which factors are important to a specific individual at a specific moment in time, addressing the question of</w:t>
      </w:r>
      <w:r>
        <w:t xml:space="preserve"> </w:t>
      </w:r>
      <w:r>
        <w:rPr>
          <w:iCs/>
          <w:i/>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Cs/>
          <w:i/>
        </w:rPr>
        <w:t xml:space="preserve">when</w:t>
      </w:r>
      <w:r>
        <w:t xml:space="preserve">. This precision is particularly important for predicting discrete symptoms or behaviors. It would be unreasonable to expect that we could predict a lapse with any temporal precision using only demographic and baseline characteristics that become more distal as time progresses. Rather, lapse prediction requires dense, long-term monitoring of symptoms and related states proximal to the outcome. 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 Moshontz et al. 2021)</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used all available data up until a moment in time to predict the probability of an alcohol lapse in the next week, day, and hour.</w:t>
      </w:r>
    </w:p>
    <w:p>
      <w:pPr>
        <w:pStyle w:val="BodyText"/>
      </w:pPr>
      <w:r>
        <w:t xml:space="preserve">Narrow prediction window widths (i.e., next hour or next day) are well suited for addressing immediate risk. These models can be dynamically updated (i.e., at least daily) to provide individuals information about changes in their risk and make supportive recommendations based on the top features contributing to their risk. For example, recommending a coping with craving activity when someone has increased craving, or recommending a guided relaxation video when someone is reporting recent stressful events. Importantly, this assumes that the recommendations can be implemented immediately.</w:t>
      </w:r>
    </w:p>
    <w:p>
      <w:pPr>
        <w:pStyle w:val="BodyText"/>
      </w:pPr>
      <w:r>
        <w:t xml:space="preserve">However, many appropriate support recommendations take time to set up, and are not available in the moment (e.g., attending a self-help meeting, planning an outing with important people in their life, or scheduling an appointment with a therapist). In these cases, patients would benefit from advanced warning about changes in their risk.</w:t>
      </w:r>
    </w:p>
    <w:p>
      <w:pPr>
        <w:pStyle w:val="BodyText"/>
      </w:pPr>
      <w:r>
        <w:t xml:space="preserve">While our next week model may be less helpful for addressing immediate risk, as a lapse can occur at any point in the week window (i.e., immediately up until one week from now). It may be preferred for as a</w:t>
      </w:r>
      <w:r>
        <w:t xml:space="preserve"> </w:t>
      </w:r>
      <w:r>
        <w:rPr>
          <w:iCs/>
          <w:i/>
        </w:rPr>
        <w:t xml:space="preserve">time-lagged</w:t>
      </w:r>
      <w:r>
        <w:t xml:space="preserve"> </w:t>
      </w:r>
      <w:r>
        <w:t xml:space="preserve">model where prediction windows are shifted further into the future (i.e., away from the moment in time the model is updated) to provide patients with increased lead time to implement supports not immediately available to them. A wider prediction window width (i.e, one week) will yield higher proportions of positive labels mitigating issues of an unbalanced outcome. Additionally, when scheduling real world support, it is important that the lead up time is adequate and not that the prediction is necessarily temporally precise.</w:t>
      </w:r>
    </w:p>
    <w:bookmarkEnd w:id="22"/>
    <w:bookmarkStart w:id="23" w:name="current-study"/>
    <w:p>
      <w:pPr>
        <w:pStyle w:val="Heading2"/>
      </w:pPr>
      <w:r>
        <w:t xml:space="preserve">Current Study</w:t>
      </w:r>
    </w:p>
    <w:p>
      <w:pPr>
        <w:pStyle w:val="FirstParagraph"/>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It is also important to look beyond overall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3"/>
    <w:bookmarkEnd w:id="24"/>
    <w:bookmarkStart w:id="49" w:name="methods"/>
    <w:p>
      <w:pPr>
        <w:pStyle w:val="Heading1"/>
      </w:pPr>
      <w:r>
        <w:t xml:space="preserve">Methods</w:t>
      </w:r>
    </w:p>
    <w:bookmarkStart w:id="26"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5">
        <w:r>
          <w:rPr>
            <w:rStyle w:val="Hyperlink"/>
          </w:rPr>
          <w:t xml:space="preserve">https://osf.io/xta67/</w:t>
        </w:r>
      </w:hyperlink>
      <w:r>
        <w:t xml:space="preserve">).</w:t>
      </w:r>
    </w:p>
    <w:bookmarkEnd w:id="26"/>
    <w:bookmarkStart w:id="27"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numPr>
          <w:ilvl w:val="0"/>
          <w:numId w:val="1001"/>
        </w:numPr>
        <w:pStyle w:val="Compact"/>
      </w:pPr>
      <w:r>
        <w:t xml:space="preserve">were age 18 or older,</w:t>
      </w:r>
    </w:p>
    <w:p>
      <w:pPr>
        <w:numPr>
          <w:ilvl w:val="0"/>
          <w:numId w:val="1001"/>
        </w:numPr>
        <w:pStyle w:val="Compact"/>
      </w:pPr>
      <w:r>
        <w:t xml:space="preserve">could write and read in English,</w:t>
      </w:r>
    </w:p>
    <w:p>
      <w:pPr>
        <w:numPr>
          <w:ilvl w:val="0"/>
          <w:numId w:val="1001"/>
        </w:numPr>
        <w:pStyle w:val="Compact"/>
      </w:pPr>
      <w:r>
        <w:t xml:space="preserve">had at least moderate AUD (&gt;= 4 self-reported DSM-5 symptoms),</w:t>
      </w:r>
    </w:p>
    <w:p>
      <w:pPr>
        <w:numPr>
          <w:ilvl w:val="0"/>
          <w:numId w:val="1001"/>
        </w:numPr>
        <w:pStyle w:val="Compact"/>
      </w:pPr>
      <w:r>
        <w:t xml:space="preserve">were abstinent from alcohol for 1-8 weeks, and</w:t>
      </w:r>
    </w:p>
    <w:p>
      <w:pPr>
        <w:numPr>
          <w:ilvl w:val="0"/>
          <w:numId w:val="1001"/>
        </w:numPr>
        <w:pStyle w:val="Compact"/>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7"/>
    <w:bookmarkStart w:id="28"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8"/>
    <w:bookmarkStart w:id="31" w:name="measures"/>
    <w:p>
      <w:pPr>
        <w:pStyle w:val="Heading2"/>
      </w:pPr>
      <w:r>
        <w:t xml:space="preserve">Measures</w:t>
      </w:r>
    </w:p>
    <w:bookmarkStart w:id="29"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9"/>
    <w:bookmarkStart w:id="30"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30"/>
    <w:bookmarkEnd w:id="31"/>
    <w:bookmarkStart w:id="4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7" w:name="predictions"/>
    <w:p>
      <w:pPr>
        <w:pStyle w:val="Heading3"/>
      </w:pPr>
      <w:r>
        <w:t xml:space="preserve">Predictions</w:t>
      </w:r>
    </w:p>
    <w:p>
      <w:pPr>
        <w:pStyle w:val="FirstParagraph"/>
      </w:pPr>
      <w:r>
        <w:t xml:space="preserve">A</w:t>
      </w:r>
      <w:r>
        <w:t xml:space="preserve"> </w:t>
      </w:r>
      <w:r>
        <w:rPr>
          <w:iCs/>
          <w:i/>
        </w:rPr>
        <w:t xml:space="preserve">prediction time point</w:t>
      </w:r>
      <w:r>
        <w:t xml:space="preserve"> </w:t>
      </w:r>
      <w:r>
        <w:t xml:space="preserve">is the hour at which our model calculated a predicted probability of a lapse. All available data up until, but not including, the prediction time point was used to generate these predictions. Prediction time points were updated hourly (</w:t>
      </w:r>
      <w:hyperlink w:anchor="fig-methods">
        <w:r>
          <w:rPr>
            <w:rStyle w:val="Hyperlink"/>
          </w:rPr>
          <w:t xml:space="preserve">Figure 1</w:t>
        </w:r>
      </w:hyperlink>
      <w:r>
        <w:t xml:space="preserve">, Panel A). The first prediction time point for each participant was 24 hours from midnight on their study start date. This ensured at least 24 hours of past EMAs for future lapse prediction at these first time points. Subsequent prediction time points for each participant repeatedly rolled hour-by-hour until the end of their study participation.</w:t>
      </w:r>
    </w:p>
    <w:p>
      <w:pPr>
        <w:pStyle w:val="BodyText"/>
      </w:pPr>
      <w:r>
        <w:t xml:space="preserve">The</w:t>
      </w:r>
      <w:r>
        <w:t xml:space="preserve"> </w:t>
      </w:r>
      <w:r>
        <w:rPr>
          <w:iCs/>
          <w:i/>
        </w:rPr>
        <w:t xml:space="preserve">prediction window</w:t>
      </w:r>
      <w:r>
        <w:t xml:space="preserve"> </w:t>
      </w:r>
      <w:r>
        <w:t xml:space="preserve">is the window of time in which a lapse might occur. The prediction window width for all our models was one week (i.e., models predicted the probability of a lapse occurring within a one week window). Prediction windows rolled forward hour-by-hour with the prediction time point (</w:t>
      </w:r>
      <w:hyperlink w:anchor="fig-methods">
        <w:r>
          <w:rPr>
            <w:rStyle w:val="Hyperlink"/>
          </w:rPr>
          <w:t xml:space="preserve">Figure 1</w:t>
        </w:r>
      </w:hyperlink>
      <w:r>
        <w:t xml:space="preserve">, Panel B).</w:t>
      </w:r>
    </w:p>
    <w:p>
      <w:pPr>
        <w:pStyle w:val="BodyText"/>
      </w:pPr>
      <w:r>
        <w:t xml:space="preserve">Finally, there were five possible</w:t>
      </w:r>
      <w:r>
        <w:t xml:space="preserve"> </w:t>
      </w:r>
      <w:r>
        <w:rPr>
          <w:iCs/>
          <w:i/>
        </w:rPr>
        <w:t xml:space="preserve">lag times</w:t>
      </w:r>
      <w:r>
        <w:t xml:space="preserve"> </w:t>
      </w:r>
      <w:r>
        <w:t xml:space="preserve">between the prediction time point and start of the prediction window. A prediction window either started immediately after the prediction time point (0 lag) or was lagged by 24, 72, 168, or 336 hours (</w:t>
      </w:r>
      <w:hyperlink w:anchor="fig-methods">
        <w:r>
          <w:rPr>
            <w:rStyle w:val="Hyperlink"/>
          </w:rPr>
          <w:t xml:space="preserve">Figure 1</w:t>
        </w:r>
      </w:hyperlink>
      <w:r>
        <w:t xml:space="preserve">, Panel B).</w:t>
      </w:r>
    </w:p>
    <w:p>
      <w:pPr>
        <w:pStyle w:val="BodyText"/>
      </w:pPr>
      <w:r>
        <w:t xml:space="preserve">Therefore, our models provided hour-by-hour probabilities of an alcohol lapse in the next week pushed out up to two weeks into the future.</w:t>
      </w:r>
    </w:p>
    <w:tbl>
      <w:tblPr>
        <w:tblStyle w:val="Table"/>
        <w:tblW w:type="pct" w:w="5000"/>
        <w:tblLook w:firstRow="0" w:lastRow="0" w:firstColumn="0" w:lastColumn="0" w:noHBand="0" w:noVBand="0" w:val="0000"/>
        <w:jc w:val="start"/>
        <w:tblLayout w:type="fixed"/>
      </w:tblPr>
      <w:tblGrid>
        <w:gridCol w:w="7920"/>
      </w:tblGrid>
      <w:tr>
        <w:tc>
          <w:tcPr/>
          <w:bookmarkStart w:id="35" w:name="fig-methods"/>
          <w:p>
            <w:pPr>
              <w:pStyle w:val="Compact"/>
              <w:jc w:val="center"/>
            </w:pPr>
            <w:r>
              <w:drawing>
                <wp:inline>
                  <wp:extent cx="5334000" cy="4240840"/>
                  <wp:effectExtent b="0" l="0" r="0" t="0"/>
                  <wp:docPr descr="" title="" id="33" name="Picture"/>
                  <a:graphic>
                    <a:graphicData uri="http://schemas.openxmlformats.org/drawingml/2006/picture">
                      <pic:pic>
                        <pic:nvPicPr>
                          <pic:cNvPr descr="index_files/figure-docx/notebooks-mak_figures-fig-methods-output-1.png" id="34" name="Picture"/>
                          <pic:cNvPicPr>
                            <a:picLocks noChangeArrowheads="1" noChangeAspect="1"/>
                          </pic:cNvPicPr>
                        </pic:nvPicPr>
                        <pic:blipFill>
                          <a:blip r:embed="rId32"/>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Figures for Main Manuscript</w:t>
        </w:r>
      </w:hyperlink>
    </w:p>
    <w:bookmarkEnd w:id="37"/>
    <w:bookmarkStart w:id="38"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8"/>
    <w:bookmarkStart w:id="39" w:name="feature-engineering"/>
    <w:p>
      <w:pPr>
        <w:pStyle w:val="Heading3"/>
      </w:pPr>
      <w:r>
        <w:t xml:space="preserve">Feature Engineering</w:t>
      </w:r>
    </w:p>
    <w:p>
      <w:pPr>
        <w:pStyle w:val="FirstParagraph"/>
      </w:pPr>
      <w:r>
        <w:t xml:space="preserve">Features were calculated using only data collected before the start of each prediction time point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Cs/>
          <w:i/>
        </w:rPr>
        <w:t xml:space="preserve">Previous EMA responses</w:t>
      </w:r>
      <w:r>
        <w:t xml:space="preserve">: We created raw EMA and change features for varying scoring epochs (i.e., 12, 24, 48, 72, and 168 hours) before the prediction time point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9"/>
    <w:bookmarkStart w:id="47" w:name="model-training-and-evaluation"/>
    <w:p>
      <w:pPr>
        <w:pStyle w:val="Heading3"/>
      </w:pPr>
      <w:r>
        <w:t xml:space="preserve">Model Training and Evaluation</w:t>
      </w:r>
    </w:p>
    <w:bookmarkStart w:id="40"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40"/>
    <w:bookmarkStart w:id="41"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41"/>
    <w:bookmarkStart w:id="43"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42"/>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3"/>
    <w:bookmarkStart w:id="46"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4"/>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5"/>
      </w:r>
    </w:p>
    <w:bookmarkEnd w:id="46"/>
    <w:bookmarkEnd w:id="47"/>
    <w:bookmarkEnd w:id="48"/>
    <w:bookmarkEnd w:id="49"/>
    <w:bookmarkStart w:id="125" w:name="results"/>
    <w:p>
      <w:pPr>
        <w:pStyle w:val="Heading1"/>
      </w:pPr>
      <w:r>
        <w:t xml:space="preserve">Results</w:t>
      </w:r>
    </w:p>
    <w:bookmarkStart w:id="52"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lapse characteristics of our sample (N = 151).</w:t>
      </w:r>
    </w:p>
    <w:tbl>
      <w:tblPr>
        <w:tblStyle w:val="Table"/>
        <w:tblW w:type="pct" w:w="5000"/>
        <w:tblLook w:firstRow="0" w:lastRow="0" w:firstColumn="0" w:lastColumn="0" w:noHBand="0" w:noVBand="0" w:val="0000"/>
        <w:jc w:val="start"/>
        <w:tblLayout w:type="fixed"/>
      </w:tblPr>
      <w:tblGrid>
        <w:gridCol w:w="7920"/>
      </w:tblGrid>
      <w:tr>
        <w:tc>
          <w:tcPr/>
          <w:bookmarkStart w:id="50" w:name="tbl-demohtml"/>
          <w:p>
            <w:pPr>
              <w:jc w:val="center"/>
            </w:pPr>
            <w:pPr>
              <w:jc w:val="start"/>
              <w:spacing w:before="200"/>
              <w:pStyle w:val="ImageCaption"/>
            </w:pPr>
            <w:r>
              <w:t xml:space="preserve">Table 1: Demographic and Lapse Characteristics</w:t>
            </w:r>
          </w:p>
          <w:tbl>
            <w:tblPr>
              <w:tblStyle w:val="Table"/>
              <w:tblW w:type="pct" w:w="4894"/>
              <w:tblLook w:firstRow="1" w:lastRow="0" w:firstColumn="0" w:lastColumn="0" w:noHBand="0" w:noVBand="0" w:val="0020"/>
              <w:jc w:val="start"/>
              <w:tblLayout w:type="fixed"/>
            </w:tblPr>
            <w:tblGrid>
              <w:gridCol w:w="3622"/>
              <w:gridCol w:w="505"/>
              <w:gridCol w:w="589"/>
              <w:gridCol w:w="926"/>
              <w:gridCol w:w="926"/>
              <w:gridCol w:w="1179"/>
            </w:tblGrid>
            <w:tr>
              <w:trPr>
                <w:tblHeader w:val="true"/>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Main Manuscript</w:t>
        </w:r>
      </w:hyperlink>
    </w:p>
    <w:bookmarkEnd w:id="52"/>
    <w:bookmarkStart w:id="58" w:name="model-evaluation"/>
    <w:p>
      <w:pPr>
        <w:pStyle w:val="Heading2"/>
      </w:pPr>
      <w:r>
        <w:t xml:space="preserve">Model Evaluation</w:t>
      </w:r>
    </w:p>
    <w:p>
      <w:pPr>
        <w:pStyle w:val="FirstParagraph"/>
      </w:pPr>
      <w:r>
        <w:t xml:space="preserve">Histograms of the full posterior probability distributions for auROC for each model are available in the supplement. The median auROCs from these posterior distributions were 0.892 (baseline), 0.886 (24 hour lag), 0.874 (72 hour lag), 0.869 (168 hour lag), and 0.851 (336 hour lag). These values represent our best estimates for the magnitude of the auROC parameter for each model. The 95% Bayesian CI for the auROCs for these models were relatively narrow and did not contain 0.5: baseline [0.872-0.910], 24 hour lag [0.865-0.905], 72 hour lag [0.851-0.894], 168 hour lag [0.846-0.891], 336 hour lag [0.825-0.874]. Panel A in</w:t>
      </w:r>
      <w:r>
        <w:t xml:space="preserve"> </w:t>
      </w:r>
      <w:hyperlink w:anchor="fig-2">
        <w:r>
          <w:rPr>
            <w:rStyle w:val="Hyperlink"/>
          </w:rPr>
          <w:t xml:space="preserve">Figure 2</w:t>
        </w:r>
      </w:hyperlink>
      <w:r>
        <w:t xml:space="preserve"> </w:t>
      </w:r>
      <w:r>
        <w:t xml:space="preserve">displays these median auROCs and 95% Bayesian CIs by model. A description of feature importance by model is available in the supplement.</w:t>
      </w:r>
    </w:p>
    <w:tbl>
      <w:tblPr>
        <w:tblStyle w:val="Table"/>
        <w:tblW w:type="pct" w:w="5000"/>
        <w:tblLook w:firstRow="0" w:lastRow="0" w:firstColumn="0" w:lastColumn="0" w:noHBand="0" w:noVBand="0" w:val="0000"/>
        <w:jc w:val="start"/>
        <w:tblLayout w:type="fixed"/>
      </w:tblPr>
      <w:tblGrid>
        <w:gridCol w:w="7920"/>
      </w:tblGrid>
      <w:tr>
        <w:tc>
          <w:tcPr/>
          <w:bookmarkStart w:id="56" w:name="fig-2"/>
          <w:p>
            <w:pPr>
              <w:pStyle w:val="Compact"/>
              <w:jc w:val="center"/>
            </w:pPr>
            <w:r>
              <w:drawing>
                <wp:inline>
                  <wp:extent cx="5334000" cy="4000500"/>
                  <wp:effectExtent b="0" l="0" r="0" t="0"/>
                  <wp:docPr descr="" title="" id="54" name="Picture"/>
                  <a:graphic>
                    <a:graphicData uri="http://schemas.openxmlformats.org/drawingml/2006/picture">
                      <pic:pic>
                        <pic:nvPicPr>
                          <pic:cNvPr descr="index_files/figure-docx/notebooks-mak_figures-fig-2-output-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in displays the median posterior probability for area under ROC curve (auROC) and 95% Bayesian CI for each lagged model (0, 24, 72, 168, 336 hours). Dashed line represents a random classifier with an auROC of .5. Panels B-D display the median auROC and Bayesian credible interval by model and fairness contrast. The darker lines represent the advantaged groups (White, male, above poverty) and the lighter lines represent the disadvantaged groups (not-White, female, below poverty). Dashed line represents a random classifier with an auROC of .5.</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61" w:name="model-comparisons"/>
    <w:p>
      <w:pPr>
        <w:pStyle w:val="Heading2"/>
      </w:pPr>
      <w:r>
        <w:t xml:space="preserve">Model Comparisons</w:t>
      </w:r>
    </w:p>
    <w:p>
      <w:pPr>
        <w:pStyle w:val="FirstParagraph"/>
      </w:pPr>
      <w:hyperlink w:anchor="tbl-contrast">
        <w:r>
          <w:rPr>
            <w:rStyle w:val="Hyperlink"/>
          </w:rPr>
          <w:t xml:space="preserve">Table 2</w:t>
        </w:r>
      </w:hyperlink>
      <w:r>
        <w:t xml:space="preserve"> </w:t>
      </w:r>
      <w:r>
        <w:t xml:space="preserve">presents the median difference in auROC, 95% Bayesian CI, and posterior probability that that the auROC difference was greater than 0 for all baseline and adjacent lag contrasts. There was strong evidence (probabilities &gt; .95) that the lagged models performed worse than the baseline (no lag) model, with average drops in auROC ranging from 0.006-0.041. There was also moderately strong evidence (probabilities &gt; .86) that the more lagged models performed worse than the previous adjacent lag, with average drops in auROC ranging from 0.004-0.018.</w:t>
      </w:r>
    </w:p>
    <w:tbl>
      <w:tblPr>
        <w:tblStyle w:val="Table"/>
        <w:tblW w:type="pct" w:w="5000"/>
        <w:tblLook w:firstRow="0" w:lastRow="0" w:firstColumn="0" w:lastColumn="0" w:noHBand="0" w:noVBand="0" w:val="0000"/>
        <w:jc w:val="start"/>
        <w:tblLayout w:type="fixed"/>
      </w:tblPr>
      <w:tblGrid>
        <w:gridCol w:w="7920"/>
      </w:tblGrid>
      <w:tr>
        <w:tc>
          <w:tcPr/>
          <w:bookmarkStart w:id="59" w:name="tbl-contrast"/>
          <w:p>
            <w:pPr>
              <w:jc w:val="center"/>
            </w:pPr>
            <w:pPr>
              <w:jc w:val="start"/>
              <w:spacing w:before="200"/>
              <w:pStyle w:val="ImageCaption"/>
            </w:pPr>
            <w:r>
              <w:t xml:space="preserve">Table 2: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0 vs. 24</w:t>
                  </w:r>
                </w:p>
              </w:tc>
              <w:tc>
                <w:tcPr/>
                <w:p>
                  <w:pPr>
                    <w:pStyle w:val="Compact"/>
                    <w:jc w:val="left"/>
                    <w:jc w:val="center"/>
                  </w:pPr>
                  <w:r>
                    <w:t xml:space="preserve">0.006</w:t>
                  </w:r>
                </w:p>
              </w:tc>
              <w:tc>
                <w:tcPr/>
                <w:p>
                  <w:pPr>
                    <w:pStyle w:val="Compact"/>
                    <w:jc w:val="left"/>
                    <w:jc w:val="center"/>
                  </w:pPr>
                  <w:r>
                    <w:t xml:space="preserve">[0, 0.012]</w:t>
                  </w:r>
                </w:p>
              </w:tc>
              <w:tc>
                <w:tcPr/>
                <w:p>
                  <w:pPr>
                    <w:pStyle w:val="Compact"/>
                    <w:jc w:val="left"/>
                    <w:jc w:val="center"/>
                  </w:pPr>
                  <w:r>
                    <w:t xml:space="preserve">0.956</w:t>
                  </w:r>
                </w:p>
              </w:tc>
            </w:tr>
            <w:tr>
              <w:tc>
                <w:tcPr/>
                <w:p>
                  <w:pPr>
                    <w:pStyle w:val="Compact"/>
                    <w:jc w:val="left"/>
                    <w:jc w:val="center"/>
                  </w:pPr>
                  <w:r>
                    <w:t xml:space="preserve">0 vs. 72</w:t>
                  </w:r>
                </w:p>
              </w:tc>
              <w:tc>
                <w:tcPr/>
                <w:p>
                  <w:pPr>
                    <w:pStyle w:val="Compact"/>
                    <w:jc w:val="left"/>
                    <w:jc w:val="center"/>
                  </w:pPr>
                  <w:r>
                    <w:t xml:space="preserve">0.018</w:t>
                  </w:r>
                </w:p>
              </w:tc>
              <w:tc>
                <w:tcPr/>
                <w:p>
                  <w:pPr>
                    <w:pStyle w:val="Compact"/>
                    <w:jc w:val="left"/>
                    <w:jc w:val="center"/>
                  </w:pPr>
                  <w:r>
                    <w:t xml:space="preserve">[0.012, 0.025]</w:t>
                  </w:r>
                </w:p>
              </w:tc>
              <w:tc>
                <w:tcPr/>
                <w:p>
                  <w:pPr>
                    <w:pStyle w:val="Compact"/>
                    <w:jc w:val="left"/>
                    <w:jc w:val="center"/>
                  </w:pPr>
                  <w:r>
                    <w:t xml:space="preserve">1</w:t>
                  </w:r>
                </w:p>
              </w:tc>
            </w:tr>
            <w:tr>
              <w:tc>
                <w:tcPr/>
                <w:p>
                  <w:pPr>
                    <w:pStyle w:val="Compact"/>
                    <w:jc w:val="left"/>
                    <w:jc w:val="center"/>
                  </w:pPr>
                  <w:r>
                    <w:t xml:space="preserve">0 vs. 168</w:t>
                  </w:r>
                </w:p>
              </w:tc>
              <w:tc>
                <w:tcPr/>
                <w:p>
                  <w:pPr>
                    <w:pStyle w:val="Compact"/>
                    <w:jc w:val="left"/>
                    <w:jc w:val="center"/>
                  </w:pPr>
                  <w:r>
                    <w:t xml:space="preserve">0.023</w:t>
                  </w:r>
                </w:p>
              </w:tc>
              <w:tc>
                <w:tcPr/>
                <w:p>
                  <w:pPr>
                    <w:pStyle w:val="Compact"/>
                    <w:jc w:val="left"/>
                    <w:jc w:val="center"/>
                  </w:pPr>
                  <w:r>
                    <w:t xml:space="preserve">[0.016, 0.029]</w:t>
                  </w:r>
                </w:p>
              </w:tc>
              <w:tc>
                <w:tcPr/>
                <w:p>
                  <w:pPr>
                    <w:pStyle w:val="Compact"/>
                    <w:jc w:val="left"/>
                    <w:jc w:val="center"/>
                  </w:pPr>
                  <w:r>
                    <w:t xml:space="preserve">1</w:t>
                  </w:r>
                </w:p>
              </w:tc>
            </w:tr>
            <w:tr>
              <w:tc>
                <w:tcPr/>
                <w:p>
                  <w:pPr>
                    <w:pStyle w:val="Compact"/>
                    <w:jc w:val="left"/>
                    <w:jc w:val="center"/>
                  </w:pPr>
                  <w:r>
                    <w:t xml:space="preserve">0 vs. 336</w:t>
                  </w:r>
                </w:p>
              </w:tc>
              <w:tc>
                <w:tcPr/>
                <w:p>
                  <w:pPr>
                    <w:pStyle w:val="Compact"/>
                    <w:jc w:val="left"/>
                    <w:jc w:val="center"/>
                  </w:pPr>
                  <w:r>
                    <w:t xml:space="preserve">0.041</w:t>
                  </w:r>
                </w:p>
              </w:tc>
              <w:tc>
                <w:tcPr/>
                <w:p>
                  <w:pPr>
                    <w:pStyle w:val="Compact"/>
                    <w:jc w:val="left"/>
                    <w:jc w:val="center"/>
                  </w:pPr>
                  <w:r>
                    <w:t xml:space="preserve">[0.033, 0.05]</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24 vs. 72</w:t>
                  </w:r>
                </w:p>
              </w:tc>
              <w:tc>
                <w:tcPr/>
                <w:p>
                  <w:pPr>
                    <w:pStyle w:val="Compact"/>
                    <w:jc w:val="left"/>
                    <w:jc w:val="center"/>
                  </w:pPr>
                  <w:r>
                    <w:t xml:space="preserve">0.012</w:t>
                  </w:r>
                </w:p>
              </w:tc>
              <w:tc>
                <w:tcPr/>
                <w:p>
                  <w:pPr>
                    <w:pStyle w:val="Compact"/>
                    <w:jc w:val="left"/>
                    <w:jc w:val="center"/>
                  </w:pPr>
                  <w:r>
                    <w:t xml:space="preserve">[0.006, 0.019]</w:t>
                  </w:r>
                </w:p>
              </w:tc>
              <w:tc>
                <w:tcPr/>
                <w:p>
                  <w:pPr>
                    <w:pStyle w:val="Compact"/>
                    <w:jc w:val="left"/>
                    <w:jc w:val="center"/>
                  </w:pPr>
                  <w:r>
                    <w:t xml:space="preserve">0.999</w:t>
                  </w:r>
                </w:p>
              </w:tc>
            </w:tr>
            <w:tr>
              <w:tc>
                <w:tcPr/>
                <w:p>
                  <w:pPr>
                    <w:pStyle w:val="Compact"/>
                    <w:jc w:val="left"/>
                    <w:jc w:val="center"/>
                  </w:pPr>
                  <w:r>
                    <w:t xml:space="preserve">72 vs. 168</w:t>
                  </w:r>
                </w:p>
              </w:tc>
              <w:tc>
                <w:tcPr/>
                <w:p>
                  <w:pPr>
                    <w:pStyle w:val="Compact"/>
                    <w:jc w:val="left"/>
                    <w:jc w:val="center"/>
                  </w:pPr>
                  <w:r>
                    <w:t xml:space="preserve">0.004</w:t>
                  </w:r>
                </w:p>
              </w:tc>
              <w:tc>
                <w:tcPr/>
                <w:p>
                  <w:pPr>
                    <w:pStyle w:val="Compact"/>
                    <w:jc w:val="left"/>
                    <w:jc w:val="center"/>
                  </w:pPr>
                  <w:r>
                    <w:t xml:space="preserve">[-0.002, 0.011]</w:t>
                  </w:r>
                </w:p>
              </w:tc>
              <w:tc>
                <w:tcPr/>
                <w:p>
                  <w:pPr>
                    <w:pStyle w:val="Compact"/>
                    <w:jc w:val="left"/>
                    <w:jc w:val="center"/>
                  </w:pPr>
                  <w:r>
                    <w:t xml:space="preserve">0.862</w:t>
                  </w:r>
                </w:p>
              </w:tc>
            </w:tr>
            <w:tr>
              <w:tc>
                <w:tcPr/>
                <w:p>
                  <w:pPr>
                    <w:pStyle w:val="Compact"/>
                    <w:jc w:val="left"/>
                    <w:jc w:val="center"/>
                  </w:pPr>
                  <w:r>
                    <w:t xml:space="preserve">168 vs. 336</w:t>
                  </w:r>
                </w:p>
              </w:tc>
              <w:tc>
                <w:tcPr/>
                <w:p>
                  <w:pPr>
                    <w:pStyle w:val="Compact"/>
                    <w:jc w:val="left"/>
                    <w:jc w:val="center"/>
                  </w:pPr>
                  <w:r>
                    <w:t xml:space="preserve">0.018</w:t>
                  </w:r>
                </w:p>
              </w:tc>
              <w:tc>
                <w:tcPr/>
                <w:p>
                  <w:pPr>
                    <w:pStyle w:val="Compact"/>
                    <w:jc w:val="left"/>
                    <w:jc w:val="center"/>
                  </w:pPr>
                  <w:r>
                    <w:t xml:space="preserve">[0.011, 0.026]</w:t>
                  </w:r>
                </w:p>
              </w:tc>
              <w:tc>
                <w:tcPr/>
                <w:p>
                  <w:pPr>
                    <w:pStyle w:val="Compact"/>
                    <w:jc w:val="left"/>
                    <w:jc w:val="center"/>
                  </w:pPr>
                  <w:r>
                    <w:t xml:space="preserve">1</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All Tables for Main Manuscript</w:t>
        </w:r>
      </w:hyperlink>
    </w:p>
    <w:bookmarkEnd w:id="61"/>
    <w:bookmarkStart w:id="62" w:name="fairness-analyses-1"/>
    <w:p>
      <w:pPr>
        <w:pStyle w:val="Heading2"/>
      </w:pPr>
      <w:r>
        <w:t xml:space="preserve">Fairness Analyses</w:t>
      </w:r>
    </w:p>
    <w:p>
      <w:pPr>
        <w:pStyle w:val="FirstParagraph"/>
      </w:pPr>
      <w:r>
        <w:t xml:space="preserve">Panels B-D in</w:t>
      </w:r>
      <w:r>
        <w:t xml:space="preserve"> </w:t>
      </w:r>
      <w:hyperlink w:anchor="fig-2">
        <w:r>
          <w:rPr>
            <w:rStyle w:val="Hyperlink"/>
          </w:rPr>
          <w:t xml:space="preserve">Figure 2</w:t>
        </w:r>
      </w:hyperlink>
      <w:r>
        <w:t xml:space="preserve"> </w:t>
      </w:r>
      <w:r>
        <w:t xml:space="preserve">shows the median auROC and credible intervals for each model separately by race (not White;</w:t>
      </w:r>
      <w:r>
        <w:t xml:space="preserve"> </w:t>
      </w:r>
      <w:r>
        <w:rPr>
          <w:iCs/>
          <w:i/>
        </w:rPr>
        <w:t xml:space="preserve">N</w:t>
      </w:r>
      <w:r>
        <w:t xml:space="preserve"> </w:t>
      </w:r>
      <w:r>
        <w:t xml:space="preserve">= 20 vs. Non-Hispanic White;</w:t>
      </w:r>
      <w:r>
        <w:t xml:space="preserve"> </w:t>
      </w:r>
      <w:r>
        <w:rPr>
          <w:iCs/>
          <w:i/>
        </w:rPr>
        <w:t xml:space="preserve">N</w:t>
      </w:r>
      <w:r>
        <w:t xml:space="preserve"> </w:t>
      </w:r>
      <w:r>
        <w:t xml:space="preserve">= 131), sex at birth (female;</w:t>
      </w:r>
      <w:r>
        <w:t xml:space="preserve"> </w:t>
      </w:r>
      <w:r>
        <w:rPr>
          <w:iCs/>
          <w:i/>
        </w:rPr>
        <w:t xml:space="preserve">N</w:t>
      </w:r>
      <w:r>
        <w:t xml:space="preserve"> </w:t>
      </w:r>
      <w:r>
        <w:t xml:space="preserve">= 74 vs. male;</w:t>
      </w:r>
      <w:r>
        <w:t xml:space="preserve"> </w:t>
      </w:r>
      <w:r>
        <w:rPr>
          <w:iCs/>
          <w:i/>
        </w:rPr>
        <w:t xml:space="preserve">N</w:t>
      </w:r>
      <w:r>
        <w:t xml:space="preserve"> </w:t>
      </w:r>
      <w:r>
        <w:t xml:space="preserve">= 77), and income (below poverty;</w:t>
      </w:r>
      <w:r>
        <w:t xml:space="preserve"> </w:t>
      </w:r>
      <w:r>
        <w:rPr>
          <w:iCs/>
          <w:i/>
        </w:rPr>
        <w:t xml:space="preserve">N</w:t>
      </w:r>
      <w:r>
        <w:t xml:space="preserve"> </w:t>
      </w:r>
      <w:r>
        <w:t xml:space="preserve">= 18 vs. above poverty;</w:t>
      </w:r>
      <w:r>
        <w:t xml:space="preserve"> </w:t>
      </w:r>
      <w:r>
        <w:rPr>
          <w:iCs/>
          <w:i/>
        </w:rPr>
        <w:t xml:space="preserve">N</w:t>
      </w:r>
      <w:r>
        <w:t xml:space="preserve"> </w:t>
      </w:r>
      <w:r>
        <w:t xml:space="preserve">= 133). There was strong evidence (probabilities &gt; .98) that our models performed better for the advantaged groups (White, male, above poverty) compared to the disadvantaged groups (not-White, female, below poverty). On average there was a median decrease in auROC of 0.161 (range 0.108-0.175) for participants who were not White compared to non-Hispanic White participants. On average there was a median decrease in auROC of 0.080 (range 0.058-0.116) for female participants compared to male participants. On average there was a median decrease in auROC of 0.092 (range 0.087-0.133) for participants below the federal poverty line compared to participants above the federal poverty line. We also report the median difference in auROC, 95% Bayesian CI, and posterior probability that that the auROC difference was greater than 0 for all comparisons separately by model in the supplement.</w:t>
      </w:r>
    </w:p>
    <w:bookmarkEnd w:id="62"/>
    <w:bookmarkStart w:id="63" w:name="discussion"/>
    <w:p>
      <w:pPr>
        <w:pStyle w:val="Heading2"/>
      </w:pPr>
      <w:r>
        <w:t xml:space="preserve">Discussion</w:t>
      </w:r>
    </w:p>
    <w:bookmarkEnd w:id="63"/>
    <w:bookmarkStart w:id="64"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decrease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prediction time point. Still, we wish to emphasize that our lowest auROC (.85) is still excellent, and the benefit of advanced notice likely outweighs the cost to performance.</w:t>
      </w:r>
    </w:p>
    <w:bookmarkEnd w:id="64"/>
    <w:bookmarkStart w:id="65" w:name="model-fairness"/>
    <w:p>
      <w:pPr>
        <w:pStyle w:val="Heading2"/>
      </w:pPr>
      <w:r>
        <w:t xml:space="preserve">Model Fairness</w:t>
      </w:r>
    </w:p>
    <w:p>
      <w:pPr>
        <w:pStyle w:val="FirstParagraph"/>
      </w:pPr>
      <w:r>
        <w:t xml:space="preserve">All models performed worse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disadvantaged group representation in the data (e.g., using synthetic minority oversampling technique). We also could adjust the penalty weights so that prediction errors for disadvantaged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inherently capture time series data and allow for the modeling of how an individual’s risk evolves over time from observable and latent states.</w:t>
      </w:r>
    </w:p>
    <w:p>
      <w:pPr>
        <w:pStyle w:val="BodyText"/>
      </w:pPr>
      <w:r>
        <w:t xml:space="preserve">However, sex was adequately represented in our sample. We were surprised to see model performance was significantly worse for women compared to men. This finding suggests representation in our data is not the only factor affecting model fairness.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5"/>
    <w:bookmarkStart w:id="66" w:name="X40ab624ebf83813907a18dba36edd4d1d14a553"/>
    <w:p>
      <w:pPr>
        <w:pStyle w:val="Heading2"/>
      </w:pPr>
      <w:r>
        <w:t xml:space="preserve">Additional Limitations and Future Directions</w:t>
      </w:r>
    </w:p>
    <w:p>
      <w:pPr>
        <w:pStyle w:val="FirstParagraph"/>
      </w:pPr>
      <w:r>
        <w:t xml:space="preserve">We believe these models will be most effective embedded in a recovery monitoring and support system. This system could provide daily, weekly, or less frequent (e.g., only when risk of lapse exceeds a certain threshold) messages to patients with personalized feedback about their risk of lapse and provide support recommendations tailored to their current recovery needs. However, it is unclear the best way to provide risk information to patients.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p>
    <w:p>
      <w:pPr>
        <w:pStyle w:val="BodyText"/>
      </w:pPr>
      <w:r>
        <w:t xml:space="preserve">In such a system, we can imagine that even longer lags (i.e., more advanced warning) could be helpful.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have begun to address this by building models with fewer EMAs (1x daily) and have found comparable performance.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It is also possible that adding low burden sensing methods, like geolocation, could allow us to reduce the frequency (e.g., 1x weekly EMA) and/or length (e.g, 2-3 items) of our EMAs.</w:t>
      </w:r>
    </w:p>
    <w:bookmarkEnd w:id="66"/>
    <w:bookmarkStart w:id="67"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7"/>
    <w:bookmarkStart w:id="124" w:name="references"/>
    <w:p>
      <w:pPr>
        <w:pStyle w:val="Heading2"/>
      </w:pPr>
      <w:r>
        <w:t xml:space="preserve">References</w:t>
      </w:r>
    </w:p>
    <w:bookmarkStart w:id="123"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Cs/>
          <w:i/>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Cs/>
          <w:i/>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nnisManagingAddictionChronic2007"/>
    <w:p>
      <w:pPr>
        <w:pStyle w:val="Bibliography"/>
      </w:pPr>
      <w:r>
        <w:t xml:space="preserve">Dennis, Michael, and Christy K Scott. 2007.</w:t>
      </w:r>
      <w:r>
        <w:t xml:space="preserve"> </w:t>
      </w:r>
      <w:r>
        <w:t xml:space="preserve">“</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Cs/>
          <w:i/>
        </w:rPr>
        <w:t xml:space="preserve">Addiction Science &amp; Clinical Practice</w:t>
      </w:r>
      <w:r>
        <w:t xml:space="preserve"> </w:t>
      </w:r>
      <w:r>
        <w:t xml:space="preserve">4 (1): 45–55.</w:t>
      </w:r>
    </w:p>
    <w:bookmarkEnd w:id="75"/>
    <w:bookmarkStart w:id="77"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Cs/>
          <w:i/>
        </w:rPr>
        <w:t xml:space="preserve">Behaviour Research and Therapy</w:t>
      </w:r>
      <w:r>
        <w:t xml:space="preserve"> </w:t>
      </w:r>
      <w:r>
        <w:t xml:space="preserve">123 (December): 103506.</w:t>
      </w:r>
      <w:r>
        <w:t xml:space="preserve"> </w:t>
      </w:r>
      <w:hyperlink r:id="rId76">
        <w:r>
          <w:rPr>
            <w:rStyle w:val="Hyperlink"/>
          </w:rPr>
          <w:t xml:space="preserve">https://doi.org/10.1016/j.brat.2019.103506</w:t>
        </w:r>
      </w:hyperlink>
      <w:r>
        <w:t xml:space="preserve">.</w:t>
      </w:r>
    </w:p>
    <w:bookmarkEnd w:id="77"/>
    <w:bookmarkStart w:id="79" w:name="Xddb48fc2fd7e0e1a08f1193e64beee6492d39b4"/>
    <w:p>
      <w:pPr>
        <w:pStyle w:val="Bibliography"/>
      </w:pPr>
      <w:r>
        <w:t xml:space="preserve">Friedmann, Peter D., James C. Hendrickson, Dean R. Gerstein, and Zhiwei Zhang. 2004.</w:t>
      </w:r>
      <w:r>
        <w:t xml:space="preserve"> </w:t>
      </w:r>
      <w:r>
        <w:t xml:space="preserve">“The Effect of Matching Comprehensive Services to Patients’ Needs on Drug Use Improvement in Addiction Treatment.”</w:t>
      </w:r>
      <w:r>
        <w:t xml:space="preserve"> </w:t>
      </w:r>
      <w:r>
        <w:rPr>
          <w:iCs/>
          <w:i/>
        </w:rPr>
        <w:t xml:space="preserve">Addiction (Abingdon, England)</w:t>
      </w:r>
      <w:r>
        <w:t xml:space="preserve"> </w:t>
      </w:r>
      <w:r>
        <w:t xml:space="preserve">99 (8): 962–72.</w:t>
      </w:r>
      <w:r>
        <w:t xml:space="preserve"> </w:t>
      </w:r>
      <w:hyperlink r:id="rId78">
        <w:r>
          <w:rPr>
            <w:rStyle w:val="Hyperlink"/>
          </w:rPr>
          <w:t xml:space="preserve">https://doi.org/10.1111/j.1360-0443.2004.00772.x</w:t>
        </w:r>
      </w:hyperlink>
      <w:r>
        <w:t xml:space="preserve">.</w:t>
      </w:r>
    </w:p>
    <w:bookmarkEnd w:id="79"/>
    <w:bookmarkStart w:id="80"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Cs/>
          <w:i/>
        </w:rPr>
        <w:t xml:space="preserve">CRAN R-Project</w:t>
      </w:r>
      <w:r>
        <w:t xml:space="preserve">. https://cran.r-project.org/web/packages/rstanarm/vignettes/priors.html.</w:t>
      </w:r>
    </w:p>
    <w:bookmarkEnd w:id="80"/>
    <w:bookmarkStart w:id="81"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1"/>
    <w:bookmarkStart w:id="83"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Cs/>
          <w:i/>
        </w:rPr>
        <w:t xml:space="preserve">Drug and Alcohol Dependence</w:t>
      </w:r>
      <w:r>
        <w:t xml:space="preserve"> </w:t>
      </w:r>
      <w:r>
        <w:t xml:space="preserve">86 (1): 1–21.</w:t>
      </w:r>
      <w:r>
        <w:t xml:space="preserve"> </w:t>
      </w:r>
      <w:hyperlink r:id="rId82">
        <w:r>
          <w:rPr>
            <w:rStyle w:val="Hyperlink"/>
          </w:rPr>
          <w:t xml:space="preserve">https://doi.org/10.1016/j.drugalcdep.2006.05.012</w:t>
        </w:r>
      </w:hyperlink>
      <w:r>
        <w:t xml:space="preserve">.</w:t>
      </w:r>
    </w:p>
    <w:bookmarkEnd w:id="83"/>
    <w:bookmarkStart w:id="84" w:name="ref-hsiehSampleSizeTables1989"/>
    <w:p>
      <w:pPr>
        <w:pStyle w:val="Bibliography"/>
      </w:pPr>
      <w:r>
        <w:t xml:space="preserve">Hsieh, F. 1989.</w:t>
      </w:r>
      <w:r>
        <w:t xml:space="preserve"> </w:t>
      </w:r>
      <w:r>
        <w:t xml:space="preserve">“Sample Size Tables for Logistic Regression.”</w:t>
      </w:r>
      <w:r>
        <w:t xml:space="preserve"> </w:t>
      </w:r>
      <w:r>
        <w:rPr>
          <w:iCs/>
          <w:i/>
        </w:rPr>
        <w:t xml:space="preserve">Statistics in Medicine</w:t>
      </w:r>
      <w:r>
        <w:t xml:space="preserve"> </w:t>
      </w:r>
      <w:r>
        <w:t xml:space="preserve">8: 795–802.</w:t>
      </w:r>
    </w:p>
    <w:bookmarkEnd w:id="84"/>
    <w:bookmarkStart w:id="86" w:name="X9dfa929848d202736296032659cec14e42606bb"/>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Cs/>
          <w:i/>
        </w:rPr>
        <w:t xml:space="preserve">Addiction (Abingdon, England)</w:t>
      </w:r>
      <w:r>
        <w:t xml:space="preserve"> </w:t>
      </w:r>
      <w:r>
        <w:t xml:space="preserve">114 (4): 609–19.</w:t>
      </w:r>
      <w:r>
        <w:t xml:space="preserve"> </w:t>
      </w:r>
      <w:hyperlink r:id="rId85">
        <w:r>
          <w:rPr>
            <w:rStyle w:val="Hyperlink"/>
          </w:rPr>
          <w:t xml:space="preserve">https://doi.org/gfsjzg</w:t>
        </w:r>
      </w:hyperlink>
      <w:r>
        <w:t xml:space="preserve">.</w:t>
      </w:r>
    </w:p>
    <w:bookmarkEnd w:id="86"/>
    <w:bookmarkStart w:id="8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Cs/>
          <w:i/>
        </w:rPr>
        <w:t xml:space="preserve">JAMA Network Open</w:t>
      </w:r>
      <w:r>
        <w:t xml:space="preserve"> </w:t>
      </w:r>
      <w:r>
        <w:t xml:space="preserve">3 (5): e205852.</w:t>
      </w:r>
      <w:r>
        <w:t xml:space="preserve"> </w:t>
      </w:r>
      <w:hyperlink r:id="rId87">
        <w:r>
          <w:rPr>
            <w:rStyle w:val="Hyperlink"/>
          </w:rPr>
          <w:t xml:space="preserve">https://doi.org/10.1001/jamanetworkopen.2020.5852</w:t>
        </w:r>
      </w:hyperlink>
      <w:r>
        <w:t xml:space="preserve">.</w:t>
      </w:r>
    </w:p>
    <w:bookmarkEnd w:id="88"/>
    <w:bookmarkStart w:id="90" w:name="X79dffb24bc183d6bf6fe142dbf048fe8e5a5dd0"/>
    <w:p>
      <w:pPr>
        <w:pStyle w:val="Bibliography"/>
      </w:pPr>
      <w:r>
        <w:t xml:space="preserve">Kranzler, Henry R., and James R. McKay. 2012.</w:t>
      </w:r>
      <w:r>
        <w:t xml:space="preserve"> </w:t>
      </w:r>
      <w:r>
        <w:t xml:space="preserve">“Personalized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Cs/>
          <w:i/>
        </w:rPr>
        <w:t xml:space="preserve">Current Psychiatry Reports</w:t>
      </w:r>
      <w:r>
        <w:t xml:space="preserve"> </w:t>
      </w:r>
      <w:r>
        <w:t xml:space="preserve">14 (5): 486–93.</w:t>
      </w:r>
      <w:r>
        <w:t xml:space="preserve"> </w:t>
      </w:r>
      <w:hyperlink r:id="rId89">
        <w:r>
          <w:rPr>
            <w:rStyle w:val="Hyperlink"/>
          </w:rPr>
          <w:t xml:space="preserve">https://doi.org/10.1007/s11920-012-0296-5</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Cs/>
          <w:i/>
        </w:rPr>
        <w:t xml:space="preserve">Applied</w:t>
      </w:r>
      <w:r>
        <w:rPr>
          <w:iCs/>
          <w:i/>
        </w:rPr>
        <w:t xml:space="preserve"> </w:t>
      </w:r>
      <w:r>
        <w:rPr>
          <w:iCs/>
          <w:i/>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Cs/>
          <w:i/>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0900e084d2d8751b94683f82b04534ea811d54e"/>
    <w:p>
      <w:pPr>
        <w:pStyle w:val="Bibliography"/>
      </w:pPr>
      <w:r>
        <w:t xml:space="preserve">Marlatt, G. Alan, and Judith R. Gordon, eds. 1985.</w:t>
      </w:r>
      <w:r>
        <w:t xml:space="preserve"> </w:t>
      </w:r>
      <w:r>
        <w:rPr>
          <w:iCs/>
          <w:i/>
        </w:rPr>
        <w:t xml:space="preserve">Relapse</w:t>
      </w:r>
      <w:r>
        <w:rPr>
          <w:iCs/>
          <w:i/>
        </w:rPr>
        <w:t xml:space="preserve"> </w:t>
      </w:r>
      <w:r>
        <w:rPr>
          <w:iCs/>
          <w:i/>
        </w:rPr>
        <w:t xml:space="preserve">Prevention</w:t>
      </w:r>
      <w:r>
        <w:rPr>
          <w:iCs/>
          <w:i/>
        </w:rPr>
        <w:t xml:space="preserve">:</w:t>
      </w:r>
      <w:r>
        <w:rPr>
          <w:iCs/>
          <w:i/>
        </w:rPr>
        <w:t xml:space="preserve"> </w:t>
      </w:r>
      <w:r>
        <w:rPr>
          <w:iCs/>
          <w:i/>
        </w:rPr>
        <w:t xml:space="preserve">Maintenance Strategies</w:t>
      </w:r>
      <w:r>
        <w:rPr>
          <w:iCs/>
          <w:i/>
        </w:rPr>
        <w:t xml:space="preserve"> </w:t>
      </w:r>
      <w:r>
        <w:rPr>
          <w:iCs/>
          <w:i/>
        </w:rPr>
        <w:t xml:space="preserve">in the</w:t>
      </w:r>
      <w:r>
        <w:rPr>
          <w:iCs/>
          <w:i/>
        </w:rPr>
        <w:t xml:space="preserve"> </w:t>
      </w:r>
      <w:r>
        <w:rPr>
          <w:iCs/>
          <w:i/>
        </w:rPr>
        <w:t xml:space="preserve">Treatment</w:t>
      </w:r>
      <w:r>
        <w:rPr>
          <w:iCs/>
          <w:i/>
        </w:rPr>
        <w:t xml:space="preserve"> </w:t>
      </w:r>
      <w:r>
        <w:rPr>
          <w:iCs/>
          <w:i/>
        </w:rPr>
        <w:t xml:space="preserve">of</w:t>
      </w:r>
      <w:r>
        <w:rPr>
          <w:iCs/>
          <w:i/>
        </w:rPr>
        <w:t xml:space="preserve"> </w:t>
      </w:r>
      <w:r>
        <w:rPr>
          <w:iCs/>
          <w:i/>
        </w:rPr>
        <w:t xml:space="preserve">Addictive Behaviors</w:t>
      </w:r>
      <w:r>
        <w:t xml:space="preserve">. First edition. New York: The Guilford Press.</w:t>
      </w:r>
    </w:p>
    <w:bookmarkEnd w:id="97"/>
    <w:bookmarkStart w:id="99"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Cs/>
          <w:i/>
        </w:rPr>
        <w:t xml:space="preserve">JMIR Research Protocols</w:t>
      </w:r>
      <w:r>
        <w:t xml:space="preserve"> </w:t>
      </w:r>
      <w:r>
        <w:t xml:space="preserve">10 (12): e29563.</w:t>
      </w:r>
      <w:r>
        <w:t xml:space="preserve"> </w:t>
      </w:r>
      <w:hyperlink r:id="rId98">
        <w:r>
          <w:rPr>
            <w:rStyle w:val="Hyperlink"/>
          </w:rPr>
          <w:t xml:space="preserve">https://doi.org/10.2196/29563</w:t>
        </w:r>
      </w:hyperlink>
      <w:r>
        <w:t xml:space="preserve">.</w:t>
      </w:r>
    </w:p>
    <w:bookmarkEnd w:id="99"/>
    <w:bookmarkStart w:id="101"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Cs/>
          <w:i/>
        </w:rPr>
        <w:t xml:space="preserve">Journal of Substance Abuse Treatment</w:t>
      </w:r>
      <w:r>
        <w:t xml:space="preserve"> </w:t>
      </w:r>
      <w:r>
        <w:t xml:space="preserve">137 (June): 108710.</w:t>
      </w:r>
      <w:r>
        <w:t xml:space="preserve"> </w:t>
      </w:r>
      <w:hyperlink r:id="rId100">
        <w:r>
          <w:rPr>
            <w:rStyle w:val="Hyperlink"/>
          </w:rPr>
          <w:t xml:space="preserve">https://doi.org/10.1016/j.jsat.2021.108710</w:t>
        </w:r>
      </w:hyperlink>
      <w:r>
        <w:t xml:space="preserve">.</w:t>
      </w:r>
    </w:p>
    <w:bookmarkEnd w:id="101"/>
    <w:bookmarkStart w:id="103"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Cs/>
          <w:i/>
        </w:rPr>
        <w:t xml:space="preserve">Drug and Alcohol Dependence</w:t>
      </w:r>
      <w:r>
        <w:t xml:space="preserve"> </w:t>
      </w:r>
      <w:r>
        <w:t xml:space="preserve">202 (September): 162–67.</w:t>
      </w:r>
      <w:r>
        <w:t xml:space="preserve"> </w:t>
      </w:r>
      <w:hyperlink r:id="rId102">
        <w:r>
          <w:rPr>
            <w:rStyle w:val="Hyperlink"/>
          </w:rPr>
          <w:t xml:space="preserve">https://doi.org/10.1016/j.drugalcdep.2019.05.017</w:t>
        </w:r>
      </w:hyperlink>
      <w:r>
        <w:t xml:space="preserve">.</w:t>
      </w:r>
    </w:p>
    <w:bookmarkEnd w:id="103"/>
    <w:bookmarkStart w:id="104"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Cs/>
          <w:i/>
        </w:rPr>
        <w:t xml:space="preserve">Journal of Studies on Alcohol</w:t>
      </w:r>
      <w:r>
        <w:t xml:space="preserve"> </w:t>
      </w:r>
      <w:r>
        <w:t xml:space="preserve">58 (1): 7–29.</w:t>
      </w:r>
    </w:p>
    <w:bookmarkEnd w:id="104"/>
    <w:bookmarkStart w:id="10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5"/>
    <w:bookmarkStart w:id="106" w:name="X56bd7ab8262c354bc601dbeb8bf6940a3ba3863"/>
    <w:p>
      <w:pPr>
        <w:pStyle w:val="Bibliography"/>
      </w:pPr>
      <w:r>
        <w:t xml:space="preserve">SAMHSA Center for Behavioral Health Statistics and Quality. 2021.</w:t>
      </w:r>
      <w:r>
        <w:t xml:space="preserve"> </w:t>
      </w:r>
      <w:r>
        <w:t xml:space="preserve">“2021</w:t>
      </w:r>
      <w:r>
        <w:t xml:space="preserve"> </w:t>
      </w:r>
      <w:r>
        <w:t xml:space="preserve">NSDUH Detailed Tables</w:t>
      </w:r>
      <w:r>
        <w:t xml:space="preserve"> </w:t>
      </w:r>
      <w:r>
        <w:t xml:space="preserve"> </w:t>
      </w:r>
      <w:r>
        <w:t xml:space="preserve">CBHSQ Data</w:t>
      </w:r>
      <w:r>
        <w:t xml:space="preserve">.”</w:t>
      </w:r>
      <w:r>
        <w:t xml:space="preserve"> </w:t>
      </w:r>
      <w:r>
        <w:rPr>
          <w:iCs/>
          <w:i/>
        </w:rPr>
        <w:t xml:space="preserve">Substance Abuse and Mental Health Services Administration</w:t>
      </w:r>
      <w:r>
        <w:t xml:space="preserve">. https://www.samhsa.gov/data/report/2021-nsduh-detailed-tables.</w:t>
      </w:r>
    </w:p>
    <w:bookmarkEnd w:id="106"/>
    <w:bookmarkStart w:id="108" w:name="ref-sociasAdoptingCascadeCare2016"/>
    <w:p>
      <w:pPr>
        <w:pStyle w:val="Bibliography"/>
      </w:pPr>
      <w:r>
        <w:t xml:space="preserve">Socías, M. Eugenia, Nora Volkow, and Evan Wood. 2016.</w:t>
      </w:r>
      <w:r>
        <w:t xml:space="preserve"> </w:t>
      </w:r>
      <w:r>
        <w:t xml:space="preserve">“Adopting the</w:t>
      </w:r>
      <w:r>
        <w:t xml:space="preserve"> </w:t>
      </w:r>
      <w:r>
        <w:t xml:space="preserve">‘Cascade of Care’</w:t>
      </w:r>
      <w:r>
        <w:t xml:space="preserve"> </w:t>
      </w:r>
      <w:r>
        <w:t xml:space="preserve">Framework: An Opportunity to Close the Implementation Gap in Addiction Care?”</w:t>
      </w:r>
      <w:r>
        <w:t xml:space="preserve"> </w:t>
      </w:r>
      <w:r>
        <w:rPr>
          <w:iCs/>
          <w:i/>
        </w:rPr>
        <w:t xml:space="preserve">Addiction</w:t>
      </w:r>
      <w:r>
        <w:t xml:space="preserve"> </w:t>
      </w:r>
      <w:r>
        <w:t xml:space="preserve">111 (12): 2079–81.</w:t>
      </w:r>
      <w:r>
        <w:t xml:space="preserve"> </w:t>
      </w:r>
      <w:hyperlink r:id="rId107">
        <w:r>
          <w:rPr>
            <w:rStyle w:val="Hyperlink"/>
          </w:rPr>
          <w:t xml:space="preserve">https://doi.org/10.1111/add.13479</w:t>
        </w:r>
      </w:hyperlink>
      <w:r>
        <w:t xml:space="preserve">.</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Cs/>
          <w:i/>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X01387e434119cf09c116d0feeabab9f278d40e3"/>
    <w:p>
      <w:pPr>
        <w:pStyle w:val="Bibliography"/>
      </w:pPr>
      <w:r>
        <w:t xml:space="preserve">Stanojlović, Milena, and Larry Davidson. 2021.</w:t>
      </w:r>
      <w:r>
        <w:t xml:space="preserve"> </w:t>
      </w:r>
      <w:r>
        <w:t xml:space="preserve">“Targeting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Cs/>
          <w:i/>
        </w:rPr>
        <w:t xml:space="preserve">Substance Abuse: Research and Treatment</w:t>
      </w:r>
      <w:r>
        <w:t xml:space="preserve"> </w:t>
      </w:r>
      <w:r>
        <w:t xml:space="preserve">15 (January): 1178221820976988.</w:t>
      </w:r>
      <w:r>
        <w:t xml:space="preserve"> </w:t>
      </w:r>
      <w:hyperlink r:id="rId111">
        <w:r>
          <w:rPr>
            <w:rStyle w:val="Hyperlink"/>
          </w:rPr>
          <w:t xml:space="preserve">https://doi.org/10.1177/1178221820976988</w:t>
        </w:r>
      </w:hyperlink>
      <w:r>
        <w:t xml:space="preserve">.</w:t>
      </w:r>
    </w:p>
    <w:bookmarkEnd w:id="112"/>
    <w:bookmarkStart w:id="11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Cs/>
          <w:i/>
        </w:rPr>
        <w:t xml:space="preserve">Journal of Substance Abuse Treatment</w:t>
      </w:r>
      <w:r>
        <w:t xml:space="preserve"> </w:t>
      </w:r>
      <w:r>
        <w:t xml:space="preserve">127 (August): 108417.</w:t>
      </w:r>
      <w:r>
        <w:t xml:space="preserve"> </w:t>
      </w:r>
      <w:hyperlink r:id="rId113">
        <w:r>
          <w:rPr>
            <w:rStyle w:val="Hyperlink"/>
          </w:rPr>
          <w:t xml:space="preserve">https://doi.org/10.1016/j.jsat.2021.108417</w:t>
        </w:r>
      </w:hyperlink>
      <w:r>
        <w:t xml:space="preserve">.</w:t>
      </w:r>
    </w:p>
    <w:bookmarkEnd w:id="114"/>
    <w:bookmarkStart w:id="11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Cs/>
          <w:i/>
        </w:rPr>
        <w:t xml:space="preserve">American Psychologist</w:t>
      </w:r>
      <w:r>
        <w:t xml:space="preserve"> </w:t>
      </w:r>
      <w:r>
        <w:t xml:space="preserve">59 (4): 224–35.</w:t>
      </w:r>
      <w:r>
        <w:t xml:space="preserve"> </w:t>
      </w:r>
      <w:hyperlink r:id="rId115">
        <w:r>
          <w:rPr>
            <w:rStyle w:val="Hyperlink"/>
          </w:rPr>
          <w:t xml:space="preserve">https://doi.org/10.1037/0003-066X.59.4.224</w:t>
        </w:r>
      </w:hyperlink>
      <w:r>
        <w:t xml:space="preserve">.</w:t>
      </w:r>
    </w:p>
    <w:bookmarkEnd w:id="116"/>
    <w:bookmarkStart w:id="11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Cs/>
          <w:i/>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7">
        <w:r>
          <w:rPr>
            <w:rStyle w:val="Hyperlink"/>
          </w:rPr>
          <w:t xml:space="preserve">https://doi.org/10.1016/j.cpr.2007.01.002</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Cs/>
          <w:i/>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Cs/>
          <w:i/>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4">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p>
  </w:footnote>
  <w:footnote w:id="45">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disadvantaged group being absent in any single fold.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2" Target="media/rId32.png" /><Relationship Type="http://schemas.openxmlformats.org/officeDocument/2006/relationships/hyperlink" Id="rId87"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89" Target="https://doi.org/10.1007/s11920-012-0296-5"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103506" TargetMode="External" /><Relationship Type="http://schemas.openxmlformats.org/officeDocument/2006/relationships/hyperlink" Id="rId117" Target="https://doi.org/10.1016/j.cpr.2007.01.002" TargetMode="External" /><Relationship Type="http://schemas.openxmlformats.org/officeDocument/2006/relationships/hyperlink" Id="rId82"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13"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5"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07" Target="https://doi.org/10.1111/add.13479" TargetMode="External" /><Relationship Type="http://schemas.openxmlformats.org/officeDocument/2006/relationships/hyperlink" Id="rId78" Target="https://doi.org/10.1111/j.1360-0443.2004.00772.x" TargetMode="External" /><Relationship Type="http://schemas.openxmlformats.org/officeDocument/2006/relationships/hyperlink" Id="rId111" Target="https://doi.org/10.1177/1178221820976988" TargetMode="External" /><Relationship Type="http://schemas.openxmlformats.org/officeDocument/2006/relationships/hyperlink" Id="rId95"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5"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7" Target="https://jjcurtin.github.io/study_lag/notebooks/mak_figures-preview.html#cell-fig-2" TargetMode="External" /><Relationship Type="http://schemas.openxmlformats.org/officeDocument/2006/relationships/hyperlink" Id="rId36" Target="https://jjcurtin.github.io/study_lag/notebooks/mak_figures-preview.html#cell-fig-methods" TargetMode="External" /><Relationship Type="http://schemas.openxmlformats.org/officeDocument/2006/relationships/hyperlink" Id="rId60" Target="https://jjcurtin.github.io/study_lag/notebooks/mak_tables-preview.html#cell-tbl-contrast" TargetMode="External" /><Relationship Type="http://schemas.openxmlformats.org/officeDocument/2006/relationships/hyperlink" Id="rId51" Target="https://jjcurtin.github.io/study_lag/notebooks/mak_tables-preview.html#cell-tbl-demohtml" TargetMode="External" /><Relationship Type="http://schemas.openxmlformats.org/officeDocument/2006/relationships/hyperlink" Id="rId25" Target="https://osf.io/xta67/" TargetMode="External" /><Relationship Type="http://schemas.openxmlformats.org/officeDocument/2006/relationships/hyperlink" Id="rId7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89" Target="https://doi.org/10.1007/s11920-012-0296-5"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103506" TargetMode="External" /><Relationship Type="http://schemas.openxmlformats.org/officeDocument/2006/relationships/hyperlink" Id="rId117" Target="https://doi.org/10.1016/j.cpr.2007.01.002" TargetMode="External" /><Relationship Type="http://schemas.openxmlformats.org/officeDocument/2006/relationships/hyperlink" Id="rId82"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13"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5"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07" Target="https://doi.org/10.1111/add.13479" TargetMode="External" /><Relationship Type="http://schemas.openxmlformats.org/officeDocument/2006/relationships/hyperlink" Id="rId78" Target="https://doi.org/10.1111/j.1360-0443.2004.00772.x" TargetMode="External" /><Relationship Type="http://schemas.openxmlformats.org/officeDocument/2006/relationships/hyperlink" Id="rId111" Target="https://doi.org/10.1177/1178221820976988" TargetMode="External" /><Relationship Type="http://schemas.openxmlformats.org/officeDocument/2006/relationships/hyperlink" Id="rId95"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5"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7" Target="https://jjcurtin.github.io/study_lag/notebooks/mak_figures-preview.html#cell-fig-2" TargetMode="External" /><Relationship Type="http://schemas.openxmlformats.org/officeDocument/2006/relationships/hyperlink" Id="rId36" Target="https://jjcurtin.github.io/study_lag/notebooks/mak_figures-preview.html#cell-fig-methods" TargetMode="External" /><Relationship Type="http://schemas.openxmlformats.org/officeDocument/2006/relationships/hyperlink" Id="rId60" Target="https://jjcurtin.github.io/study_lag/notebooks/mak_tables-preview.html#cell-tbl-contrast" TargetMode="External" /><Relationship Type="http://schemas.openxmlformats.org/officeDocument/2006/relationships/hyperlink" Id="rId51" Target="https://jjcurtin.github.io/study_lag/notebooks/mak_tables-preview.html#cell-tbl-demohtml" TargetMode="External" /><Relationship Type="http://schemas.openxmlformats.org/officeDocument/2006/relationships/hyperlink" Id="rId25" Target="https://osf.io/xta67/" TargetMode="External" /><Relationship Type="http://schemas.openxmlformats.org/officeDocument/2006/relationships/hyperlink" Id="rId7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2024-12-04T20:06:16Z</dcterms:created>
  <dcterms:modified xsi:type="dcterms:W3CDTF">2024-12-04T20:06:16Z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worse than the 0 lag model (probabilities &gt; .95). All models performed worse for disadvantaged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2024-12-04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