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2024-07-01</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w:t>
      </w:r>
      <w:r>
        <w:t xml:space="preserve"> </w:t>
      </w:r>
      <w:r>
        <w:rPr>
          <w:i/>
          <w:iCs/>
        </w:rPr>
        <w:t xml:space="preserve">how</w:t>
      </w:r>
      <w:r>
        <w:t xml:space="preserve"> </w:t>
      </w:r>
      <w:r>
        <w:t xml:space="preserve">do we best treat a specific individual (e.g., which medication will work best for an individual given their unique background, preferences, and medical history)?</w:t>
      </w:r>
    </w:p>
    <w:p>
      <w:pPr>
        <w:pStyle w:val="BodyText"/>
      </w:pPr>
      <w:r>
        <w:t xml:space="preserve">Today, this approach is also applied to chronic mental health conditions (i.e., precision mental health), like depression, substance use disorders, and suicide. However, mental health conditions are complex fluctuating processes. Unlike medical conditions that have clear biological precursors, mental health conditions are products of lots of psychosocial factors. These factors differ between individuals and within an individual over time. Additionally, there are a wide array of psychosocial supports available for clinicians to select from. Thus, precision mental health must consider both the</w:t>
      </w:r>
      <w:r>
        <w:t xml:space="preserve"> </w:t>
      </w:r>
      <w:r>
        <w:rPr>
          <w:i/>
          <w:iCs/>
        </w:rPr>
        <w:t xml:space="preserve">when</w:t>
      </w:r>
      <w:r>
        <w:t xml:space="preserve"> </w:t>
      </w:r>
      <w:r>
        <w:t xml:space="preserve">and the</w:t>
      </w:r>
      <w:r>
        <w:t xml:space="preserve"> </w:t>
      </w:r>
      <w:r>
        <w:rPr>
          <w:i/>
          <w:iCs/>
        </w:rPr>
        <w:t xml:space="preserve">how</w:t>
      </w:r>
      <w:r>
        <w:t xml:space="preserve">.</w:t>
      </w:r>
    </w:p>
    <w:p>
      <w:pPr>
        <w:pStyle w:val="BodyText"/>
      </w:pPr>
      <w:r>
        <w:t xml:space="preserve">There has been long-standing interest in precision mental health and substance use disorders. In an early example, The Project MATCH research group attempted to match individuals with alcohol use disorder to their optimal treatment based on baseline measures of individual differences</w:t>
      </w:r>
      <w:r>
        <w:t xml:space="preserve"> </w:t>
      </w:r>
      <w:r>
        <w:t xml:space="preserve">(Project Match Research Group 1997)</w:t>
      </w:r>
      <w:r>
        <w:t xml:space="preserve">. The study failed to find any differences in treatment success. This can likely be attributed to low dimensional analyses that failed to capture to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both of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differences"/>
    <w:p>
      <w:pPr>
        <w:pStyle w:val="Heading3"/>
      </w:pPr>
      <w:r>
        <w:t xml:space="preserve">Individual Differences</w:t>
      </w:r>
    </w:p>
    <w:p>
      <w:pPr>
        <w:pStyle w:val="FirstParagraph"/>
      </w:pPr>
      <w:r>
        <w:t xml:space="preserve">We collected self-report information about demographics (age, sex, race, ethnicity, education, marital status, employment, and income) and AUD symptom count. This information was collected primarily to characterize the sample and to evaluate the diversity of the training data. We also used the demographic information in our models.</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A total of 286 features were derived from three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Day and time of prediction window onset</w:t>
      </w:r>
      <w:r>
        <w:t xml:space="preserve">: We created dummy-coded features to indicate time of day and day of week that the prediction window began.</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r>
        <w:t xml:space="preserve"> </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degrade as predictions are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window widths.</w:t>
      </w:r>
    </w:p>
    <w:p>
      <w:pPr>
        <w:pStyle w:val="BodyText"/>
      </w:pPr>
      <w:r>
        <w:t xml:space="preserve">Sina plots of local Shapley values show the influence of feature categories on individual observations by model (</w:t>
      </w:r>
      <w:hyperlink w:anchor="fig-shap">
        <w:r>
          <w:rPr>
            <w:rStyle w:val="Hyperlink"/>
          </w:rPr>
          <w:t xml:space="preserve">Figure 3</w:t>
        </w:r>
      </w:hyperlink>
      <w:r>
        <w:t xml:space="preserve">, Panels B-D). The variance in feature importance for past use is widest in our immediate (no lag) model. Additionally, all EMA item categories appear to impact lapse probability for specific individuals at specific times even if they are not globally important across all observations.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Panel A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Panels B-F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2024-07-02T13:46:16Z</dcterms:created>
  <dcterms:modified xsi:type="dcterms:W3CDTF">2024-07-02T13:46:16Z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