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2024-08-26</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2"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70" w:name="discussion"/>
    <w:p>
      <w:pPr>
        <w:pStyle w:val="Heading2"/>
      </w:pPr>
      <w:r>
        <w:t xml:space="preserve">Discussion</w:t>
      </w:r>
    </w:p>
    <w:bookmarkStart w:id="67" w:name="model-performance"/>
    <w:p>
      <w:pPr>
        <w:pStyle w:val="Heading3"/>
      </w:pPr>
      <w:r>
        <w:t xml:space="preserve">Model Performance</w:t>
      </w:r>
    </w:p>
    <w:p>
      <w:pPr>
        <w:pStyle w:val="FirstParagraph"/>
      </w:pPr>
      <w:r>
        <w:t xml:space="preserve">Performance across models was clinically meaningful even up to two weeks out. Our models yielded median posterior probabilities for auROCs of 0.893 (baseline), 0.887 (24 hour lag), 0.875 (72 hour lag), 0.871 (168 hour lag), and 0.852 (336 hour lag).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For one,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less important, however, that we miss some of these more fluctuating risk factors if we consider lagged models as a supplement to immediate lapse prediction models (i.e., no lag). Lagged prediction models are most useful for their ability to provide individuals with advanced notice that they may be at risk for lapsing. This can be used for implementing more time-intensive recovery supports, such as attending a support group. On the other hand, an immediate lapse prediction model (i.e., no lag) is well-suited for detecting and recommending an activity for immediate risk (e.g., an urge surfing activity for addressing frequent and recent cravings). Thus, lag time can be customized and layered based on the intended purpose.</w:t>
      </w:r>
    </w:p>
    <w:p>
      <w:pPr>
        <w:pStyle w:val="BodyText"/>
      </w:pPr>
      <w:r>
        <w:t xml:space="preserve">Second, participants only provided EMA for up to three months. Therefore a lag time of two weeks between the prediction time point and start of the prediction window prohibits us from using 1/8th of the EMA data for predictions. In a separate NIH protocol underway, participants are providing EMA and other sensed data for up to 12 months</w:t>
      </w:r>
      <w:r>
        <w:t xml:space="preserve"> </w:t>
      </w:r>
      <w:r>
        <w:t xml:space="preserve">(Moshontz et al. 2021)</w:t>
      </w:r>
      <w:r>
        <w:t xml:space="preserve">.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p>
    <w:bookmarkEnd w:id="67"/>
    <w:bookmarkStart w:id="68" w:name="model-fairness"/>
    <w:p>
      <w:pPr>
        <w:pStyle w:val="Heading3"/>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(i.e., not White vs. non-Hispanic White) the minority race/ethnicity group was largely underrepresented. The best solution to this limitation would be to recruit a more representative sample. However, there may be additional methodological considerations for mitigating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Unfortunately, a person-specific lapse prediction model would require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However, we did have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8"/>
    <w:bookmarkStart w:id="69" w:name="X40ab624ebf83813907a18dba36edd4d1d14a553"/>
    <w:p>
      <w:pPr>
        <w:pStyle w:val="Heading3"/>
      </w:pPr>
      <w:r>
        <w:t xml:space="preserve">Additional Limitations and Future Directions</w:t>
      </w:r>
    </w:p>
    <w:p>
      <w:pPr>
        <w:pStyle w:val="FirstParagraph"/>
      </w:pPr>
      <w:r>
        <w:t xml:space="preserve">All of the proposed suggestions above for improving model fairness are current directions in our lab. To increase the diversity of our data, we recruited a nationally representative sample of people with opioid use disorder (data collection is near complete)</w:t>
      </w:r>
      <w:r>
        <w:t xml:space="preserve"> </w:t>
      </w:r>
      <w:r>
        <w:t xml:space="preserve">(Moshontz et al. 2021)</w:t>
      </w:r>
      <w:r>
        <w:t xml:space="preserve">. In our current sample of participants we are building models that prioritize accuracy for underrepresented groups. We are also building models that use sensing methods, like geolocation and text message content, separately and in conjunction with EMA. In these combined models we plan to assess whether the relative top features differs by group. For example, it is possible that data driven features (e.g., from geolocation) emerge as more important for groups that have been historically underrepresented in the research on relapse risk factors driving our self-report measures.</w:t>
      </w:r>
    </w:p>
    <w:p>
      <w:pPr>
        <w:pStyle w:val="BodyText"/>
      </w:pPr>
      <w:r>
        <w:t xml:space="preserve">Measurement burden of EMA is also a concern. Research suggests people can comply with effortful sensing methods (e.g., 4 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 x daily EMA to contrast model performance vs. assessment burden. We also plan to build models that combine EMA and passive sensing methods, likes geolocation and evaluate the retained important features. It is possible that adding other low burden sensing methods could allow us to reduce the frequency (e.g., 1 x weekly EMA) and/or length (e.g, 2-3 items) of our EMAs.</w:t>
      </w:r>
    </w:p>
    <w:p>
      <w:pPr>
        <w:pStyle w:val="BodyText"/>
      </w:pPr>
      <w:r>
        <w:t xml:space="preserve">Finally, due to prevalent substance use treatment initiation and outcome disparities among underrepresented groups, it is important to solicit and consider individual preferences and perceptions of the sensing data used to build an algorithm-guided risk monitoring support system from the beginning (i.e., before an intervention is developed). Providing a support tool only acceptable to a majority group, could widen existing disparities. In this light we are currently using a mixed-methods design to assess issues related to feasibility and acceptability by sensing method and demographic characteristics in our national sample of participants with opioid use disorder.</w:t>
      </w:r>
    </w:p>
    <w:p>
      <w:pPr>
        <w:pStyle w:val="BodyText"/>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69"/>
    <w:bookmarkEnd w:id="70"/>
    <w:bookmarkStart w:id="121" w:name="references"/>
    <w:p>
      <w:pPr>
        <w:pStyle w:val="Heading2"/>
      </w:pPr>
      <w:r>
        <w:t xml:space="preserve">References</w:t>
      </w:r>
    </w:p>
    <w:bookmarkStart w:id="120" w:name="refs"/>
    <w:bookmarkStart w:id="7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1">
        <w:r>
          <w:rPr>
            <w:rStyle w:val="Hyperlink"/>
          </w:rPr>
          <w:t xml:space="preserve">https://doi.org/10.1016/j.addbeh.2017.11.039</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5">
        <w:r>
          <w:rPr>
            <w:rStyle w:val="Hyperlink"/>
          </w:rPr>
          <w:t xml:space="preserve">https://doi.org/10.1016/j.jsat.2013.08.004</w:t>
        </w:r>
      </w:hyperlink>
      <w:r>
        <w:t xml:space="preserve">.</w:t>
      </w:r>
    </w:p>
    <w:bookmarkEnd w:id="76"/>
    <w:bookmarkStart w:id="7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7">
        <w:r>
          <w:rPr>
            <w:rStyle w:val="Hyperlink"/>
          </w:rPr>
          <w:t xml:space="preserve">https://doi.org/10.1016/j.brat.2019.103506</w:t>
        </w:r>
      </w:hyperlink>
      <w:r>
        <w:t xml:space="preserve">.</w:t>
      </w:r>
    </w:p>
    <w:bookmarkEnd w:id="78"/>
    <w:bookmarkStart w:id="80"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79">
        <w:r>
          <w:rPr>
            <w:rStyle w:val="Hyperlink"/>
          </w:rPr>
          <w:t xml:space="preserve">https://doi.org/10.1016/j.brat.2019.01.010</w:t>
        </w:r>
      </w:hyperlink>
      <w:r>
        <w:t xml:space="preserve">.</w:t>
      </w:r>
    </w:p>
    <w:bookmarkEnd w:id="80"/>
    <w:bookmarkStart w:id="81"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1"/>
    <w:bookmarkStart w:id="82"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2"/>
    <w:bookmarkStart w:id="84"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3">
        <w:r>
          <w:rPr>
            <w:rStyle w:val="Hyperlink"/>
          </w:rPr>
          <w:t xml:space="preserve">https://doi.org/10.1016/j.drugalcdep.2006.05.012</w:t>
        </w:r>
      </w:hyperlink>
      <w:r>
        <w:t xml:space="preserve">.</w:t>
      </w:r>
    </w:p>
    <w:bookmarkEnd w:id="84"/>
    <w:bookmarkStart w:id="85"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5"/>
    <w:bookmarkStart w:id="87"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6">
        <w:r>
          <w:rPr>
            <w:rStyle w:val="Hyperlink"/>
          </w:rPr>
          <w:t xml:space="preserve">https://doi.org/gfsjzg</w:t>
        </w:r>
      </w:hyperlink>
      <w:r>
        <w:t xml:space="preserve">.</w:t>
      </w:r>
    </w:p>
    <w:bookmarkEnd w:id="87"/>
    <w:bookmarkStart w:id="89"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8">
        <w:r>
          <w:rPr>
            <w:rStyle w:val="Hyperlink"/>
          </w:rPr>
          <w:t xml:space="preserve">https://doi.org/10.1001/jamanetworkopen.2020.5852</w:t>
        </w:r>
      </w:hyperlink>
      <w:r>
        <w:t xml:space="preserve">.</w:t>
      </w:r>
    </w:p>
    <w:bookmarkEnd w:id="89"/>
    <w:bookmarkStart w:id="90"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0"/>
    <w:bookmarkStart w:id="92"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1">
        <w:r>
          <w:rPr>
            <w:rStyle w:val="Hyperlink"/>
          </w:rPr>
          <w:t xml:space="preserve">https://doi.org/10.1007/978-1-4614-6849-3</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4">
        <w:r>
          <w:rPr>
            <w:rStyle w:val="Hyperlink"/>
          </w:rPr>
          <w:t xml:space="preserve">https://doi.org/10.1214/17-EJS1338SI</w:t>
        </w:r>
      </w:hyperlink>
      <w:r>
        <w:t xml:space="preserve">.</w:t>
      </w:r>
    </w:p>
    <w:bookmarkEnd w:id="95"/>
    <w:bookmarkStart w:id="96"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6"/>
    <w:bookmarkStart w:id="97"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7"/>
    <w:bookmarkStart w:id="99"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8">
        <w:r>
          <w:rPr>
            <w:rStyle w:val="Hyperlink"/>
          </w:rPr>
          <w:t xml:space="preserve">https://doi.org/10.2196/29563</w:t>
        </w:r>
      </w:hyperlink>
      <w:r>
        <w:t xml:space="preserve">.</w:t>
      </w:r>
    </w:p>
    <w:bookmarkEnd w:id="99"/>
    <w:bookmarkStart w:id="101"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0">
        <w:r>
          <w:rPr>
            <w:rStyle w:val="Hyperlink"/>
          </w:rPr>
          <w:t xml:space="preserve">https://doi.org/10.1016/j.jsat.2021.108710</w:t>
        </w:r>
      </w:hyperlink>
      <w:r>
        <w:t xml:space="preserve">.</w:t>
      </w:r>
    </w:p>
    <w:bookmarkEnd w:id="101"/>
    <w:bookmarkStart w:id="103"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2">
        <w:r>
          <w:rPr>
            <w:rStyle w:val="Hyperlink"/>
          </w:rPr>
          <w:t xml:space="preserve">https://doi.org/10.1016/j.drugalcdep.2019.05.017</w:t>
        </w:r>
      </w:hyperlink>
      <w:r>
        <w:t xml:space="preserve">.</w:t>
      </w:r>
    </w:p>
    <w:bookmarkEnd w:id="103"/>
    <w:bookmarkStart w:id="104"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4"/>
    <w:bookmarkStart w:id="10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5"/>
    <w:bookmarkStart w:id="10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6">
        <w:r>
          <w:rPr>
            <w:rStyle w:val="Hyperlink"/>
          </w:rPr>
          <w:t xml:space="preserve">https://doi.org/10.1037/adb0000666</w:t>
        </w:r>
      </w:hyperlink>
      <w:r>
        <w:t xml:space="preserve">.</w:t>
      </w:r>
    </w:p>
    <w:bookmarkEnd w:id="107"/>
    <w:bookmarkStart w:id="10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8">
        <w:r>
          <w:rPr>
            <w:rStyle w:val="Hyperlink"/>
          </w:rPr>
          <w:t xml:space="preserve">https://doi.org/10.1016/j.jsat.2021.108417</w:t>
        </w:r>
      </w:hyperlink>
      <w:r>
        <w:t xml:space="preserve">.</w:t>
      </w:r>
    </w:p>
    <w:bookmarkEnd w:id="109"/>
    <w:bookmarkStart w:id="11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0">
        <w:r>
          <w:rPr>
            <w:rStyle w:val="Hyperlink"/>
          </w:rPr>
          <w:t xml:space="preserve">https://doi.org/10.1037/0003-066X.59.4.224</w:t>
        </w:r>
      </w:hyperlink>
      <w:r>
        <w:t xml:space="preserve">.</w:t>
      </w:r>
    </w:p>
    <w:bookmarkEnd w:id="111"/>
    <w:bookmarkStart w:id="11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2">
        <w:r>
          <w:rPr>
            <w:rStyle w:val="Hyperlink"/>
          </w:rPr>
          <w:t xml:space="preserve">https://doi.org/10.1016/j.cpr.2007.01.002</w:t>
        </w:r>
      </w:hyperlink>
      <w:r>
        <w:t xml:space="preserve">.</w:t>
      </w:r>
    </w:p>
    <w:bookmarkEnd w:id="113"/>
    <w:bookmarkStart w:id="115"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4">
        <w:r>
          <w:rPr>
            <w:rStyle w:val="Hyperlink"/>
          </w:rPr>
          <w:t xml:space="preserve">https://doi.org/10.1037/pas0000685</w:t>
        </w:r>
      </w:hyperlink>
      <w:r>
        <w:t xml:space="preserve">.</w:t>
      </w:r>
    </w:p>
    <w:bookmarkEnd w:id="115"/>
    <w:bookmarkStart w:id="117"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6">
        <w:r>
          <w:rPr>
            <w:rStyle w:val="Hyperlink"/>
          </w:rPr>
          <w:t xml:space="preserve">https://doi.org/10.2196/41833</w:t>
        </w:r>
      </w:hyperlink>
      <w:r>
        <w:t xml:space="preserve">.</w:t>
      </w:r>
    </w:p>
    <w:bookmarkEnd w:id="117"/>
    <w:bookmarkStart w:id="119"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8">
        <w:r>
          <w:rPr>
            <w:rStyle w:val="Hyperlink"/>
          </w:rPr>
          <w:t xml:space="preserve">https://doi.org/10.31234/osf.io/cgsf7</w:t>
        </w:r>
      </w:hyperlink>
      <w:r>
        <w:t xml:space="preserve">.</w:t>
      </w:r>
    </w:p>
    <w:bookmarkEnd w:id="119"/>
    <w:bookmarkEnd w:id="120"/>
    <w:bookmarkEnd w:id="121"/>
    <w:bookmarkEnd w:id="1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8" Target="https://doi.org/10.1001/jamanetworkopen.2020.5852" TargetMode="External" /><Relationship Type="http://schemas.openxmlformats.org/officeDocument/2006/relationships/hyperlink" Id="rId91" Target="https://doi.org/10.1007/978-1-4614-6849-3" TargetMode="External" /><Relationship Type="http://schemas.openxmlformats.org/officeDocument/2006/relationships/hyperlink" Id="rId71" Target="https://doi.org/10.1016/j.addbeh.2017.11.039" TargetMode="External" /><Relationship Type="http://schemas.openxmlformats.org/officeDocument/2006/relationships/hyperlink" Id="rId79" Target="https://doi.org/10.1016/j.brat.2019.01.010" TargetMode="External" /><Relationship Type="http://schemas.openxmlformats.org/officeDocument/2006/relationships/hyperlink" Id="rId77" Target="https://doi.org/10.1016/j.brat.2019.103506" TargetMode="External" /><Relationship Type="http://schemas.openxmlformats.org/officeDocument/2006/relationships/hyperlink" Id="rId112" Target="https://doi.org/10.1016/j.cpr.2007.01.002" TargetMode="External" /><Relationship Type="http://schemas.openxmlformats.org/officeDocument/2006/relationships/hyperlink" Id="rId83"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5" Target="https://doi.org/10.1016/j.jsat.2013.08.004" TargetMode="External" /><Relationship Type="http://schemas.openxmlformats.org/officeDocument/2006/relationships/hyperlink" Id="rId108"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0"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14" Target="https://doi.org/10.1037/pas0000685" TargetMode="External" /><Relationship Type="http://schemas.openxmlformats.org/officeDocument/2006/relationships/hyperlink" Id="rId94" Target="https://doi.org/10.1214/17-EJS1338SI" TargetMode="External" /><Relationship Type="http://schemas.openxmlformats.org/officeDocument/2006/relationships/hyperlink" Id="rId73"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6" Target="https://doi.org/10.2196/41833" TargetMode="External" /><Relationship Type="http://schemas.openxmlformats.org/officeDocument/2006/relationships/hyperlink" Id="rId118" Target="https://doi.org/10.31234/osf.io/cgsf7" TargetMode="External" /><Relationship Type="http://schemas.openxmlformats.org/officeDocument/2006/relationships/hyperlink" Id="rId86"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8" Target="https://doi.org/10.1001/jamanetworkopen.2020.5852" TargetMode="External" /><Relationship Type="http://schemas.openxmlformats.org/officeDocument/2006/relationships/hyperlink" Id="rId91" Target="https://doi.org/10.1007/978-1-4614-6849-3" TargetMode="External" /><Relationship Type="http://schemas.openxmlformats.org/officeDocument/2006/relationships/hyperlink" Id="rId71" Target="https://doi.org/10.1016/j.addbeh.2017.11.039" TargetMode="External" /><Relationship Type="http://schemas.openxmlformats.org/officeDocument/2006/relationships/hyperlink" Id="rId79" Target="https://doi.org/10.1016/j.brat.2019.01.010" TargetMode="External" /><Relationship Type="http://schemas.openxmlformats.org/officeDocument/2006/relationships/hyperlink" Id="rId77" Target="https://doi.org/10.1016/j.brat.2019.103506" TargetMode="External" /><Relationship Type="http://schemas.openxmlformats.org/officeDocument/2006/relationships/hyperlink" Id="rId112" Target="https://doi.org/10.1016/j.cpr.2007.01.002" TargetMode="External" /><Relationship Type="http://schemas.openxmlformats.org/officeDocument/2006/relationships/hyperlink" Id="rId83" Target="https://doi.org/10.1016/j.drugalcdep.2006.05.012" TargetMode="External" /><Relationship Type="http://schemas.openxmlformats.org/officeDocument/2006/relationships/hyperlink" Id="rId102" Target="https://doi.org/10.1016/j.drugalcdep.2019.05.017" TargetMode="External" /><Relationship Type="http://schemas.openxmlformats.org/officeDocument/2006/relationships/hyperlink" Id="rId75" Target="https://doi.org/10.1016/j.jsat.2013.08.004" TargetMode="External" /><Relationship Type="http://schemas.openxmlformats.org/officeDocument/2006/relationships/hyperlink" Id="rId108" Target="https://doi.org/10.1016/j.jsat.2021.108417" TargetMode="External" /><Relationship Type="http://schemas.openxmlformats.org/officeDocument/2006/relationships/hyperlink" Id="rId100" Target="https://doi.org/10.1016/j.jsat.2021.108710" TargetMode="External" /><Relationship Type="http://schemas.openxmlformats.org/officeDocument/2006/relationships/hyperlink" Id="rId110" Target="https://doi.org/10.1037/0003-066X.59.4.224" TargetMode="External" /><Relationship Type="http://schemas.openxmlformats.org/officeDocument/2006/relationships/hyperlink" Id="rId106" Target="https://doi.org/10.1037/adb0000666" TargetMode="External" /><Relationship Type="http://schemas.openxmlformats.org/officeDocument/2006/relationships/hyperlink" Id="rId114" Target="https://doi.org/10.1037/pas0000685" TargetMode="External" /><Relationship Type="http://schemas.openxmlformats.org/officeDocument/2006/relationships/hyperlink" Id="rId94" Target="https://doi.org/10.1214/17-EJS1338SI" TargetMode="External" /><Relationship Type="http://schemas.openxmlformats.org/officeDocument/2006/relationships/hyperlink" Id="rId73" Target="https://doi.org/10.21231/GNT1-HW21" TargetMode="External" /><Relationship Type="http://schemas.openxmlformats.org/officeDocument/2006/relationships/hyperlink" Id="rId98" Target="https://doi.org/10.2196/29563" TargetMode="External" /><Relationship Type="http://schemas.openxmlformats.org/officeDocument/2006/relationships/hyperlink" Id="rId116" Target="https://doi.org/10.2196/41833" TargetMode="External" /><Relationship Type="http://schemas.openxmlformats.org/officeDocument/2006/relationships/hyperlink" Id="rId118" Target="https://doi.org/10.31234/osf.io/cgsf7" TargetMode="External" /><Relationship Type="http://schemas.openxmlformats.org/officeDocument/2006/relationships/hyperlink" Id="rId86"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2024-08-26T19:32:19Z</dcterms:created>
  <dcterms:modified xsi:type="dcterms:W3CDTF">2024-08-26T19:32:19Z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