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59.png" ContentType="image/png"/>
  <Override PartName="/word/media/rId2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2024-07-30</w:t>
      </w:r>
    </w:p>
    <w:p>
      <w:pPr>
        <w:pStyle w:val="AbstractTitle"/>
      </w:pPr>
      <w:r>
        <w:t xml:space="preserve">Abstract</w:t>
      </w:r>
    </w:p>
    <w:p>
      <w:pPr>
        <w:pStyle w:val="Abstract"/>
      </w:pPr>
      <w:r>
        <w:t xml:space="preserve">This</w:t>
      </w:r>
      <w:r>
        <w:t xml:space="preserve"> </w:t>
      </w:r>
      <w:r>
        <w:t xml:space="preserve">study</w:t>
      </w:r>
      <w:r>
        <w:t xml:space="preserve"> </w:t>
      </w:r>
      <w:r>
        <w:t xml:space="preserve">found</w:t>
      </w:r>
      <w:r>
        <w:t xml:space="preserve"> </w:t>
      </w:r>
      <w:r>
        <w:t xml:space="preserve">some</w:t>
      </w:r>
      <w:r>
        <w:t xml:space="preserve"> </w:t>
      </w:r>
      <w:r>
        <w:t xml:space="preserve">pretty</w:t>
      </w:r>
      <w:r>
        <w:t xml:space="preserve"> </w:t>
      </w:r>
      <w:r>
        <w:t xml:space="preserve">cool</w:t>
      </w:r>
      <w:r>
        <w:t xml:space="preserve"> </w:t>
      </w:r>
      <w:r>
        <w:t xml:space="preserve">results</w:t>
      </w:r>
      <w:r>
        <w:t xml:space="preserve"> </w:t>
      </w:r>
      <w:r>
        <w:t xml:space="preserve">that</w:t>
      </w:r>
      <w:r>
        <w:t xml:space="preserve"> </w:t>
      </w:r>
      <w:r>
        <w:t xml:space="preserve">have</w:t>
      </w:r>
      <w:r>
        <w:t xml:space="preserve"> </w:t>
      </w:r>
      <w:r>
        <w:t xml:space="preserve">both</w:t>
      </w:r>
      <w:r>
        <w:t xml:space="preserve"> </w:t>
      </w:r>
      <w:r>
        <w:t xml:space="preserve">high</w:t>
      </w:r>
      <w:r>
        <w:t xml:space="preserve"> </w:t>
      </w:r>
      <w:r>
        <w:t xml:space="preserve">impact</w:t>
      </w:r>
      <w:r>
        <w:t xml:space="preserve"> </w:t>
      </w:r>
      <w:r>
        <w:t xml:space="preserve">and</w:t>
      </w:r>
      <w:r>
        <w:t xml:space="preserve"> </w:t>
      </w:r>
      <w:r>
        <w:t xml:space="preserve">important</w:t>
      </w:r>
      <w:r>
        <w:t xml:space="preserve"> </w:t>
      </w:r>
      <w:r>
        <w:t xml:space="preserve">clinical</w:t>
      </w:r>
      <w:r>
        <w:t xml:space="preserve"> </w:t>
      </w:r>
      <w:r>
        <w:t xml:space="preserve">implications.</w:t>
      </w:r>
      <w:r>
        <w:t xml:space="preserve"> </w:t>
      </w:r>
      <w:r>
        <w:t xml:space="preserve">For</w:t>
      </w:r>
      <w:r>
        <w:t xml:space="preserve"> </w:t>
      </w:r>
      <w:r>
        <w:t xml:space="preserve">example</w:t>
      </w:r>
      <w:r>
        <w:t xml:space="preserve"> </w:t>
      </w:r>
      <w:r>
        <w:t xml:space="preserv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psychosocial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The study did not find any differences in treatment success. This can likely be attributed to 1) low-dimensional analyses that failed to capture the complex and heterogeneous nature of substance use disorders; and 2) their use of static distal features to predict a non-linear, time-varying course of recovery, lapse, and relapse</w:t>
      </w:r>
      <w:r>
        <w:t xml:space="preserve"> </w:t>
      </w:r>
      <w:r>
        <w:t xml:space="preserve">(Witkiewitz and Marlatt 2007)</w:t>
      </w:r>
      <w:r>
        <w:t xml:space="preserve">. In other words, they used overly simplistic models to address the question of</w:t>
      </w:r>
      <w:r>
        <w:t xml:space="preserve"> </w:t>
      </w:r>
      <w:r>
        <w:rPr>
          <w:i/>
          <w:iCs/>
        </w:rPr>
        <w:t xml:space="preserve">how</w:t>
      </w:r>
      <w:r>
        <w:t xml:space="preserve"> </w:t>
      </w:r>
      <w:r>
        <w:t xml:space="preserve">and did not consider the question of</w:t>
      </w:r>
      <w:r>
        <w:t xml:space="preserve"> </w:t>
      </w:r>
      <w:r>
        <w:rPr>
          <w:i/>
          <w:iCs/>
        </w:rPr>
        <w:t xml:space="preserve">when</w:t>
      </w:r>
      <w:r>
        <w:t xml:space="preserve">.</w:t>
      </w:r>
    </w:p>
    <w:p>
      <w:pPr>
        <w:pStyle w:val="BodyText"/>
      </w:pPr>
      <w:r>
        <w:t xml:space="preserve">The</w:t>
      </w:r>
      <w:r>
        <w:t xml:space="preserve"> </w:t>
      </w:r>
      <w:r>
        <w:rPr>
          <w:i/>
          <w:iCs/>
        </w:rPr>
        <w:t xml:space="preserve">when</w:t>
      </w:r>
      <w:r>
        <w:t xml:space="preserve"> </w:t>
      </w:r>
      <w:r>
        <w:t xml:space="preserve">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Recent advances in both personal sensing and machine learning may address these barriers to successful precision mental health. Personal sensing allows for frequent, longitudinal measurement of changes in proximal risk (e.g., for a lapse) with high temporal precision. Machine learning uses high dimensional inputs that can capture the complexity of mental health conditions. Moreover, tools from machine learning can be applied to models to understand which factors are important to a specific individual at a specific moment in time.</w:t>
      </w:r>
    </w:p>
    <w:p>
      <w:pPr>
        <w:pStyle w:val="BodyText"/>
      </w:pPr>
      <w:r>
        <w:t xml:space="preserve">Ecological momentary assessment (EMA) may be particularly well-suited for these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r>
        <w:t xml:space="preserve"> </w:t>
      </w:r>
      <w:r>
        <w:t xml:space="preserve"> </w:t>
      </w: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within the next week, day, and hour with clinically meaningful accuracy - area under the receiver operating curves (auROCs) of 0.90, 0.91, and 0.93, respectively</w:t>
      </w:r>
      <w:r>
        <w:t xml:space="preserve"> </w:t>
      </w:r>
      <w:r>
        <w:t xml:space="preserve">(Wyant et al. n.d.)</w:t>
      </w:r>
      <w:r>
        <w:t xml:space="preserve">. We also characterized the relative importance of features contributing to these risk probabilities for specific individuals at specific moments in time. These models are well-suited to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with predictions shifted further into the future could provide patients with increased lead time to implement supports that might not be immediately available to them.</w:t>
      </w:r>
    </w:p>
    <w:p>
      <w:pPr>
        <w:pStyle w:val="BodyText"/>
      </w:pPr>
      <w:r>
        <w:t xml:space="preserve">In this study, we compared the performance of one of our models from a previous study</w:t>
      </w:r>
      <w:r>
        <w:t xml:space="preserve"> </w:t>
      </w:r>
      <w:r>
        <w:t xml:space="preserve">(Wyant et al. n.d.)</w:t>
      </w:r>
      <w:r>
        <w:t xml:space="preserve"> </w:t>
      </w:r>
      <w:r>
        <w:t xml:space="preserve">with models using increased lag time between predictions and outcomes. Specifically, we used the same EMA features as our immediate model and train new models to predict the probability of a lapse beginning one day (24 hours), three days (72 hours), one week (168 hours), or two weeks (336 hours) into the future. Our primary objective was to assess how well models perform with increasing lag time.</w:t>
      </w:r>
    </w:p>
    <w:bookmarkEnd w:id="21"/>
    <w:bookmarkStart w:id="45"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n.d.)</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w:t>
      </w:r>
    </w:p>
    <w:bookmarkEnd w:id="27"/>
    <w:bookmarkEnd w:id="28"/>
    <w:bookmarkStart w:id="44"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4" w:name="lapse-labels"/>
    <w:p>
      <w:pPr>
        <w:pStyle w:val="Heading3"/>
      </w:pPr>
      <w:r>
        <w:t xml:space="preserve">Lapse Labels</w:t>
      </w:r>
    </w:p>
    <w:p>
      <w:pPr>
        <w:pStyle w:val="FirstParagraph"/>
      </w:pPr>
      <w:r>
        <w:t xml:space="preserve">We predicted lapses occurring in one week windows (</w:t>
      </w:r>
      <w:hyperlink w:anchor="fig-methods">
        <w:r>
          <w:rPr>
            <w:rStyle w:val="Hyperlink"/>
          </w:rPr>
          <w:t xml:space="preserve">Figure 1</w:t>
        </w:r>
      </w:hyperlink>
      <w:r>
        <w:t xml:space="preserve">). Predictions were updated hourly. Therefore our models provided hour-by-hour predictions of future probability of an alcohol lapse within a one week window shifted at various time points (i.e., lags) into the future (no lag and 24 hour, 72 hour, 168 hour, or 336 hour lagged predictions).</w:t>
      </w:r>
    </w:p>
    <w:tbl>
      <w:tblPr>
        <w:tblStyle w:val="Table"/>
        <w:tblW w:type="pct" w:w="5000"/>
        <w:tblLayout w:type="fixed"/>
        <w:tblLook w:firstRow="0" w:lastRow="0" w:firstColumn="0" w:lastColumn="0" w:noHBand="0" w:noVBand="0" w:val="0000"/>
      </w:tblPr>
      <w:tblGrid>
        <w:gridCol w:w="7920"/>
      </w:tblGrid>
      <w:tr>
        <w:tc>
          <w:tcPr/>
          <w:bookmarkStart w:id="32" w:name="fig-methods"/>
          <w:p>
            <w:pPr>
              <w:pStyle w:val="Compact"/>
              <w:jc w:val="center"/>
            </w:pPr>
            <w:r>
              <w:drawing>
                <wp:inline>
                  <wp:extent cx="5334000" cy="2528093"/>
                  <wp:effectExtent b="0" l="0" r="0" t="0"/>
                  <wp:docPr descr="" title="" id="30" name="Picture"/>
                  <a:graphic>
                    <a:graphicData uri="http://schemas.openxmlformats.org/drawingml/2006/picture">
                      <pic:pic>
                        <pic:nvPicPr>
                          <pic:cNvPr descr="index_files/figure-docx/notebooks-methods_figure-fig-methods-output-1.jpeg" id="31" name="Picture"/>
                          <pic:cNvPicPr>
                            <a:picLocks noChangeArrowheads="1" noChangeAspect="1"/>
                          </pic:cNvPicPr>
                        </pic:nvPicPr>
                        <pic:blipFill>
                          <a:blip r:embed="rId29"/>
                          <a:stretch>
                            <a:fillRect/>
                          </a:stretch>
                        </pic:blipFill>
                        <pic:spPr bwMode="auto">
                          <a:xfrm>
                            <a:off x="0" y="0"/>
                            <a:ext cx="5334000" cy="25280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We used all available data up until the prediction timepoint to generate features using varying scoring epochs. Prediction timepoints rolled forward hour-by-hour (Pannel A). Prediction windows were 1 week wide. A prediction window started immediately after the prediction timepoint (0 lag) or was lagged by 24, 72, 168, or 336 hours (Pannel B).</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Read in Methods Figure</w:t>
        </w:r>
      </w:hyperlink>
    </w:p>
    <w:p>
      <w:pPr>
        <w:pStyle w:val="BodyText"/>
      </w:pPr>
      <w:r>
        <w:t xml:space="preserve">The first prediction window for each participant began 24 hours from midnight on their study start date + lag time. For example, the first prediction for the 24 hour lagged prediction model would be 48 hours after participants’ start date. This ensured at least 24 hours of past EMAs for future lapse prediction in these first windows. Subsequent windows for each participant were created by repeatedly rolling the window start time forward one hour until the end of their study participation (i.e., each participant’s last prediction window started one week before their last recorded EMA).</w:t>
      </w:r>
    </w:p>
    <w:p>
      <w:pPr>
        <w:pStyle w:val="BodyText"/>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34"/>
    <w:bookmarkStart w:id="35"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5"/>
    <w:bookmarkStart w:id="43" w:name="model-training-and-evaluation"/>
    <w:p>
      <w:pPr>
        <w:pStyle w:val="Heading3"/>
      </w:pPr>
      <w:r>
        <w:t xml:space="preserve">Model Training and Evaluation</w:t>
      </w:r>
    </w:p>
    <w:bookmarkStart w:id="36"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6"/>
    <w:bookmarkStart w:id="37"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7"/>
    <w:bookmarkStart w:id="38" w:name="model-evaluation"/>
    <w:p>
      <w:pPr>
        <w:pStyle w:val="Heading4"/>
      </w:pPr>
      <w:r>
        <w:t xml:space="preserve">Model Evaluation</w:t>
      </w:r>
    </w:p>
    <w:p>
      <w:pPr>
        <w:pStyle w:val="FirstParagraph"/>
      </w:pPr>
      <w:r>
        <w:t xml:space="preserve">We used a Bayesian hierarchical generalized linear model to estimate the posterior probability distributions and 95% Bayesian credible intervals (CIs) for auROC for the five best models (no lag and 24 hour, 72 hour, 168 hour, and 336 hour lagged predictions) on the 30 held-out test sets. The median posterior probability for auROC represents our best estimate for the magnitude of the auROC parameter for each model. If the confidence intervals do not contain .5 (chance performance), this suggests our model is capturing signal in the data.</w:t>
      </w:r>
    </w:p>
    <w:bookmarkEnd w:id="38"/>
    <w:bookmarkStart w:id="39" w:name="model-comparisons"/>
    <w:p>
      <w:pPr>
        <w:pStyle w:val="Heading4"/>
      </w:pPr>
      <w:r>
        <w:t xml:space="preserve">Model Comparisons</w:t>
      </w:r>
    </w:p>
    <w:p>
      <w:pPr>
        <w:pStyle w:val="FirstParagraph"/>
      </w:pPr>
      <w:r>
        <w:t xml:space="preserve">We performed two sets of Bayesian model comparisons. First, we compared each lagged model to our baseline model (no lag)</w:t>
      </w:r>
      <w:r>
        <w:t xml:space="preserve"> </w:t>
      </w:r>
      <w:r>
        <w:t xml:space="preserve">(Wyant et al. n.d.)</w:t>
      </w:r>
      <w:r>
        <w:t xml:space="preserve">. We have demonstrated previously that our baseline model performs well. These comparisons show whether we can predict lapses with similar performance with varying lags (i.e., no lag vs. 24 hours, no lag vs. 72 hours, no lag vs. 168 hours, no lag vs. 336 hours).</w:t>
      </w:r>
    </w:p>
    <w:p>
      <w:pPr>
        <w:pStyle w:val="BodyText"/>
      </w:pPr>
      <w:r>
        <w:t xml:space="preserve">Second, we compared each adjacent lagged model (i.e., 24 hours vs 72 hours, 72 hours vs. 168 hours, and 168 hours vs. 336 hours). These comparisons allow us to determine the probability that the lagged models systematically differed as predictions were made further into the future.</w:t>
      </w:r>
    </w:p>
    <w:p>
      <w:pPr>
        <w:pStyle w:val="BodyText"/>
      </w:pPr>
      <w:r>
        <w:t xml:space="preserve">For both sets of model comparisons, we determined the probability that the models’ performances differed systematically from each other by regressing the auROCs (logit transformed) from the 30 test sets as a function of the contrast. We set two random intercepts: one for the repeat, and another for the fold within repeat. We also report the precise posterior probability for the difference in auROCs and the 95% Bayesian CIs. If there was a probability &gt; 0.95 that the more lagged model’s performance was worse, we labeled the model contrast as significant.</w:t>
      </w:r>
    </w:p>
    <w:bookmarkEnd w:id="39"/>
    <w:bookmarkStart w:id="41" w:name="fairness-benchmarks"/>
    <w:p>
      <w:pPr>
        <w:pStyle w:val="Heading4"/>
      </w:pPr>
      <w:r>
        <w:t xml:space="preserve">Fairness Benchmarks</w:t>
      </w:r>
    </w:p>
    <w:p>
      <w:pPr>
        <w:pStyle w:val="FirstParagraph"/>
      </w:pPr>
      <w:r>
        <w:t xml:space="preserve">We aim for the responsible and transparent reporting of model performance and clinical utility. In these efforts, we calculated the median posterior probability and 95% Bayesian CI for auROC for each model separately for three dichotomized demographic groups with potential disparities in access to substance use treatment - race and ethnicity (non-Hispanic White vs. non-White)</w:t>
      </w:r>
      <w:r>
        <w:t xml:space="preserve"> </w:t>
      </w:r>
      <w:r>
        <w:t xml:space="preserve">(Pinedo 2019; Kilaru et al. 2020)</w:t>
      </w:r>
      <w:r>
        <w:t xml:space="preserve">, income (above poverty vs. below poverty)</w:t>
      </w:r>
      <w:r>
        <w:t xml:space="preserve"> </w:t>
      </w:r>
      <w:r>
        <w:t xml:space="preserve">(Olfson et al. 2022)</w:t>
      </w:r>
      <w:r>
        <w:t xml:space="preserve">, and sex at birth (male vs. female)</w:t>
      </w:r>
      <w:r>
        <w:t xml:space="preserve"> </w:t>
      </w:r>
      <w:r>
        <w:t xml:space="preserve">(Greenfield et al. 2007; Kilaru et al. 2020)</w:t>
      </w:r>
      <w:r>
        <w:t xml:space="preserve">.</w:t>
      </w:r>
    </w:p>
    <w:p>
      <w:pPr>
        <w:pStyle w:val="BodyText"/>
      </w:pPr>
      <w:r>
        <w:t xml:space="preserve">We also acknowledge that models that work for only a subset of people, if implemented, could widen existing treatment disparities. We conducted Bayesian group comparisons to assess the likelihood that the model performs differently by group. We report median differences in posterior probabilities and the range.</w:t>
      </w:r>
      <w:r>
        <w:rPr>
          <w:rStyle w:val="FootnoteReference"/>
        </w:rPr>
        <w:footnoteReference w:id="40"/>
      </w:r>
    </w:p>
    <w:bookmarkEnd w:id="41"/>
    <w:bookmarkStart w:id="42"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42"/>
    <w:bookmarkEnd w:id="43"/>
    <w:bookmarkEnd w:id="44"/>
    <w:bookmarkEnd w:id="45"/>
    <w:bookmarkStart w:id="105" w:name="results"/>
    <w:p>
      <w:pPr>
        <w:pStyle w:val="Heading1"/>
      </w:pPr>
      <w:r>
        <w:t xml:space="preserve">Results</w:t>
      </w:r>
    </w:p>
    <w:bookmarkStart w:id="48"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(mean=8.9; SD=1.9; range=4.0-11.0). Most participants (N=84; 55.6%) reported one or more lapses during participation. The median number of lapses per participant while on-study was 1.0 (mean=6.8; SD = 12.0; range=0.0-75.0).</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6"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6"/>
          <w:p/>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Make All Tables for Main Manuscript</w:t>
        </w:r>
      </w:hyperlink>
    </w:p>
    <w:bookmarkEnd w:id="48"/>
    <w:bookmarkStart w:id="54" w:name="model-evaluation-1"/>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[0.830-0.872].Panel A in</w:t>
      </w:r>
      <w:r>
        <w:t xml:space="preserve"> </w:t>
      </w:r>
      <w:hyperlink w:anchor="fig-1">
        <w:r>
          <w:rPr>
            <w:rStyle w:val="Hyperlink"/>
          </w:rPr>
          <w:t xml:space="preserve">Figure 2</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52" w:name="fig-1"/>
          <w:p>
            <w:pPr>
              <w:pStyle w:val="Compact"/>
              <w:jc w:val="center"/>
            </w:pPr>
            <w:r>
              <w:drawing>
                <wp:inline>
                  <wp:extent cx="5334000" cy="3810000"/>
                  <wp:effectExtent b="0" l="0" r="0" t="0"/>
                  <wp:docPr descr="" title="" id="50" name="Picture"/>
                  <a:graphic>
                    <a:graphicData uri="http://schemas.openxmlformats.org/drawingml/2006/picture">
                      <pic:pic>
                        <pic:nvPicPr>
                          <pic:cNvPr descr="index_files/figure-docx/notebooks-mak_figures-fig-1-output-1.png" id="51" name="Picture"/>
                          <pic:cNvPicPr>
                            <a:picLocks noChangeArrowheads="1" noChangeAspect="1"/>
                          </pic:cNvPicPr>
                        </pic:nvPicPr>
                        <pic:blipFill>
                          <a:blip r:embed="rId4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posterior probability for area under ROC curve (auROC) and Bayesian credible intervals by model. Dashed line indicates a model performing at chance. Panel B depicts difference in auROCs by demographic group</w:t>
            </w:r>
          </w:p>
          <w:bookmarkEnd w:id="52"/>
        </w:tc>
      </w:tr>
    </w:tbl>
    <w:p>
      <w:pPr>
        <w:pStyle w:val="BodyText"/>
      </w:pPr>
      <w:r>
        <w:rPr>
          <w:vertAlign w:val="subscript"/>
        </w:rPr>
        <w:t xml:space="preserve">Source:</w:t>
      </w:r>
      <w:r>
        <w:rPr>
          <w:vertAlign w:val="subscript"/>
        </w:rPr>
        <w:t xml:space="preserve"> </w:t>
      </w:r>
      <w:hyperlink r:id="rId53">
        <w:r>
          <w:rPr>
            <w:rStyle w:val="Hyperlink"/>
            <w:vertAlign w:val="subscript"/>
          </w:rPr>
          <w:t xml:space="preserve">Make All Figures for Main Manuscript</w:t>
        </w:r>
      </w:hyperlink>
    </w:p>
    <w:bookmarkEnd w:id="54"/>
    <w:bookmarkStart w:id="57" w:name="model-comparisons-1"/>
    <w:p>
      <w:pPr>
        <w:pStyle w:val="Heading2"/>
      </w:pPr>
      <w:r>
        <w:t xml:space="preserve">Model Comparisons</w:t>
      </w:r>
    </w:p>
    <w:bookmarkStart w:id="55"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increase in auROC for the baseline vs. 168 hour lag model was 0.023 (95% CI=[0.016-0.029]), yielding a significant probability of 1.000 that the lagged model had worse performance. The median increase in auROC for the baseline vs. 336 hour lag model was 0.041 (95% CI=[0.033-0.049]), yielding a significant probability of 1.000 that the lagged model had worse performance.</w:t>
      </w:r>
    </w:p>
    <w:bookmarkEnd w:id="55"/>
    <w:bookmarkStart w:id="56"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6"/>
    <w:bookmarkEnd w:id="57"/>
    <w:bookmarkStart w:id="58" w:name="fairness-benchmarks-1"/>
    <w:p>
      <w:pPr>
        <w:pStyle w:val="Heading2"/>
      </w:pPr>
      <w:r>
        <w:t xml:space="preserve">Fairness Benchmarks</w:t>
      </w:r>
    </w:p>
    <w:p>
      <w:pPr>
        <w:pStyle w:val="FirstParagraph"/>
      </w:pPr>
      <w:r>
        <w:t xml:space="preserve">Panel B in</w:t>
      </w:r>
      <w:r>
        <w:t xml:space="preserve"> </w:t>
      </w:r>
      <w:hyperlink w:anchor="fig-1">
        <w:r>
          <w:rPr>
            <w:rStyle w:val="Hyperlink"/>
          </w:rPr>
          <w:t xml:space="preserve">Figure 2</w:t>
        </w:r>
      </w:hyperlink>
      <w:r>
        <w:t xml:space="preserve"> </w:t>
      </w:r>
      <w:r>
        <w:t xml:space="preserve">shows the difference in performance of each model by demographic group. All group comparisons for race, sex at birth, and income were significant (probability &gt; .95) across models. On average there was a median increase in auROC of -0.159 (range NA–0.179) for non-Hispanic White participants compared to participants who were not White. On average there was a median increase in auROC of -0.080 (range -0.059–0.116) for male participants compared to female participants. On average there was a median increase in auROC of -0.092 (range -0.086–0.133) for participants above the federal poverty line compared to participants below the federal poverty line. A table of model performance for each demographic group separately by model can be found in the supplement.</w:t>
      </w:r>
    </w:p>
    <w:bookmarkEnd w:id="58"/>
    <w:bookmarkStart w:id="64"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3</w:t>
        </w:r>
      </w:hyperlink>
      <w:r>
        <w:t xml:space="preserve">. Consistent with previous models using similar features, past use was the most important feature category for lapse prediction across lagged models. Future abstinence efficacy was also globally important across models. Overall, the contribution of a feature category to model performance did not appear to differ across models.</w:t>
      </w:r>
    </w:p>
    <w:p>
      <w:pPr>
        <w:pStyle w:val="BodyText"/>
      </w:pPr>
      <w:r>
        <w:t xml:space="preserve">Panel B shows the local feature importance scores colored by high or low feature value for the 336 hour lag model.</w:t>
      </w:r>
      <w:r>
        <w:t xml:space="preserve"> </w:t>
      </w:r>
      <w:r>
        <w:t xml:space="preserve">.</w:t>
      </w:r>
    </w:p>
    <w:tbl>
      <w:tblPr>
        <w:tblStyle w:val="Table"/>
        <w:tblW w:type="pct" w:w="5000"/>
        <w:tblLayout w:type="fixed"/>
        <w:tblLook w:firstRow="0" w:lastRow="0" w:firstColumn="0" w:lastColumn="0" w:noHBand="0" w:noVBand="0" w:val="0000"/>
      </w:tblPr>
      <w:tblGrid>
        <w:gridCol w:w="7920"/>
      </w:tblGrid>
      <w:tr>
        <w:tc>
          <w:tcPr/>
          <w:bookmarkStart w:id="62" w:name="fig-shap"/>
          <w:p>
            <w:pPr>
              <w:pStyle w:val="Compact"/>
              <w:jc w:val="center"/>
            </w:pPr>
            <w:r>
              <w:drawing>
                <wp:inline>
                  <wp:extent cx="5334000" cy="4191000"/>
                  <wp:effectExtent b="0" l="0" r="0" t="0"/>
                  <wp:docPr descr="" title="" id="60" name="Picture"/>
                  <a:graphic>
                    <a:graphicData uri="http://schemas.openxmlformats.org/drawingml/2006/picture">
                      <pic:pic>
                        <pic:nvPicPr>
                          <pic:cNvPr descr="index_files/figure-docx/notebooks-mak_figures-fig-shap-output-1.png" id="61" name="Picture"/>
                          <pic:cNvPicPr>
                            <a:picLocks noChangeArrowheads="1" noChangeAspect="1"/>
                          </pic:cNvPicPr>
                        </pic:nvPicPr>
                        <pic:blipFill>
                          <a:blip r:embed="rId59"/>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336 hour lagged model.</w:t>
            </w:r>
          </w:p>
          <w:bookmarkEnd w:id="62"/>
        </w:tc>
      </w:tr>
    </w:tbl>
    <w:p>
      <w:pPr>
        <w:pStyle w:val="BodyText"/>
      </w:pPr>
      <w:r>
        <w:rPr>
          <w:vertAlign w:val="subscript"/>
        </w:rPr>
        <w:t xml:space="preserve">Source:</w:t>
      </w:r>
      <w:r>
        <w:rPr>
          <w:vertAlign w:val="subscript"/>
        </w:rPr>
        <w:t xml:space="preserve"> </w:t>
      </w:r>
      <w:hyperlink r:id="rId63">
        <w:r>
          <w:rPr>
            <w:rStyle w:val="Hyperlink"/>
            <w:vertAlign w:val="subscript"/>
          </w:rPr>
          <w:t xml:space="preserve">Make All Figures for Main Manuscript</w:t>
        </w:r>
      </w:hyperlink>
    </w:p>
    <w:bookmarkEnd w:id="64"/>
    <w:bookmarkStart w:id="65" w:name="discussion"/>
    <w:p>
      <w:pPr>
        <w:pStyle w:val="Heading2"/>
      </w:pPr>
      <w:r>
        <w:t xml:space="preserve">Discussion</w:t>
      </w:r>
    </w:p>
    <w:p>
      <w:pPr>
        <w:numPr>
          <w:ilvl w:val="0"/>
          <w:numId w:val="1003"/>
        </w:numPr>
      </w:pPr>
      <w:r>
        <w:t xml:space="preserve">Model degrades but perhaps not meaningfully even down to two weeks out.</w:t>
      </w:r>
    </w:p>
    <w:p>
      <w:pPr>
        <w:numPr>
          <w:ilvl w:val="0"/>
          <w:numId w:val="1003"/>
        </w:numPr>
      </w:pPr>
      <w:r>
        <w:t xml:space="preserve">All models were worse for women and people were not white and below poverty line.</w:t>
      </w:r>
    </w:p>
    <w:p>
      <w:pPr>
        <w:numPr>
          <w:ilvl w:val="0"/>
          <w:numId w:val="1003"/>
        </w:numPr>
      </w:pPr>
      <w:r>
        <w:t xml:space="preserve">Improving model performance for unprivileged classes. Considering other important classes for SUD, such as geographic location, Improving diversity of training data</w:t>
      </w:r>
    </w:p>
    <w:p>
      <w:pPr>
        <w:numPr>
          <w:ilvl w:val="0"/>
          <w:numId w:val="1003"/>
        </w:numPr>
      </w:pPr>
      <w:r>
        <w:t xml:space="preserve">Performance discrepancies sets up fairness methods paper. How can we improve these discrepancies? Mention in discussion as current future direction</w:t>
      </w:r>
    </w:p>
    <w:p>
      <w:pPr>
        <w:numPr>
          <w:ilvl w:val="0"/>
          <w:numId w:val="1003"/>
        </w:numPr>
      </w:pPr>
      <w:r>
        <w:t xml:space="preserve">Note from Gaylen: if the model performance doesn’t degrade much, and the feature importance doesn’t seem to change much across lags… what does this say about the need for proximal predictors? obviously 2-3 weeks out is different than 6 months out, but even in-the-moment features are still important for predicting a lapse up to 3 weeks later (2 week lag plus 1 week window as lapse could be any time within the window). it is obviously exciting that we can do this advanced prediction, but i think you’ll have to navigate the line between celebrating that success and still calling for dense monitoring of proximal predictors</w:t>
      </w:r>
    </w:p>
    <w:bookmarkEnd w:id="65"/>
    <w:bookmarkStart w:id="104" w:name="references"/>
    <w:p>
      <w:pPr>
        <w:pStyle w:val="Heading2"/>
      </w:pPr>
      <w:r>
        <w:t xml:space="preserve">References</w:t>
      </w:r>
    </w:p>
    <w:bookmarkStart w:id="103" w:name="refs"/>
    <w:bookmarkStart w:id="67"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66">
        <w:r>
          <w:rPr>
            <w:rStyle w:val="Hyperlink"/>
          </w:rPr>
          <w:t xml:space="preserve">https://doi.org/10.1016/j.addbeh.2017.11.039</w:t>
        </w:r>
      </w:hyperlink>
      <w:r>
        <w:t xml:space="preserve">.</w:t>
      </w:r>
    </w:p>
    <w:bookmarkEnd w:id="67"/>
    <w:bookmarkStart w:id="69"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8">
        <w:r>
          <w:rPr>
            <w:rStyle w:val="Hyperlink"/>
          </w:rPr>
          <w:t xml:space="preserve">https://doi.org/10.21231/GNT1-HW21</w:t>
        </w:r>
      </w:hyperlink>
      <w:r>
        <w:t xml:space="preserve">.</w:t>
      </w:r>
    </w:p>
    <w:bookmarkEnd w:id="69"/>
    <w:bookmarkStart w:id="71"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0">
        <w:r>
          <w:rPr>
            <w:rStyle w:val="Hyperlink"/>
          </w:rPr>
          <w:t xml:space="preserve">https://doi.org/10.1016/j.jsat.2013.08.004</w:t>
        </w:r>
      </w:hyperlink>
      <w:r>
        <w:t xml:space="preserve">.</w:t>
      </w:r>
    </w:p>
    <w:bookmarkEnd w:id="71"/>
    <w:bookmarkStart w:id="73"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2">
        <w:r>
          <w:rPr>
            <w:rStyle w:val="Hyperlink"/>
          </w:rPr>
          <w:t xml:space="preserve">https://doi.org/10.1016/j.brat.2019.103506</w:t>
        </w:r>
      </w:hyperlink>
      <w:r>
        <w:t xml:space="preserve">.</w:t>
      </w:r>
    </w:p>
    <w:bookmarkEnd w:id="73"/>
    <w:bookmarkStart w:id="75"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74">
        <w:r>
          <w:rPr>
            <w:rStyle w:val="Hyperlink"/>
          </w:rPr>
          <w:t xml:space="preserve">https://doi.org/10.1016/j.drugalcdep.2006.05.012</w:t>
        </w:r>
      </w:hyperlink>
      <w:r>
        <w:t xml:space="preserve">.</w:t>
      </w:r>
    </w:p>
    <w:bookmarkEnd w:id="75"/>
    <w:bookmarkStart w:id="76"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76"/>
    <w:bookmarkStart w:id="78"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77">
        <w:r>
          <w:rPr>
            <w:rStyle w:val="Hyperlink"/>
          </w:rPr>
          <w:t xml:space="preserve">https://doi.org/10.1001/jamanetworkopen.2020.5852</w:t>
        </w:r>
      </w:hyperlink>
      <w:r>
        <w:t xml:space="preserve">.</w:t>
      </w:r>
    </w:p>
    <w:bookmarkEnd w:id="78"/>
    <w:bookmarkStart w:id="80"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79">
        <w:r>
          <w:rPr>
            <w:rStyle w:val="Hyperlink"/>
          </w:rPr>
          <w:t xml:space="preserve">https://doi.org/10.1007/978-1-4614-6849-3</w:t>
        </w:r>
      </w:hyperlink>
      <w:r>
        <w:t xml:space="preserve">.</w:t>
      </w:r>
    </w:p>
    <w:bookmarkEnd w:id="80"/>
    <w:bookmarkStart w:id="81"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1"/>
    <w:bookmarkStart w:id="83"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82">
        <w:r>
          <w:rPr>
            <w:rStyle w:val="Hyperlink"/>
          </w:rPr>
          <w:t xml:space="preserve">https://doi.org/10.1214/17-EJS1338SI</w:t>
        </w:r>
      </w:hyperlink>
      <w:r>
        <w:t xml:space="preserve">.</w:t>
      </w:r>
    </w:p>
    <w:bookmarkEnd w:id="83"/>
    <w:bookmarkStart w:id="84"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84"/>
    <w:bookmarkStart w:id="85"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85"/>
    <w:bookmarkStart w:id="87"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86">
        <w:r>
          <w:rPr>
            <w:rStyle w:val="Hyperlink"/>
          </w:rPr>
          <w:t xml:space="preserve">https://doi.org/10.1016/j.jsat.2021.108710</w:t>
        </w:r>
      </w:hyperlink>
      <w:r>
        <w:t xml:space="preserve">.</w:t>
      </w:r>
    </w:p>
    <w:bookmarkEnd w:id="87"/>
    <w:bookmarkStart w:id="89"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88">
        <w:r>
          <w:rPr>
            <w:rStyle w:val="Hyperlink"/>
          </w:rPr>
          <w:t xml:space="preserve">https://doi.org/10.1016/j.drugalcdep.2019.05.017</w:t>
        </w:r>
      </w:hyperlink>
      <w:r>
        <w:t xml:space="preserve">.</w:t>
      </w:r>
    </w:p>
    <w:bookmarkEnd w:id="89"/>
    <w:bookmarkStart w:id="90"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90"/>
    <w:bookmarkStart w:id="92"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91">
        <w:r>
          <w:rPr>
            <w:rStyle w:val="Hyperlink"/>
          </w:rPr>
          <w:t xml:space="preserve">https://doi.org/10.1037/adb0000666</w:t>
        </w:r>
      </w:hyperlink>
      <w:r>
        <w:t xml:space="preserve">.</w:t>
      </w:r>
    </w:p>
    <w:bookmarkEnd w:id="92"/>
    <w:bookmarkStart w:id="94"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93">
        <w:r>
          <w:rPr>
            <w:rStyle w:val="Hyperlink"/>
          </w:rPr>
          <w:t xml:space="preserve">https://doi.org/10.1016/j.jsat.2021.108417</w:t>
        </w:r>
      </w:hyperlink>
      <w:r>
        <w:t xml:space="preserve">.</w:t>
      </w:r>
    </w:p>
    <w:bookmarkEnd w:id="94"/>
    <w:bookmarkStart w:id="96"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95">
        <w:r>
          <w:rPr>
            <w:rStyle w:val="Hyperlink"/>
          </w:rPr>
          <w:t xml:space="preserve">https://doi.org/10.1037/0003-066X.59.4.224</w:t>
        </w:r>
      </w:hyperlink>
      <w:r>
        <w:t xml:space="preserve">.</w:t>
      </w:r>
    </w:p>
    <w:bookmarkEnd w:id="96"/>
    <w:bookmarkStart w:id="98"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97">
        <w:r>
          <w:rPr>
            <w:rStyle w:val="Hyperlink"/>
          </w:rPr>
          <w:t xml:space="preserve">https://doi.org/10.1016/j.cpr.2007.01.002</w:t>
        </w:r>
      </w:hyperlink>
      <w:r>
        <w:t xml:space="preserve">.</w:t>
      </w:r>
    </w:p>
    <w:bookmarkEnd w:id="98"/>
    <w:bookmarkStart w:id="100"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99">
        <w:r>
          <w:rPr>
            <w:rStyle w:val="Hyperlink"/>
          </w:rPr>
          <w:t xml:space="preserve">https://doi.org/10.2196/41833</w:t>
        </w:r>
      </w:hyperlink>
      <w:r>
        <w:t xml:space="preserve">.</w:t>
      </w:r>
    </w:p>
    <w:bookmarkEnd w:id="100"/>
    <w:bookmarkStart w:id="102" w:name="ref-wyantMachineLearningModels2023"/>
    <w:p>
      <w:pPr>
        <w:pStyle w:val="Bibliography"/>
      </w:pPr>
      <w:r>
        <w:t xml:space="preserve">Wyant, Kendra, Sarah June Kittleson Sant’Ana, Gaylen Fronk, and John J. Curtin. n.d.</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 Accessed September 27, 2023.</w:t>
      </w:r>
      <w:r>
        <w:t xml:space="preserve"> </w:t>
      </w:r>
      <w:hyperlink r:id="rId101">
        <w:r>
          <w:rPr>
            <w:rStyle w:val="Hyperlink"/>
          </w:rPr>
          <w:t xml:space="preserve">https://doi.org/10.31234/osf.io/cgsf7</w:t>
        </w:r>
      </w:hyperlink>
      <w:r>
        <w:t xml:space="preserve">.</w:t>
      </w:r>
    </w:p>
    <w:bookmarkEnd w:id="102"/>
    <w:bookmarkEnd w:id="103"/>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0">
    <w:p>
      <w:pPr>
        <w:pStyle w:val="FootnoteText"/>
      </w:pPr>
      <w:r>
        <w:rPr>
          <w:rStyle w:val="FootnoteReference"/>
        </w:rPr>
        <w:footnoteRef/>
      </w:r>
      <w:r>
        <w:t xml:space="preserve"> </w:t>
      </w:r>
      <w:r>
        <w:t xml:space="preserve">For our fairness evaluations,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59" Target="media/rId59.png" /><Relationship Type="http://schemas.openxmlformats.org/officeDocument/2006/relationships/image" Id="rId29" Target="media/rId29.jpg" /><Relationship Type="http://schemas.openxmlformats.org/officeDocument/2006/relationships/hyperlink" Id="rId77" Target="https://doi.org/10.1001/jamanetworkopen.2020.5852" TargetMode="External" /><Relationship Type="http://schemas.openxmlformats.org/officeDocument/2006/relationships/hyperlink" Id="rId79" Target="https://doi.org/10.1007/978-1-4614-6849-3" TargetMode="External" /><Relationship Type="http://schemas.openxmlformats.org/officeDocument/2006/relationships/hyperlink" Id="rId66" Target="https://doi.org/10.1016/j.addbeh.2017.11.039" TargetMode="External" /><Relationship Type="http://schemas.openxmlformats.org/officeDocument/2006/relationships/hyperlink" Id="rId72" Target="https://doi.org/10.1016/j.brat.2019.103506" TargetMode="External" /><Relationship Type="http://schemas.openxmlformats.org/officeDocument/2006/relationships/hyperlink" Id="rId97" Target="https://doi.org/10.1016/j.cpr.2007.01.002" TargetMode="External" /><Relationship Type="http://schemas.openxmlformats.org/officeDocument/2006/relationships/hyperlink" Id="rId74" Target="https://doi.org/10.1016/j.drugalcdep.2006.05.012" TargetMode="External" /><Relationship Type="http://schemas.openxmlformats.org/officeDocument/2006/relationships/hyperlink" Id="rId88" Target="https://doi.org/10.1016/j.drugalcdep.2019.05.017" TargetMode="External" /><Relationship Type="http://schemas.openxmlformats.org/officeDocument/2006/relationships/hyperlink" Id="rId70" Target="https://doi.org/10.1016/j.jsat.2013.08.004" TargetMode="External" /><Relationship Type="http://schemas.openxmlformats.org/officeDocument/2006/relationships/hyperlink" Id="rId93" Target="https://doi.org/10.1016/j.jsat.2021.108417" TargetMode="External" /><Relationship Type="http://schemas.openxmlformats.org/officeDocument/2006/relationships/hyperlink" Id="rId86" Target="https://doi.org/10.1016/j.jsat.2021.108710" TargetMode="External" /><Relationship Type="http://schemas.openxmlformats.org/officeDocument/2006/relationships/hyperlink" Id="rId95" Target="https://doi.org/10.1037/0003-066X.59.4.224" TargetMode="External" /><Relationship Type="http://schemas.openxmlformats.org/officeDocument/2006/relationships/hyperlink" Id="rId91" Target="https://doi.org/10.1037/adb0000666" TargetMode="External" /><Relationship Type="http://schemas.openxmlformats.org/officeDocument/2006/relationships/hyperlink" Id="rId82" Target="https://doi.org/10.1214/17-EJS1338SI" TargetMode="External" /><Relationship Type="http://schemas.openxmlformats.org/officeDocument/2006/relationships/hyperlink" Id="rId68" Target="https://doi.org/10.21231/GNT1-HW21" TargetMode="External" /><Relationship Type="http://schemas.openxmlformats.org/officeDocument/2006/relationships/hyperlink" Id="rId99" Target="https://doi.org/10.2196/41833" TargetMode="External" /><Relationship Type="http://schemas.openxmlformats.org/officeDocument/2006/relationships/hyperlink" Id="rId101"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53" Target="https://jjcurtin.github.io/study_lag/notebooks\mak_figures-preview.html#cell-fig-1" TargetMode="External" /><Relationship Type="http://schemas.openxmlformats.org/officeDocument/2006/relationships/hyperlink" Id="rId63" Target="https://jjcurtin.github.io/study_lag/notebooks\mak_figures-preview.html#cell-fig-shap" TargetMode="External" /><Relationship Type="http://schemas.openxmlformats.org/officeDocument/2006/relationships/hyperlink" Id="rId47" Target="https://jjcurtin.github.io/study_lag/notebooks\mak_tables-preview.html#cell-tbl-demohtml" TargetMode="External" /><Relationship Type="http://schemas.openxmlformats.org/officeDocument/2006/relationships/hyperlink" Id="rId33" Target="https://jjcurtin.github.io/study_lag/notebooks\methods_figure-preview.html#cell-fig-methods"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1001/jamanetworkopen.2020.5852" TargetMode="External" /><Relationship Type="http://schemas.openxmlformats.org/officeDocument/2006/relationships/hyperlink" Id="rId79" Target="https://doi.org/10.1007/978-1-4614-6849-3" TargetMode="External" /><Relationship Type="http://schemas.openxmlformats.org/officeDocument/2006/relationships/hyperlink" Id="rId66" Target="https://doi.org/10.1016/j.addbeh.2017.11.039" TargetMode="External" /><Relationship Type="http://schemas.openxmlformats.org/officeDocument/2006/relationships/hyperlink" Id="rId72" Target="https://doi.org/10.1016/j.brat.2019.103506" TargetMode="External" /><Relationship Type="http://schemas.openxmlformats.org/officeDocument/2006/relationships/hyperlink" Id="rId97" Target="https://doi.org/10.1016/j.cpr.2007.01.002" TargetMode="External" /><Relationship Type="http://schemas.openxmlformats.org/officeDocument/2006/relationships/hyperlink" Id="rId74" Target="https://doi.org/10.1016/j.drugalcdep.2006.05.012" TargetMode="External" /><Relationship Type="http://schemas.openxmlformats.org/officeDocument/2006/relationships/hyperlink" Id="rId88" Target="https://doi.org/10.1016/j.drugalcdep.2019.05.017" TargetMode="External" /><Relationship Type="http://schemas.openxmlformats.org/officeDocument/2006/relationships/hyperlink" Id="rId70" Target="https://doi.org/10.1016/j.jsat.2013.08.004" TargetMode="External" /><Relationship Type="http://schemas.openxmlformats.org/officeDocument/2006/relationships/hyperlink" Id="rId93" Target="https://doi.org/10.1016/j.jsat.2021.108417" TargetMode="External" /><Relationship Type="http://schemas.openxmlformats.org/officeDocument/2006/relationships/hyperlink" Id="rId86" Target="https://doi.org/10.1016/j.jsat.2021.108710" TargetMode="External" /><Relationship Type="http://schemas.openxmlformats.org/officeDocument/2006/relationships/hyperlink" Id="rId95" Target="https://doi.org/10.1037/0003-066X.59.4.224" TargetMode="External" /><Relationship Type="http://schemas.openxmlformats.org/officeDocument/2006/relationships/hyperlink" Id="rId91" Target="https://doi.org/10.1037/adb0000666" TargetMode="External" /><Relationship Type="http://schemas.openxmlformats.org/officeDocument/2006/relationships/hyperlink" Id="rId82" Target="https://doi.org/10.1214/17-EJS1338SI" TargetMode="External" /><Relationship Type="http://schemas.openxmlformats.org/officeDocument/2006/relationships/hyperlink" Id="rId68" Target="https://doi.org/10.21231/GNT1-HW21" TargetMode="External" /><Relationship Type="http://schemas.openxmlformats.org/officeDocument/2006/relationships/hyperlink" Id="rId99" Target="https://doi.org/10.2196/41833" TargetMode="External" /><Relationship Type="http://schemas.openxmlformats.org/officeDocument/2006/relationships/hyperlink" Id="rId101"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53" Target="https://jjcurtin.github.io/study_lag/notebooks\mak_figures-preview.html#cell-fig-1" TargetMode="External" /><Relationship Type="http://schemas.openxmlformats.org/officeDocument/2006/relationships/hyperlink" Id="rId63" Target="https://jjcurtin.github.io/study_lag/notebooks\mak_figures-preview.html#cell-fig-shap" TargetMode="External" /><Relationship Type="http://schemas.openxmlformats.org/officeDocument/2006/relationships/hyperlink" Id="rId47" Target="https://jjcurtin.github.io/study_lag/notebooks\mak_tables-preview.html#cell-tbl-demohtml" TargetMode="External" /><Relationship Type="http://schemas.openxmlformats.org/officeDocument/2006/relationships/hyperlink" Id="rId33" Target="https://jjcurtin.github.io/study_lag/notebooks\methods_figure-preview.html#cell-fig-methods"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2024-07-31T15:57:04Z</dcterms:created>
  <dcterms:modified xsi:type="dcterms:W3CDTF">2024-07-31T15:57:04Z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found some pretty cool results that have both high impact and important clinical implications. For example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2024-07-30</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