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Jiachen</w:t>
      </w:r>
      <w:r>
        <w:t xml:space="preserve"> </w:t>
      </w:r>
      <w:r>
        <w:t xml:space="preserve">(Coco)</w:t>
      </w:r>
      <w:r>
        <w:t xml:space="preserve"> </w:t>
      </w:r>
      <w:r>
        <w:t xml:space="preserve">Yu</w:t>
      </w:r>
    </w:p>
    <w:p>
      <w:pPr>
        <w:pStyle w:val="Author"/>
      </w:pPr>
      <w:r>
        <w:t xml:space="preserve">Gaylen</w:t>
      </w:r>
      <w:r>
        <w:t xml:space="preserve"> </w:t>
      </w:r>
      <w:r>
        <w:t xml:space="preserve">E.</w:t>
      </w:r>
      <w:r>
        <w:t xml:space="preserve"> </w:t>
      </w:r>
      <w:r>
        <w:t xml:space="preserve">Fronk</w:t>
      </w:r>
    </w:p>
    <w:p>
      <w:pPr>
        <w:pStyle w:val="Author"/>
      </w:pPr>
      <w:r>
        <w:t xml:space="preserve">John</w:t>
      </w:r>
      <w:r>
        <w:t xml:space="preserve"> </w:t>
      </w:r>
      <w:r>
        <w:t xml:space="preserve">J.</w:t>
      </w:r>
      <w:r>
        <w:t xml:space="preserve"> </w:t>
      </w:r>
      <w:r>
        <w:t xml:space="preserve">Curtin</w:t>
      </w:r>
    </w:p>
    <w:p>
      <w:pPr>
        <w:pStyle w:val="Date"/>
      </w:pPr>
      <w:r>
        <w:t xml:space="preserve">2024-06-29</w:t>
      </w:r>
    </w:p>
    <w:p>
      <w:pPr>
        <w:pStyle w:val="AbstractTitle"/>
      </w:pPr>
      <w:r>
        <w:t xml:space="preserve">Abstract</w:t>
      </w:r>
    </w:p>
    <w:p>
      <w:pPr>
        <w:pStyle w:val="Abstract"/>
      </w:pPr>
      <w:r>
        <w:t xml:space="preserve">This</w:t>
      </w:r>
      <w:r>
        <w:t xml:space="preserve"> </w:t>
      </w:r>
      <w:r>
        <w:t xml:space="preserve">study</w:t>
      </w:r>
      <w:r>
        <w:t xml:space="preserve"> </w:t>
      </w:r>
      <w:r>
        <w:t xml:space="preserve">found</w:t>
      </w:r>
      <w:r>
        <w:t xml:space="preserve"> </w:t>
      </w:r>
      <w:r>
        <w:t xml:space="preserve">some</w:t>
      </w:r>
      <w:r>
        <w:t xml:space="preserve"> </w:t>
      </w:r>
      <w:r>
        <w:t xml:space="preserve">pretty</w:t>
      </w:r>
      <w:r>
        <w:t xml:space="preserve"> </w:t>
      </w:r>
      <w:r>
        <w:t xml:space="preserve">cool</w:t>
      </w:r>
      <w:r>
        <w:t xml:space="preserve"> </w:t>
      </w:r>
      <w:r>
        <w:t xml:space="preserve">results</w:t>
      </w:r>
      <w:r>
        <w:t xml:space="preserve"> </w:t>
      </w:r>
      <w:r>
        <w:t xml:space="preserve">that</w:t>
      </w:r>
      <w:r>
        <w:t xml:space="preserve"> </w:t>
      </w:r>
      <w:r>
        <w:t xml:space="preserve">have</w:t>
      </w:r>
      <w:r>
        <w:t xml:space="preserve"> </w:t>
      </w:r>
      <w:r>
        <w:t xml:space="preserve">both</w:t>
      </w:r>
      <w:r>
        <w:t xml:space="preserve"> </w:t>
      </w:r>
      <w:r>
        <w:t xml:space="preserve">high</w:t>
      </w:r>
      <w:r>
        <w:t xml:space="preserve"> </w:t>
      </w:r>
      <w:r>
        <w:t xml:space="preserve">impact</w:t>
      </w:r>
      <w:r>
        <w:t xml:space="preserve"> </w:t>
      </w:r>
      <w:r>
        <w:t xml:space="preserve">and</w:t>
      </w:r>
      <w:r>
        <w:t xml:space="preserve"> </w:t>
      </w:r>
      <w:r>
        <w:t xml:space="preserve">important</w:t>
      </w:r>
      <w:r>
        <w:t xml:space="preserve"> </w:t>
      </w:r>
      <w:r>
        <w:t xml:space="preserve">clinical</w:t>
      </w:r>
      <w:r>
        <w:t xml:space="preserve"> </w:t>
      </w:r>
      <w:r>
        <w:t xml:space="preserve">implications.</w:t>
      </w:r>
      <w:r>
        <w:t xml:space="preserve"> </w:t>
      </w:r>
      <w:r>
        <w:t xml:space="preserve">For</w:t>
      </w:r>
      <w:r>
        <w:t xml:space="preserve"> </w:t>
      </w:r>
      <w:r>
        <w:t xml:space="preserve">example</w:t>
      </w:r>
      <w:r>
        <w:t xml:space="preserve"> </w:t>
      </w:r>
      <w:r>
        <w:t xml:space="preserv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w:t>
      </w:r>
      <w:r>
        <w:t xml:space="preserve"> </w:t>
      </w:r>
      <w:r>
        <w:rPr>
          <w:i/>
          <w:iCs/>
        </w:rPr>
        <w:t xml:space="preserve">how</w:t>
      </w:r>
      <w:r>
        <w:t xml:space="preserve"> </w:t>
      </w:r>
      <w:r>
        <w:t xml:space="preserve">do we best treat a specific individual (e.g., which medication will work best for an individual given their unique background, preferences, and medical history)?</w:t>
      </w:r>
    </w:p>
    <w:p>
      <w:pPr>
        <w:pStyle w:val="BodyText"/>
      </w:pPr>
      <w:r>
        <w:t xml:space="preserve">Today, this approach is also applied to chronic mental health conditions (i.e., precision mental health), like depression, substance use disorders, and suicide. However, mental health conditions are complex fluctuating processes. Unlike medical conditions that have clear biological precursors, mental health conditions are products of lots of psychosocial factors. These factors differ between individuals and within an individual over time. Additionally, there are a wide array of psychosocial supports available for clinicians to select from. Thus, precision mental health must consider both the</w:t>
      </w:r>
      <w:r>
        <w:t xml:space="preserve"> </w:t>
      </w:r>
      <w:r>
        <w:rPr>
          <w:i/>
          <w:iCs/>
        </w:rPr>
        <w:t xml:space="preserve">when</w:t>
      </w:r>
      <w:r>
        <w:t xml:space="preserve"> </w:t>
      </w:r>
      <w:r>
        <w:t xml:space="preserve">and the</w:t>
      </w:r>
      <w:r>
        <w:t xml:space="preserve"> </w:t>
      </w:r>
      <w:r>
        <w:rPr>
          <w:i/>
          <w:iCs/>
        </w:rPr>
        <w:t xml:space="preserve">how</w:t>
      </w:r>
      <w:r>
        <w:t xml:space="preserve">.</w:t>
      </w:r>
    </w:p>
    <w:p>
      <w:pPr>
        <w:pStyle w:val="BodyText"/>
      </w:pPr>
      <w:r>
        <w:t xml:space="preserve">There has been long-standing interest in precision mental health and substance use disorders. In an early example, The Project MATCH research group attempted to match individuals with alcohol use disorder to their optimal treatment based on baseline measures of individual differences</w:t>
      </w:r>
      <w:r>
        <w:t xml:space="preserve"> </w:t>
      </w:r>
      <w:r>
        <w:t xml:space="preserve">(Project Match Research Group 1997)</w:t>
      </w:r>
      <w:r>
        <w:t xml:space="preserve">. The study failed to find any differences in treatment success. This can likely be attributed to low dimensional analyses that failed to capture to the complex and heterogeneous nature of substance use disorders and their use of static distal features to predict a non-linear time-varying course of recovery, lapse, and relapse</w:t>
      </w:r>
      <w:r>
        <w:t xml:space="preserve"> </w:t>
      </w:r>
      <w:r>
        <w:t xml:space="preserve">(Witkiewitz and Marlatt 2007)</w:t>
      </w:r>
      <w:r>
        <w:t xml:space="preserve">.</w:t>
      </w:r>
    </w:p>
    <w:p>
      <w:pPr>
        <w:pStyle w:val="BodyText"/>
      </w:pPr>
      <w:r>
        <w:t xml:space="preserve">Take the example of lapses, discrete instances of goal inconsistent substance use. Lapses are a clinically important target for substance use treatment. They are often an early warning sign of relapse, maladaptive responses to lapses can undermine recovery, and for some substances a single lapse can result in an overdose and/or death. It would be unreasonable to expect that we could predict a lapse with any temporal precision using only features that become more distal as time progresses. On the contrary, lapse prediction requires dense, long-term monitoring of symptoms and related states proximal to the outcome.</w:t>
      </w:r>
    </w:p>
    <w:p>
      <w:pPr>
        <w:pStyle w:val="BodyText"/>
      </w:pPr>
      <w:r>
        <w:t xml:space="preserve">Recent advances in both personal sensing and machine learning may address both of these barriers to successful precision mental health. Personal sensing allows for frequent, longitudinal measurement of changes in proximal risk (e.g., lapse) with high temporal precision. Machine learning allows for high dimensional inputs. Moreover, tools from machine learning can be applied to models to understand which factors are specific to a specific individual at a specific moment in time.</w:t>
      </w:r>
    </w:p>
    <w:p>
      <w:pPr>
        <w:pStyle w:val="BodyText"/>
      </w:pPr>
      <w:r>
        <w:t xml:space="preserve">Ecological momentary assessment (EMA) may be particularly well-suited for these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within the next week, day, and hour with clinically meaningful accuracy - area under the receiver operating curves (auROCs) of 0.90, 0.91, and 0.93, respectively</w:t>
      </w:r>
      <w:r>
        <w:t xml:space="preserve"> </w:t>
      </w:r>
      <w:r>
        <w:t xml:space="preserve">(Wyant et al. n.d.)</w:t>
      </w:r>
      <w:r>
        <w:t xml:space="preserve">. We also characterized the relative importance of features contributing to these risk probabilities for specific individuals at specific moments in time. These models are well-suited to make algorithm-guided recommendations to address immediate risks. For example, recommending a coping with craving activity when someone has increased craving or recommending a guided relaxation video when someone is reporting recent stressful events. Importantly these supports can be available 24/7 (e.g., in a digital therapeutic) for an individual.</w:t>
      </w:r>
    </w:p>
    <w:p>
      <w:pPr>
        <w:pStyle w:val="BodyText"/>
      </w:pPr>
      <w:r>
        <w:t xml:space="preserve">However, many interventions cannot be self-contained in a digital therapeutic and they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with predictions shifted further into the future could provide patients with increased lead time to implement supports that might not be immediately available to them.</w:t>
      </w:r>
    </w:p>
    <w:p>
      <w:pPr>
        <w:pStyle w:val="BodyText"/>
      </w:pPr>
      <w:r>
        <w:t xml:space="preserve">In this study, we compare the performance of one of our models from a previous study with models using increased lag time between predictions and outcomes. Specifically, we use the same EMA features as our immediate model and train new models to predict the probability of a lapse beginning one day (24 hours), three days (72 hours), one week (168 hours), or two weeks (336 hours) into the future. Our primary objective is to assess how well models perform with increasing lag time.</w:t>
      </w:r>
    </w:p>
    <w:bookmarkEnd w:id="21"/>
    <w:bookmarkStart w:id="100"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151 participants in early recovery (1-8 weeks of abstinence) from moderate to severe alcohol use disorder in Madison, Wisconsin, US for a three month longitudinal study.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differences"/>
    <w:p>
      <w:pPr>
        <w:pStyle w:val="Heading3"/>
      </w:pPr>
      <w:r>
        <w:t xml:space="preserve">Individual Differences</w:t>
      </w:r>
    </w:p>
    <w:p>
      <w:pPr>
        <w:pStyle w:val="FirstParagraph"/>
      </w:pPr>
      <w:r>
        <w:t xml:space="preserve">We collected self-report information about demographics (age, sex, race, ethnicity, education, marital status, employment, and income) and AUD symptom count. This information was collected primarily to characterize the sample and to evaluate the diversity of the training data. We also used the demographic information in our models.</w:t>
      </w:r>
    </w:p>
    <w:bookmarkEnd w:id="27"/>
    <w:bookmarkEnd w:id="28"/>
    <w:bookmarkStart w:id="39"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9" w:name="lapse-labels"/>
    <w:p>
      <w:pPr>
        <w:pStyle w:val="Heading3"/>
      </w:pPr>
      <w:r>
        <w:t xml:space="preserve">Lapse Labels</w:t>
      </w:r>
    </w:p>
    <w:p>
      <w:pPr>
        <w:pStyle w:val="FirstParagraph"/>
      </w:pPr>
      <w:r>
        <w:t xml:space="preserve">We predicted lapses occurring in one week windows. Predictions were updated hourly. Therefore our models provided hour-by-hour predictions of future probability of an alcohol lapse within a one week window shifted at various time points (i.e., lags) into the future (no lag and 24 hour, 72 hour, 168 hour, or 336 hour lagged predictions).</w:t>
      </w:r>
    </w:p>
    <w:p>
      <w:pPr>
        <w:pStyle w:val="BodyText"/>
      </w:pPr>
      <w:r>
        <w:t xml:space="preserve">The first prediction window for each participant began 24 hours from midnight on their study start date + lag time. For example, the first prediction for the 24 hour lagged prediction model would be 48 hours after participants’ start date. This ensured at least 24 hours of past EMAs for future lapse prediction in these first windows. Subsequent windows for each participant were created by repeatedly rolling the window start time forward one hour until the end of their study participation (i.e., each participant’s last prediction window started one week before their last recorded EMA).</w:t>
      </w:r>
    </w:p>
    <w:p>
      <w:pPr>
        <w:pStyle w:val="BodyText"/>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29"/>
    <w:bookmarkStart w:id="30"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one day, three days, one week, or two weeks prior to the start of the prediction window.</w:t>
      </w:r>
    </w:p>
    <w:p>
      <w:pPr>
        <w:pStyle w:val="BodyText"/>
      </w:pPr>
      <w:r>
        <w:t xml:space="preserve">A total of 286 features were derived from three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Day and time of prediction window onset</w:t>
      </w:r>
      <w:r>
        <w:t xml:space="preserve">: We created dummy-coded features to indicate time of day and day of week that the prediction window began.</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r>
        <w:t xml:space="preserve"> </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0"/>
    <w:bookmarkStart w:id="38" w:name="model-training-and-evaluation"/>
    <w:p>
      <w:pPr>
        <w:pStyle w:val="Heading3"/>
      </w:pPr>
      <w:r>
        <w:t xml:space="preserve">Model Training and Evaluation</w:t>
      </w:r>
    </w:p>
    <w:bookmarkStart w:id="31"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1"/>
    <w:bookmarkStart w:id="32"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2"/>
    <w:bookmarkStart w:id="33" w:name="model-evaluation"/>
    <w:p>
      <w:pPr>
        <w:pStyle w:val="Heading4"/>
      </w:pPr>
      <w:r>
        <w:t xml:space="preserve">Model Evaluation</w:t>
      </w:r>
    </w:p>
    <w:p>
      <w:pPr>
        <w:pStyle w:val="FirstParagraph"/>
      </w:pPr>
      <w:r>
        <w:t xml:space="preserve">We used a Bayesian hierarchical generalized linear model to estimate the posterior probability distributions and 95% Bayesian credible intervals (CIs) for auROC for the five best models (no lag and 24 hour, 72 hour, 168 hour, and 336 hour lagged predictions) on the 30 held-out test sets. The median posterior probability for auROC represents our best estimate for the magnitude of the auROC parameter for each model. If the confidence intervals do not contain .5 (chance performance), this suggests our model is capturing signal in the data.</w:t>
      </w:r>
    </w:p>
    <w:bookmarkEnd w:id="33"/>
    <w:bookmarkStart w:id="34" w:name="model-comparisons"/>
    <w:p>
      <w:pPr>
        <w:pStyle w:val="Heading4"/>
      </w:pPr>
      <w:r>
        <w:t xml:space="preserve">Model Comparisons</w:t>
      </w:r>
    </w:p>
    <w:p>
      <w:pPr>
        <w:pStyle w:val="FirstParagraph"/>
      </w:pPr>
      <w:r>
        <w:t xml:space="preserve">We performed two sets of Bayesian model comparisons. First, we compared each lagged model to our baseline model (no lag). We have demonstrated previously that our baseline model performs well. These comparisons show whether we can predict lapses with similar performance with varying lags (i.e., no lag vs. 24 hours, no lag vs. 72 hours, no lag vs. 168 hours, no lag vs. 336 hours).</w:t>
      </w:r>
    </w:p>
    <w:p>
      <w:pPr>
        <w:pStyle w:val="BodyText"/>
      </w:pPr>
      <w:r>
        <w:t xml:space="preserve">Second, we compared each adjacent lagged model (i.e., 24 hours vs 72 hours, 72 hours vs. 168 hours, and 168 hours vs. 336 hours). These comparisons allow us to determine the probability that the lagged models systematically degrade as predictions are made further into the future.</w:t>
      </w:r>
    </w:p>
    <w:p>
      <w:pPr>
        <w:pStyle w:val="BodyText"/>
      </w:pPr>
      <w:r>
        <w:t xml:space="preserve">For both sets of model comparisons determined the probability that the models’ performances differed systematically from each other by regressing the auROCs (logit transformed) from the 30 test sets as a function of the contrast. We set two random intercepts: one for the repeat, and another for the fold within repeat. We also report the precise posterior probability for the difference in auROCs and the 95% Bayesian CIs. If there was a probability &gt; 0.95 that the more lagged model’s performance was worse, we labeled the model contrast as significant.</w:t>
      </w:r>
    </w:p>
    <w:bookmarkEnd w:id="34"/>
    <w:bookmarkStart w:id="36" w:name="fairness-benchmarks"/>
    <w:p>
      <w:pPr>
        <w:pStyle w:val="Heading4"/>
      </w:pPr>
      <w:r>
        <w:t xml:space="preserve">Fairness Benchmarks</w:t>
      </w:r>
    </w:p>
    <w:p>
      <w:pPr>
        <w:pStyle w:val="FirstParagraph"/>
      </w:pPr>
      <w:r>
        <w:t xml:space="preserve">We aim for the responsible and transparent reporting of model performance and clinical utility. In these efforts, we calculated the median posterior probability and 95% Bayesian CI for auROC for each model separately for three dichotomized demographic groups with potential disparities in access to substance use treatment - race and ethnicity (non-Hispanic white vs. non-white)</w:t>
      </w:r>
      <w:r>
        <w:t xml:space="preserve"> </w:t>
      </w:r>
      <w:r>
        <w:t xml:space="preserve">(Pinedo 2019; Kilaru et al. 2020)</w:t>
      </w:r>
      <w:r>
        <w:t xml:space="preserve">, income (above poverty vs. below poverty)</w:t>
      </w:r>
      <w:r>
        <w:t xml:space="preserve"> </w:t>
      </w:r>
      <w:r>
        <w:t xml:space="preserve">(Olfson et al. 2022)</w:t>
      </w:r>
      <w:r>
        <w:t xml:space="preserve">, and sex at birth (male vs. female)</w:t>
      </w:r>
      <w:r>
        <w:t xml:space="preserve"> </w:t>
      </w:r>
      <w:r>
        <w:t xml:space="preserve">(Greenfield et al. 2007; Kilaru et al. 2020)</w:t>
      </w:r>
      <w:r>
        <w:t xml:space="preserve">.</w:t>
      </w:r>
    </w:p>
    <w:p>
      <w:pPr>
        <w:pStyle w:val="BodyText"/>
      </w:pPr>
      <w:r>
        <w:t xml:space="preserve">We also acknowledge that models that work for only a subset of people, if implemented, could widen existing treatment disparities. We conducted Bayesian group comparisons to assess the likelihood that the model performs differently by group. We report median differences in posterior probabilities and the range.</w:t>
      </w:r>
      <w:r>
        <w:rPr>
          <w:rStyle w:val="FootnoteReference"/>
        </w:rPr>
        <w:footnoteReference w:id="35"/>
      </w:r>
    </w:p>
    <w:bookmarkEnd w:id="36"/>
    <w:bookmarkStart w:id="37" w:name="feature-importance"/>
    <w:p>
      <w:pPr>
        <w:pStyle w:val="Heading4"/>
      </w:pPr>
      <w:r>
        <w:t xml:space="preserve">Feature Importance</w:t>
      </w:r>
    </w:p>
    <w:p>
      <w:pPr>
        <w:pStyle w:val="FirstParagraph"/>
      </w:pPr>
      <w:r>
        <w:t xml:space="preserve">We calculated Shapley values</w:t>
      </w:r>
      <w:r>
        <w:t xml:space="preserve"> </w:t>
      </w:r>
      <w:r>
        <w:t xml:space="preserve">(Lundberg and Lee 2017)</w:t>
      </w:r>
      <w:r>
        <w:t xml:space="preserve"> </w:t>
      </w:r>
      <w:r>
        <w:t xml:space="preserve">from the 30 test sets to provide a description of the importance of categories of features across our five models. We used the SHAPforxgboost package that provides Shapley values in log-odds units for binary classification models.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w:t>
      </w:r>
    </w:p>
    <w:bookmarkEnd w:id="37"/>
    <w:bookmarkEnd w:id="38"/>
    <w:bookmarkEnd w:id="39"/>
    <w:bookmarkStart w:id="59" w:name="results"/>
    <w:p>
      <w:pPr>
        <w:pStyle w:val="Heading2"/>
      </w:pPr>
      <w:r>
        <w:t xml:space="preserve">Results</w:t>
      </w:r>
    </w:p>
    <w:bookmarkStart w:id="42" w:name="demographic-and-lapse-characteristics"/>
    <w:p>
      <w:pPr>
        <w:pStyle w:val="Heading3"/>
      </w:pPr>
      <w:r>
        <w:t xml:space="preserve">Demographic and Lapse Characteristics</w:t>
      </w:r>
    </w:p>
    <w:p>
      <w:pPr>
        <w:pStyle w:val="FirstParagraph"/>
      </w:pPr>
      <w:r>
        <w:t xml:space="preserve">One hundred fifty one participants were included in our analyses. We used data from all participants included in our previous study (see</w:t>
      </w:r>
      <w:r>
        <w:t xml:space="preserve"> </w:t>
      </w:r>
      <w:r>
        <w:t xml:space="preserve">(Wyant et al. n.d.)</w:t>
      </w:r>
      <w:r>
        <w:t xml:space="preserve"> </w:t>
      </w:r>
      <w:r>
        <w:t xml:space="preserve">for enrollment and disposition information).</w:t>
      </w:r>
    </w:p>
    <w:p>
      <w:pPr>
        <w:pStyle w:val="BodyText"/>
      </w:pPr>
      <w:r>
        <w:t xml:space="preserve">There were approximately equal numbers of men (N=77; 51.0%) and women (N=74; 49.0%) who ranged in age from 21 - 72 years old. The sample was majority White (N=131; 86.8%) and non-Hispanic (N=147; 97.4%). Participants self-reported a median of 9.0 DSM-5 symptoms of AUD (mean=8.9; SD=1.9; range=4.0-11.0). Most participants (N=84; 55.6%) reported one or more lapses during participation. The median number of lapses per participant while on-study was 1.0 (mean=6.8; SD = 12.0; range=0.0-75.0).</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0"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0"/>
          <w:p/>
        </w:tc>
      </w:tr>
    </w:tbl>
    <w:p>
      <w:pPr>
        <w:pStyle w:val="BodyText"/>
      </w:pPr>
      <w:r>
        <w:rPr>
          <w:vertAlign w:val="subscript"/>
        </w:rPr>
        <w:t xml:space="preserve">Source:</w:t>
      </w:r>
      <w:r>
        <w:rPr>
          <w:vertAlign w:val="subscript"/>
        </w:rPr>
        <w:t xml:space="preserve"> </w:t>
      </w:r>
      <w:hyperlink r:id="rId41">
        <w:r>
          <w:rPr>
            <w:rStyle w:val="Hyperlink"/>
            <w:vertAlign w:val="subscript"/>
          </w:rPr>
          <w:t xml:space="preserve">Make All Tables for Main Manuscript</w:t>
        </w:r>
      </w:hyperlink>
    </w:p>
    <w:bookmarkEnd w:id="42"/>
    <w:bookmarkStart w:id="48" w:name="model-evaluation-1"/>
    <w:p>
      <w:pPr>
        <w:pStyle w:val="Heading3"/>
      </w:pPr>
      <w:r>
        <w:t xml:space="preserve">Model Evaluation</w:t>
      </w:r>
    </w:p>
    <w:p>
      <w:pPr>
        <w:pStyle w:val="FirstParagraph"/>
      </w:pPr>
      <w:r>
        <w:t xml:space="preserve">The median auROC across the 30 test sets for our baseline model was high (median=0.892, IQR=0.046), consistent with our previous study. Performance across our lagged models was also high for the 24 hour lag (median=0.882, IQR=0.042), 72 hour lag (median=0.873, IQR=0.057), 168 hour lag (median=0.857, IQR=0.061), and 336 hour lag (median=0.857, IQR=0.064).</w:t>
      </w:r>
    </w:p>
    <w:p>
      <w:pPr>
        <w:pStyle w:val="BodyText"/>
      </w:pPr>
      <w:r>
        <w:t xml:space="preserve">Histograms of the full posterior probability distributions for auROC for each model are available in the supplement. The median auROCs from these posterior distributions were 0.894 (baseline), 0.887 (24 hour lag), 0.875 (72 hour lag), 0.872 (168 hour lag), and 0.850 (336 hour lag). These values represent our best estimates for the magnitude of the auROC parameter for each model. The 95% Bayesian CI for the auROCs for these models were relatively narrow and did not contain 0.5: baseline[0.877-0.908], 24 hour lag[0.869-0.902], 72 hour lag[0.856-0.892], 168 hour lag[0.852-0.888], 336 hour lag[0.828-0.870].</w:t>
      </w:r>
      <w:r>
        <w:t xml:space="preserve"> </w:t>
      </w:r>
      <w:hyperlink w:anchor="fig-auroc">
        <w:r>
          <w:rPr>
            <w:rStyle w:val="Hyperlink"/>
          </w:rPr>
          <w:t xml:space="preserve">Figure 1</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46" w:name="fig-auroc"/>
          <w:p>
            <w:pPr>
              <w:pStyle w:val="Compact"/>
              <w:jc w:val="center"/>
            </w:pPr>
            <w:r>
              <w:drawing>
                <wp:inline>
                  <wp:extent cx="5334000" cy="3810000"/>
                  <wp:effectExtent b="0" l="0" r="0" t="0"/>
                  <wp:docPr descr="" title="" id="44" name="Picture"/>
                  <a:graphic>
                    <a:graphicData uri="http://schemas.openxmlformats.org/drawingml/2006/picture">
                      <pic:pic>
                        <pic:nvPicPr>
                          <pic:cNvPr descr="index_files/figure-docx/notebooks-mak_figures-fig-auroc-output-1.png" id="45" name="Picture"/>
                          <pic:cNvPicPr>
                            <a:picLocks noChangeArrowheads="1" noChangeAspect="1"/>
                          </pic:cNvPicPr>
                        </pic:nvPicPr>
                        <pic:blipFill>
                          <a:blip r:embed="rId4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probability for auROC and Bayesian credible intervals by model. Dashed line indicates a model performing at chance.</w:t>
            </w:r>
          </w:p>
          <w:bookmarkEnd w:id="46"/>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Make All Figures for Main Manuscript</w:t>
        </w:r>
      </w:hyperlink>
    </w:p>
    <w:bookmarkEnd w:id="48"/>
    <w:bookmarkStart w:id="51" w:name="model-comparisons-1"/>
    <w:p>
      <w:pPr>
        <w:pStyle w:val="Heading3"/>
      </w:pPr>
      <w:r>
        <w:t xml:space="preserve">Model Comparisons</w:t>
      </w:r>
    </w:p>
    <w:bookmarkStart w:id="49" w:name="baseline-contrasts"/>
    <w:p>
      <w:pPr>
        <w:pStyle w:val="Heading4"/>
      </w:pPr>
      <w:r>
        <w:t xml:space="preserve">Baseline Contrasts</w:t>
      </w:r>
    </w:p>
    <w:p>
      <w:pPr>
        <w:pStyle w:val="FirstParagraph"/>
      </w:pPr>
      <w:r>
        <w:t xml:space="preserve">The median decrease in auROC for the baseline vs. 24 hour lag model was 0.007 (95% CI=[0.001-0.012]), yielding a significant probability of 0.977 that the lagged model had worse performance. The median decrease in auROC for the baseline vs. 72 hour model was 0.018 (95% CI=[0.012-0.024]), yielding a significant probability of 1.000 that the lagged model had worse performance. The median increase in auROC for the baseline vs. 168 hour lag model was 0.022 (95% CI=[0.016-0.028]), yielding a significant probability of 1.000 that the lagged model had worse performance. The median increase in auROC for the baseline vs. 336 hour lag model was 0.043 (95% CI=[0.036-0.051]), yielding a significant probability of 1.000 that the lagged model had worse performance.</w:t>
      </w:r>
    </w:p>
    <w:bookmarkEnd w:id="49"/>
    <w:bookmarkStart w:id="50" w:name="adjacent-contrasts"/>
    <w:p>
      <w:pPr>
        <w:pStyle w:val="Heading4"/>
      </w:pPr>
      <w:r>
        <w:t xml:space="preserve">Adjacent Contrasts</w:t>
      </w:r>
    </w:p>
    <w:p>
      <w:pPr>
        <w:pStyle w:val="FirstParagraph"/>
      </w:pPr>
      <w:r>
        <w:t xml:space="preserve">The median decrease in auROC for the 24 hour vs. 72 hour lag model was 0.012 (95% CI=[0.006-0.018]), yielding a significant probability of 1.000 that the 72 hour lag model had worse performance than the 24 hour lag model. The median decrease in auROC for the 72 hour vs. 168 hour lag model was 0.004 (95% CI=[-0.002-0.010]), yielding a non-significant probability of 0.840 that the 168 hour lag model had worse performance than the 72 hour lag model. The median decrease in auROC for the 168 hour vs. 336 hour lag model was 0.021 (95% CI=[0.014-0.028]), yielding a significant probability of 1.000 that the 336 hour lag model had worse performance than the 168 hour lag model.</w:t>
      </w:r>
    </w:p>
    <w:bookmarkEnd w:id="50"/>
    <w:bookmarkEnd w:id="51"/>
    <w:bookmarkStart w:id="57" w:name="fairness-benchmarks-1"/>
    <w:p>
      <w:pPr>
        <w:pStyle w:val="Heading3"/>
      </w:pPr>
      <w:r>
        <w:t xml:space="preserve">Fairness Benchmarks</w:t>
      </w:r>
    </w:p>
    <w:p>
      <w:pPr>
        <w:pStyle w:val="FirstParagraph"/>
      </w:pPr>
      <w:hyperlink w:anchor="fig-fairness">
        <w:r>
          <w:rPr>
            <w:rStyle w:val="Hyperlink"/>
          </w:rPr>
          <w:t xml:space="preserve">Figure 2</w:t>
        </w:r>
      </w:hyperlink>
      <w:r>
        <w:t xml:space="preserve"> </w:t>
      </w:r>
      <w:r>
        <w:t xml:space="preserve">shows the difference in performance of each model by demographic group. All group comparisons for race, sex at birth, and income were significant (probability &gt; .95) across models. On average there was a median increase in auROC for white participants compared to participants who were not white of 0.159 (range 0.107-0.179). On average there was a median increase in auROC for male participants compared to female participants of 0.080 (range 0.059-0.116). On average there was a median increase in auROC for participants above the federal poverty line compared to participants below the federal poverty line of 0.092 (range 0.086-0.133). A table of model performance for each demographic group separately by model can be found in the supplement.</w:t>
      </w:r>
    </w:p>
    <w:tbl>
      <w:tblPr>
        <w:tblStyle w:val="Table"/>
        <w:tblW w:type="pct" w:w="5000"/>
        <w:tblLayout w:type="fixed"/>
        <w:tblLook w:firstRow="0" w:lastRow="0" w:firstColumn="0" w:lastColumn="0" w:noHBand="0" w:noVBand="0" w:val="0000"/>
      </w:tblPr>
      <w:tblGrid>
        <w:gridCol w:w="7920"/>
      </w:tblGrid>
      <w:tr>
        <w:tc>
          <w:tcPr/>
          <w:bookmarkStart w:id="55" w:name="fig-fairness"/>
          <w:p>
            <w:pPr>
              <w:pStyle w:val="Compact"/>
              <w:jc w:val="center"/>
            </w:pPr>
            <w:r>
              <w:drawing>
                <wp:inline>
                  <wp:extent cx="5334000" cy="3810000"/>
                  <wp:effectExtent b="0" l="0" r="0" t="0"/>
                  <wp:docPr descr="" title="" id="53" name="Picture"/>
                  <a:graphic>
                    <a:graphicData uri="http://schemas.openxmlformats.org/drawingml/2006/picture">
                      <pic:pic>
                        <pic:nvPicPr>
                          <pic:cNvPr descr="index_files/figure-docx/notebooks-mak_figures-fig-fairness-output-1.png" id="54" name="Picture"/>
                          <pic:cNvPicPr>
                            <a:picLocks noChangeArrowheads="1" noChangeAspect="1"/>
                          </pic:cNvPicPr>
                        </pic:nvPicPr>
                        <pic:blipFill>
                          <a:blip r:embed="rId5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Difference in auROCs by demographic group</w:t>
            </w:r>
          </w:p>
          <w:bookmarkEnd w:id="55"/>
        </w:tc>
      </w:tr>
    </w:tbl>
    <w:p>
      <w:pPr>
        <w:pStyle w:val="BodyText"/>
      </w:pPr>
      <w:r>
        <w:rPr>
          <w:vertAlign w:val="subscript"/>
        </w:rPr>
        <w:t xml:space="preserve">Source:</w:t>
      </w:r>
      <w:r>
        <w:rPr>
          <w:vertAlign w:val="subscript"/>
        </w:rPr>
        <w:t xml:space="preserve"> </w:t>
      </w:r>
      <w:hyperlink r:id="rId56">
        <w:r>
          <w:rPr>
            <w:rStyle w:val="Hyperlink"/>
            <w:vertAlign w:val="subscript"/>
          </w:rPr>
          <w:t xml:space="preserve">Make All Figures for Main Manuscript</w:t>
        </w:r>
      </w:hyperlink>
    </w:p>
    <w:bookmarkEnd w:id="57"/>
    <w:bookmarkStart w:id="58" w:name="feature-importance-1"/>
    <w:p>
      <w:pPr>
        <w:pStyle w:val="Heading3"/>
      </w:pPr>
      <w:r>
        <w:t xml:space="preserve">Feature Importance</w:t>
      </w:r>
    </w:p>
    <w:bookmarkEnd w:id="58"/>
    <w:bookmarkEnd w:id="59"/>
    <w:bookmarkStart w:id="60" w:name="discussion"/>
    <w:p>
      <w:pPr>
        <w:pStyle w:val="Heading2"/>
      </w:pPr>
      <w:r>
        <w:t xml:space="preserve">Discussion</w:t>
      </w:r>
    </w:p>
    <w:p>
      <w:pPr>
        <w:numPr>
          <w:ilvl w:val="0"/>
          <w:numId w:val="1003"/>
        </w:numPr>
      </w:pPr>
      <w:r>
        <w:t xml:space="preserve">Model degrades, but perhaps not meaningfully even down to two weeks out.</w:t>
      </w:r>
    </w:p>
    <w:p>
      <w:pPr>
        <w:numPr>
          <w:ilvl w:val="0"/>
          <w:numId w:val="1003"/>
        </w:numPr>
      </w:pPr>
      <w:r>
        <w:t xml:space="preserve">All models were worse for women and people were not white and below poverty line.</w:t>
      </w:r>
    </w:p>
    <w:p>
      <w:pPr>
        <w:numPr>
          <w:ilvl w:val="0"/>
          <w:numId w:val="1003"/>
        </w:numPr>
      </w:pPr>
      <w:r>
        <w:t xml:space="preserve">Improving model performance for unprivileged classes. Considering other important classes for SUD, such as geographic location, Improving diversity of training data</w:t>
      </w:r>
    </w:p>
    <w:p>
      <w:pPr>
        <w:numPr>
          <w:ilvl w:val="0"/>
          <w:numId w:val="1003"/>
        </w:numPr>
      </w:pPr>
      <w:r>
        <w:t xml:space="preserve">Performance discrepancies sets up fairness methods paper. How can we improve these discrepancies? Mention in discussion as current future direction</w:t>
      </w:r>
    </w:p>
    <w:bookmarkEnd w:id="60"/>
    <w:bookmarkStart w:id="99" w:name="references"/>
    <w:p>
      <w:pPr>
        <w:pStyle w:val="Heading2"/>
      </w:pPr>
      <w:r>
        <w:t xml:space="preserve">References</w:t>
      </w:r>
    </w:p>
    <w:bookmarkStart w:id="98" w:name="refs"/>
    <w:bookmarkStart w:id="62"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61">
        <w:r>
          <w:rPr>
            <w:rStyle w:val="Hyperlink"/>
          </w:rPr>
          <w:t xml:space="preserve">https://doi.org/10.1016/j.addbeh.2017.11.039</w:t>
        </w:r>
      </w:hyperlink>
      <w:r>
        <w:t xml:space="preserve">.</w:t>
      </w:r>
    </w:p>
    <w:bookmarkEnd w:id="62"/>
    <w:bookmarkStart w:id="64"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3">
        <w:r>
          <w:rPr>
            <w:rStyle w:val="Hyperlink"/>
          </w:rPr>
          <w:t xml:space="preserve">https://doi.org/10.21231/GNT1-HW21</w:t>
        </w:r>
      </w:hyperlink>
      <w:r>
        <w:t xml:space="preserve">.</w:t>
      </w:r>
    </w:p>
    <w:bookmarkEnd w:id="64"/>
    <w:bookmarkStart w:id="66"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65">
        <w:r>
          <w:rPr>
            <w:rStyle w:val="Hyperlink"/>
          </w:rPr>
          <w:t xml:space="preserve">https://doi.org/10.1016/j.jsat.2013.08.004</w:t>
        </w:r>
      </w:hyperlink>
      <w:r>
        <w:t xml:space="preserve">.</w:t>
      </w:r>
    </w:p>
    <w:bookmarkEnd w:id="66"/>
    <w:bookmarkStart w:id="68"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67">
        <w:r>
          <w:rPr>
            <w:rStyle w:val="Hyperlink"/>
          </w:rPr>
          <w:t xml:space="preserve">https://doi.org/10.1016/j.brat.2019.103506</w:t>
        </w:r>
      </w:hyperlink>
      <w:r>
        <w:t xml:space="preserve">.</w:t>
      </w:r>
    </w:p>
    <w:bookmarkEnd w:id="68"/>
    <w:bookmarkStart w:id="70"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69">
        <w:r>
          <w:rPr>
            <w:rStyle w:val="Hyperlink"/>
          </w:rPr>
          <w:t xml:space="preserve">https://doi.org/10.1016/j.drugalcdep.2006.05.012</w:t>
        </w:r>
      </w:hyperlink>
      <w:r>
        <w:t xml:space="preserve">.</w:t>
      </w:r>
    </w:p>
    <w:bookmarkEnd w:id="70"/>
    <w:bookmarkStart w:id="71"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71"/>
    <w:bookmarkStart w:id="73"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72">
        <w:r>
          <w:rPr>
            <w:rStyle w:val="Hyperlink"/>
          </w:rPr>
          <w:t xml:space="preserve">https://doi.org/10.1001/jamanetworkopen.2020.5852</w:t>
        </w:r>
      </w:hyperlink>
      <w:r>
        <w:t xml:space="preserve">.</w:t>
      </w:r>
    </w:p>
    <w:bookmarkEnd w:id="73"/>
    <w:bookmarkStart w:id="75"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74">
        <w:r>
          <w:rPr>
            <w:rStyle w:val="Hyperlink"/>
          </w:rPr>
          <w:t xml:space="preserve">https://doi.org/10.1007/978-1-4614-6849-3</w:t>
        </w:r>
      </w:hyperlink>
      <w:r>
        <w:t xml:space="preserve">.</w:t>
      </w:r>
    </w:p>
    <w:bookmarkEnd w:id="75"/>
    <w:bookmarkStart w:id="76"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76"/>
    <w:bookmarkStart w:id="78"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77">
        <w:r>
          <w:rPr>
            <w:rStyle w:val="Hyperlink"/>
          </w:rPr>
          <w:t xml:space="preserve">https://doi.org/10.1214/17-EJS1338SI</w:t>
        </w:r>
      </w:hyperlink>
      <w:r>
        <w:t xml:space="preserve">.</w:t>
      </w:r>
    </w:p>
    <w:bookmarkEnd w:id="78"/>
    <w:bookmarkStart w:id="79"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79"/>
    <w:bookmarkStart w:id="80"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80"/>
    <w:bookmarkStart w:id="82"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81">
        <w:r>
          <w:rPr>
            <w:rStyle w:val="Hyperlink"/>
          </w:rPr>
          <w:t xml:space="preserve">https://doi.org/10.1016/j.jsat.2021.108710</w:t>
        </w:r>
      </w:hyperlink>
      <w:r>
        <w:t xml:space="preserve">.</w:t>
      </w:r>
    </w:p>
    <w:bookmarkEnd w:id="82"/>
    <w:bookmarkStart w:id="84"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83">
        <w:r>
          <w:rPr>
            <w:rStyle w:val="Hyperlink"/>
          </w:rPr>
          <w:t xml:space="preserve">https://doi.org/10.1016/j.drugalcdep.2019.05.017</w:t>
        </w:r>
      </w:hyperlink>
      <w:r>
        <w:t xml:space="preserve">.</w:t>
      </w:r>
    </w:p>
    <w:bookmarkEnd w:id="84"/>
    <w:bookmarkStart w:id="85"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85"/>
    <w:bookmarkStart w:id="87"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86">
        <w:r>
          <w:rPr>
            <w:rStyle w:val="Hyperlink"/>
          </w:rPr>
          <w:t xml:space="preserve">https://doi.org/10.1037/adb0000666</w:t>
        </w:r>
      </w:hyperlink>
      <w:r>
        <w:t xml:space="preserve">.</w:t>
      </w:r>
    </w:p>
    <w:bookmarkEnd w:id="87"/>
    <w:bookmarkStart w:id="89"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88">
        <w:r>
          <w:rPr>
            <w:rStyle w:val="Hyperlink"/>
          </w:rPr>
          <w:t xml:space="preserve">https://doi.org/10.1016/j.jsat.2021.108417</w:t>
        </w:r>
      </w:hyperlink>
      <w:r>
        <w:t xml:space="preserve">.</w:t>
      </w:r>
    </w:p>
    <w:bookmarkEnd w:id="89"/>
    <w:bookmarkStart w:id="91"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90">
        <w:r>
          <w:rPr>
            <w:rStyle w:val="Hyperlink"/>
          </w:rPr>
          <w:t xml:space="preserve">https://doi.org/10.1037/0003-066X.59.4.224</w:t>
        </w:r>
      </w:hyperlink>
      <w:r>
        <w:t xml:space="preserve">.</w:t>
      </w:r>
    </w:p>
    <w:bookmarkEnd w:id="91"/>
    <w:bookmarkStart w:id="93"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92">
        <w:r>
          <w:rPr>
            <w:rStyle w:val="Hyperlink"/>
          </w:rPr>
          <w:t xml:space="preserve">https://doi.org/10.1016/j.cpr.2007.01.002</w:t>
        </w:r>
      </w:hyperlink>
      <w:r>
        <w:t xml:space="preserve">.</w:t>
      </w:r>
    </w:p>
    <w:bookmarkEnd w:id="93"/>
    <w:bookmarkStart w:id="95"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94">
        <w:r>
          <w:rPr>
            <w:rStyle w:val="Hyperlink"/>
          </w:rPr>
          <w:t xml:space="preserve">https://doi.org/10.2196/41833</w:t>
        </w:r>
      </w:hyperlink>
      <w:r>
        <w:t xml:space="preserve">.</w:t>
      </w:r>
    </w:p>
    <w:bookmarkEnd w:id="95"/>
    <w:bookmarkStart w:id="97" w:name="ref-wyantMachineLearningModels2023"/>
    <w:p>
      <w:pPr>
        <w:pStyle w:val="Bibliography"/>
      </w:pPr>
      <w:r>
        <w:t xml:space="preserve">Wyant, Kendra, Sarah June Kittleson Sant’Ana, Gaylen Fronk, and John J. Curtin. n.d.</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 Accessed September 27, 2023.</w:t>
      </w:r>
      <w:r>
        <w:t xml:space="preserve"> </w:t>
      </w:r>
      <w:hyperlink r:id="rId96">
        <w:r>
          <w:rPr>
            <w:rStyle w:val="Hyperlink"/>
          </w:rPr>
          <w:t xml:space="preserve">https://doi.org/10.31234/osf.io/cgsf7</w:t>
        </w:r>
      </w:hyperlink>
      <w:r>
        <w:t xml:space="preserve">.</w:t>
      </w:r>
    </w:p>
    <w:bookmarkEnd w:id="97"/>
    <w:bookmarkEnd w:id="98"/>
    <w:bookmarkEnd w:id="99"/>
    <w:bookmarkEnd w:id="1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
    <w:p>
      <w:pPr>
        <w:pStyle w:val="FootnoteText"/>
      </w:pPr>
      <w:r>
        <w:rPr>
          <w:rStyle w:val="FootnoteReference"/>
        </w:rPr>
        <w:footnoteRef/>
      </w:r>
      <w:r>
        <w:t xml:space="preserve"> </w:t>
      </w:r>
      <w:r>
        <w:t xml:space="preserve">For our fairness evaluations,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52" Target="media/rId52.png" /><Relationship Type="http://schemas.openxmlformats.org/officeDocument/2006/relationships/hyperlink" Id="rId72" Target="https://doi.org/10.1001/jamanetworkopen.2020.5852" TargetMode="External" /><Relationship Type="http://schemas.openxmlformats.org/officeDocument/2006/relationships/hyperlink" Id="rId74" Target="https://doi.org/10.1007/978-1-4614-6849-3" TargetMode="External" /><Relationship Type="http://schemas.openxmlformats.org/officeDocument/2006/relationships/hyperlink" Id="rId61" Target="https://doi.org/10.1016/j.addbeh.2017.11.039" TargetMode="External" /><Relationship Type="http://schemas.openxmlformats.org/officeDocument/2006/relationships/hyperlink" Id="rId67" Target="https://doi.org/10.1016/j.brat.2019.103506" TargetMode="External" /><Relationship Type="http://schemas.openxmlformats.org/officeDocument/2006/relationships/hyperlink" Id="rId92" Target="https://doi.org/10.1016/j.cpr.2007.01.002" TargetMode="External" /><Relationship Type="http://schemas.openxmlformats.org/officeDocument/2006/relationships/hyperlink" Id="rId69" Target="https://doi.org/10.1016/j.drugalcdep.2006.05.012" TargetMode="External" /><Relationship Type="http://schemas.openxmlformats.org/officeDocument/2006/relationships/hyperlink" Id="rId83" Target="https://doi.org/10.1016/j.drugalcdep.2019.05.017" TargetMode="External" /><Relationship Type="http://schemas.openxmlformats.org/officeDocument/2006/relationships/hyperlink" Id="rId65" Target="https://doi.org/10.1016/j.jsat.2013.08.004" TargetMode="External" /><Relationship Type="http://schemas.openxmlformats.org/officeDocument/2006/relationships/hyperlink" Id="rId88" Target="https://doi.org/10.1016/j.jsat.2021.108417" TargetMode="External" /><Relationship Type="http://schemas.openxmlformats.org/officeDocument/2006/relationships/hyperlink" Id="rId81" Target="https://doi.org/10.1016/j.jsat.2021.108710" TargetMode="External" /><Relationship Type="http://schemas.openxmlformats.org/officeDocument/2006/relationships/hyperlink" Id="rId90" Target="https://doi.org/10.1037/0003-066X.59.4.224" TargetMode="External" /><Relationship Type="http://schemas.openxmlformats.org/officeDocument/2006/relationships/hyperlink" Id="rId86" Target="https://doi.org/10.1037/adb0000666" TargetMode="External" /><Relationship Type="http://schemas.openxmlformats.org/officeDocument/2006/relationships/hyperlink" Id="rId77" Target="https://doi.org/10.1214/17-EJS1338SI" TargetMode="External" /><Relationship Type="http://schemas.openxmlformats.org/officeDocument/2006/relationships/hyperlink" Id="rId63" Target="https://doi.org/10.21231/GNT1-HW21" TargetMode="External" /><Relationship Type="http://schemas.openxmlformats.org/officeDocument/2006/relationships/hyperlink" Id="rId94" Target="https://doi.org/10.2196/41833" TargetMode="External" /><Relationship Type="http://schemas.openxmlformats.org/officeDocument/2006/relationships/hyperlink" Id="rId96"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47" Target="https://jjcurtin.github.io/study_lag/notebooks\mak_figures-preview.html#cell-fig-auroc" TargetMode="External" /><Relationship Type="http://schemas.openxmlformats.org/officeDocument/2006/relationships/hyperlink" Id="rId56" Target="https://jjcurtin.github.io/study_lag/notebooks\mak_figures-preview.html#cell-fig-fairness" TargetMode="External" /><Relationship Type="http://schemas.openxmlformats.org/officeDocument/2006/relationships/hyperlink" Id="rId41"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72" Target="https://doi.org/10.1001/jamanetworkopen.2020.5852" TargetMode="External" /><Relationship Type="http://schemas.openxmlformats.org/officeDocument/2006/relationships/hyperlink" Id="rId74" Target="https://doi.org/10.1007/978-1-4614-6849-3" TargetMode="External" /><Relationship Type="http://schemas.openxmlformats.org/officeDocument/2006/relationships/hyperlink" Id="rId61" Target="https://doi.org/10.1016/j.addbeh.2017.11.039" TargetMode="External" /><Relationship Type="http://schemas.openxmlformats.org/officeDocument/2006/relationships/hyperlink" Id="rId67" Target="https://doi.org/10.1016/j.brat.2019.103506" TargetMode="External" /><Relationship Type="http://schemas.openxmlformats.org/officeDocument/2006/relationships/hyperlink" Id="rId92" Target="https://doi.org/10.1016/j.cpr.2007.01.002" TargetMode="External" /><Relationship Type="http://schemas.openxmlformats.org/officeDocument/2006/relationships/hyperlink" Id="rId69" Target="https://doi.org/10.1016/j.drugalcdep.2006.05.012" TargetMode="External" /><Relationship Type="http://schemas.openxmlformats.org/officeDocument/2006/relationships/hyperlink" Id="rId83" Target="https://doi.org/10.1016/j.drugalcdep.2019.05.017" TargetMode="External" /><Relationship Type="http://schemas.openxmlformats.org/officeDocument/2006/relationships/hyperlink" Id="rId65" Target="https://doi.org/10.1016/j.jsat.2013.08.004" TargetMode="External" /><Relationship Type="http://schemas.openxmlformats.org/officeDocument/2006/relationships/hyperlink" Id="rId88" Target="https://doi.org/10.1016/j.jsat.2021.108417" TargetMode="External" /><Relationship Type="http://schemas.openxmlformats.org/officeDocument/2006/relationships/hyperlink" Id="rId81" Target="https://doi.org/10.1016/j.jsat.2021.108710" TargetMode="External" /><Relationship Type="http://schemas.openxmlformats.org/officeDocument/2006/relationships/hyperlink" Id="rId90" Target="https://doi.org/10.1037/0003-066X.59.4.224" TargetMode="External" /><Relationship Type="http://schemas.openxmlformats.org/officeDocument/2006/relationships/hyperlink" Id="rId86" Target="https://doi.org/10.1037/adb0000666" TargetMode="External" /><Relationship Type="http://schemas.openxmlformats.org/officeDocument/2006/relationships/hyperlink" Id="rId77" Target="https://doi.org/10.1214/17-EJS1338SI" TargetMode="External" /><Relationship Type="http://schemas.openxmlformats.org/officeDocument/2006/relationships/hyperlink" Id="rId63" Target="https://doi.org/10.21231/GNT1-HW21" TargetMode="External" /><Relationship Type="http://schemas.openxmlformats.org/officeDocument/2006/relationships/hyperlink" Id="rId94" Target="https://doi.org/10.2196/41833" TargetMode="External" /><Relationship Type="http://schemas.openxmlformats.org/officeDocument/2006/relationships/hyperlink" Id="rId96"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47" Target="https://jjcurtin.github.io/study_lag/notebooks\mak_figures-preview.html#cell-fig-auroc" TargetMode="External" /><Relationship Type="http://schemas.openxmlformats.org/officeDocument/2006/relationships/hyperlink" Id="rId56" Target="https://jjcurtin.github.io/study_lag/notebooks\mak_figures-preview.html#cell-fig-fairness" TargetMode="External" /><Relationship Type="http://schemas.openxmlformats.org/officeDocument/2006/relationships/hyperlink" Id="rId41"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Jiachen (Coco) Yu; Gaylen E. Fronk; John J. Curtin</dc:creator>
  <cp:keywords>Substance use disorders, Precision mental health</cp:keywords>
  <dcterms:created xsi:type="dcterms:W3CDTF">2024-06-30T13:06:40Z</dcterms:created>
  <dcterms:modified xsi:type="dcterms:W3CDTF">2024-06-30T13:06:40Z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found some pretty cool results that have both high impact and important clinical implications. For example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2024-06-29</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