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58.png" ContentType="image/png"/>
  <Override PartName="/word/media/rId20.png" ContentType="image/png"/>
  <Override PartName="/word/media/rId4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Forecasting Alcohol Lapse Risk up to Two Weeks in Advance using Time-lagged Machine Learning Models</w:t>
      </w:r>
    </w:p>
    <w:p>
      <w:pPr>
        <w:pStyle w:val="Author"/>
      </w:pPr>
      <w:r>
        <w:t xml:space="preserve">Kendra Wyant</w:t>
      </w:r>
    </w:p>
    <w:p>
      <w:pPr>
        <w:pStyle w:val="Author"/>
      </w:pPr>
      <w:r>
        <w:t xml:space="preserve">Gaylen E. Fronk</w:t>
      </w:r>
    </w:p>
    <w:p>
      <w:pPr>
        <w:pStyle w:val="Author"/>
      </w:pPr>
      <w:r>
        <w:t xml:space="preserve">Jiachen Yu</w:t>
      </w:r>
    </w:p>
    <w:p>
      <w:pPr>
        <w:pStyle w:val="Author"/>
      </w:pPr>
      <w:r>
        <w:t xml:space="preserve">Claire E. Punturieri</w:t>
      </w:r>
    </w:p>
    <w:p>
      <w:pPr>
        <w:pStyle w:val="Author"/>
      </w:pPr>
      <w:r>
        <w:t xml:space="preserve">John J. Curtin</w:t>
      </w:r>
    </w:p>
    <w:p>
      <w:pPr>
        <w:pStyle w:val="Date"/>
      </w:pPr>
      <w:r>
        <w:t xml:space="preserve">2026-05-20</w:t>
      </w:r>
    </w:p>
    <w:p>
      <w:pPr>
        <w:pStyle w:val="AbstractTitle"/>
      </w:pPr>
      <w:r>
        <w:t xml:space="preserve">Abstract</w:t>
      </w:r>
    </w:p>
    <w:p>
      <w:pPr>
        <w:pStyle w:val="Abstract"/>
      </w:pPr>
      <w:r>
        <w:t xml:space="preserve">Alcohol use disorder is a chronic, relapsing condition. Individuals must monitor risk and take proactive steps to manage and reduce it indefinitely to prevent lapse. Smartphone sensing and machine learning offer promise as scalable tools for automating risk monitoring and delivering personalized support during recovery. Research has demonstrated that machine learning models using ecological momentary assessment can generate highly accurate predictions of immediate lapse risk (e.g., within the next hour or day). However, many risks require supports that are not immediately available. These supports may need to be planned or involve coordination with others. In such cases, individuals may benefit from advance warning about changes in their lapse risk and the contributing factors.</w:t>
      </w:r>
    </w:p>
    <w:p>
      <w:pPr>
        <w:pStyle w:val="Abstract"/>
      </w:pPr>
      <w:r>
        <w:t xml:space="preserve">To meet this need, we developed machine learning models to predict future alcohol lapses within 24-hour prediction windows, lagged by 1 day, 3 days, 1 week, and 2 weeks from the prediction timepoint. We engineered features from 4x daily ecological momentary from individuals (N = 151; 51% male; mean age = 41; 87% non-Hispanic White) in early recovery (≤ 8 weeks of abstinence) from alcohol use disorder over a three-month period. We trained and evaluated models using nested cross-validation. Median posterior auROC values were high (0.85–0.89) across models, though performance decreased modestly with longer lag time. Models performed worse for non-advantaged groups (non-White and/or Hispanic, income below federal poverty line, female) compared to advantaged groups (non-Hispanic White, income above federal poverty line, male). Past alcohol use, abstinence self-efficacy, and craving were the most important features, with the magnitude of their importance varying meaningfully by lag time.</w:t>
      </w:r>
    </w:p>
    <w:p>
      <w:pPr>
        <w:pStyle w:val="Abstract"/>
      </w:pPr>
      <w:r>
        <w:t xml:space="preserve">These findings demonstrate the feasibility of predicting alcohol lapses up to two weeks in advance. Embedding these models within a recovery monitoring and support system could enable adaptive, personalized care with enough warning to implement recovery supports not immediately available. Improving model fairness and optimizing the delivery of model feedback to sustain engagement remain critical next steps.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Alcohol and other substance use disorders (SUDs) are serious chronic conditions, characterized by high relapse rates</w:t>
      </w:r>
      <w:r>
        <w:t xml:space="preserve"> </w:t>
      </w:r>
      <w:r>
        <w:t xml:space="preserve">[1,2]</w:t>
      </w:r>
      <w:r>
        <w:t xml:space="preserve">, substantial co-morbidity with other physical and mental health problems</w:t>
      </w:r>
      <w:r>
        <w:t xml:space="preserve"> </w:t>
      </w:r>
      <w:r>
        <w:t xml:space="preserve">[2,3]</w:t>
      </w:r>
      <w:r>
        <w:t xml:space="preserve">, and an increased risk of mortality</w:t>
      </w:r>
      <w:r>
        <w:t xml:space="preserve"> </w:t>
      </w:r>
      <w:r>
        <w:t xml:space="preserve">[4,5]</w:t>
      </w:r>
      <w:r>
        <w:t xml:space="preserve">. Too few individuals receive medications or clinician-delivered interventions to help them initially achieve abstinence and/or reduce harms associated with their use</w:t>
      </w:r>
      <w:r>
        <w:t xml:space="preserve"> </w:t>
      </w:r>
      <w:r>
        <w:t xml:space="preserve">[3]</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[6]</w:t>
      </w:r>
      <w:r>
        <w:t xml:space="preserve">. Yet, continuing care for SUDs is largely lacking despite ample evidence that SUDs are chronic, relapsing conditions</w:t>
      </w:r>
      <w:r>
        <w:t xml:space="preserve"> </w:t>
      </w:r>
      <w:r>
        <w:t xml:space="preserve">[3,7,8]</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[9,10]</w:t>
      </w:r>
      <w:r>
        <w:t xml:space="preserve">. Critically, the risk factors that instigate lapses during recovery are individualized, numerous, dynamic, interactive, and non-linear</w:t>
      </w:r>
      <w:r>
        <w:t xml:space="preserve"> </w:t>
      </w:r>
      <w:r>
        <w:t xml:space="preserve">[11,12]</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[13–15]</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[16]</w:t>
      </w:r>
      <w:r>
        <w:t xml:space="preserve"> </w:t>
      </w:r>
      <w:r>
        <w:t xml:space="preserve">and machine learning</w:t>
      </w:r>
      <w:r>
        <w:t xml:space="preserve"> </w:t>
      </w:r>
      <w:r>
        <w:t xml:space="preserve">[17]</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[9,10,18]</w:t>
      </w:r>
      <w:r>
        <w:t xml:space="preserve">. Furthermore, individuals with SUDs have found EMA to be acceptable for sustained measurement for up to a year with relatively high compliance</w:t>
      </w:r>
      <w:r>
        <w:t xml:space="preserve"> </w:t>
      </w:r>
      <w:r>
        <w:t xml:space="preserve">[19,20]</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w:t>
      </w:r>
      <w:r>
        <w:t xml:space="preserve"> </w:t>
      </w:r>
      <w:r>
        <w:t xml:space="preserve">[21]</w:t>
      </w:r>
      <w:r>
        <w:t xml:space="preserv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[22]</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[21,23,24]</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Wyant et al.</w:t>
      </w:r>
      <w:r>
        <w:t xml:space="preserve"> </w:t>
      </w:r>
      <w:r>
        <w:t xml:space="preserve">[21]</w:t>
      </w:r>
      <w:r>
        <w:t xml:space="preserve"> </w:t>
      </w:r>
      <w:r>
        <w:t xml:space="preserve">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Wyant et al.’s</w:t>
      </w:r>
      <w:r>
        <w:t xml:space="preserve"> </w:t>
      </w:r>
      <w:r>
        <w:t xml:space="preserve">[21]</w:t>
      </w:r>
      <w:r>
        <w:t xml:space="preserve"> </w:t>
      </w:r>
      <w:r>
        <w:t xml:space="preserve">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on a given day two weeks from now).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[26,27]</w:t>
      </w:r>
      <w:r>
        <w:t xml:space="preserve">, income</w:t>
      </w:r>
      <w:r>
        <w:t xml:space="preserve"> </w:t>
      </w:r>
      <w:r>
        <w:t xml:space="preserve">[28]</w:t>
      </w:r>
      <w:r>
        <w:t xml:space="preserve"> </w:t>
      </w:r>
      <w:r>
        <w:t xml:space="preserve">and sex at birth</w:t>
      </w:r>
      <w:r>
        <w:t xml:space="preserve"> </w:t>
      </w:r>
      <w:r>
        <w:t xml:space="preserve">[27,29]</w:t>
      </w:r>
      <w:r>
        <w:t xml:space="preserve">. Finally, we calculated Shapley values for feature categories defined by EMA items to better understand how these models generate predictions and how these features can be used to tailor personalized supports.</w:t>
      </w:r>
    </w:p>
    <w:bookmarkEnd w:id="10"/>
    <w:bookmarkStart w:id="36" w:name="methods"/>
    <w:p>
      <w:pPr>
        <w:pStyle w:val="Heading1"/>
      </w:pPr>
      <w:r>
        <w:t xml:space="preserve">Methods</w:t>
      </w:r>
    </w:p>
    <w:bookmarkStart w:id="13" w:name="transparency"/>
    <w:p>
      <w:pPr>
        <w:pStyle w:val="Heading2"/>
      </w:pPr>
      <w:r>
        <w:t xml:space="preserve">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11">
        <w:r>
          <w:rPr>
            <w:rStyle w:val="Hyperlink"/>
          </w:rPr>
          <w:t xml:space="preserve">https://osf.io/xta67/</w:t>
        </w:r>
      </w:hyperlink>
      <w:r>
        <w:t xml:space="preserve">). Our annotated analysis scripts and results are publicly available on our study website (</w:t>
      </w:r>
      <w:hyperlink r:id="rId12">
        <w:r>
          <w:rPr>
            <w:rStyle w:val="Hyperlink"/>
          </w:rPr>
          <w:t xml:space="preserve">https://jjcurtin.github.io/study_lag/</w:t>
        </w:r>
      </w:hyperlink>
      <w:r>
        <w:t xml:space="preserve">).</w:t>
      </w:r>
    </w:p>
    <w:bookmarkEnd w:id="13"/>
    <w:bookmarkStart w:id="14" w:name="participants"/>
    <w:p>
      <w:pPr>
        <w:pStyle w:val="Heading2"/>
      </w:pPr>
      <w:r>
        <w:t xml:space="preserve">Participants</w:t>
      </w:r>
    </w:p>
    <w:p>
      <w:pPr>
        <w:pStyle w:val="FirstParagraph"/>
      </w:pPr>
      <w:r>
        <w:t xml:space="preserve">We recruited 192 participants in early recovery (&lt;= 8 weeks of abstinence) from AUD in Madison, Wisconsin, USA for a 3-month longitudinal study from February 15, 2017 through September 19, 2019. This sample size was determined based on traditional power analysis methods for logistic regression</w:t>
      </w:r>
      <w:r>
        <w:t xml:space="preserve"> </w:t>
      </w:r>
      <w:r>
        <w:t xml:space="preserve">[30]</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[31]</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14"/>
    <w:bookmarkStart w:id="1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w:t>
      </w:r>
    </w:p>
    <w:p>
      <w:pPr>
        <w:pStyle w:val="BodyText"/>
      </w:pPr>
      <w:r>
        <w:t xml:space="preserve">Participants were compensated $20 per hour for all time spent in the laboratory (i.e., during screening, intake, and follow-up visits). In addition, participants received a $99 bonus upon completing the full 3-month study. They were also provided $66 per month to offset costs associated with their cellular plans. Participants received $25 for each month in which they provided EMA data with less than 10% missingness. Additional compensation was provided for other personal sensing data streams if minimum compliance thresholds were met.</w:t>
      </w:r>
    </w:p>
    <w:bookmarkEnd w:id="15"/>
    <w:bookmarkStart w:id="16"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16"/>
    <w:bookmarkStart w:id="19" w:name="measures"/>
    <w:p>
      <w:pPr>
        <w:pStyle w:val="Heading2"/>
      </w:pPr>
      <w:r>
        <w:t xml:space="preserve">Measures</w:t>
      </w:r>
    </w:p>
    <w:bookmarkStart w:id="17"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the first item of all EMAs, participants reported the start and dates and 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17"/>
    <w:bookmarkStart w:id="18" w:name="individual-characteristics"/>
    <w:p>
      <w:pPr>
        <w:pStyle w:val="Heading3"/>
      </w:pPr>
      <w:r>
        <w:t xml:space="preserve">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[32]</w:t>
      </w:r>
      <w:r>
        <w:t xml:space="preserve">, and presence of psychological symptoms</w:t>
      </w:r>
      <w:r>
        <w:t xml:space="preserve"> </w:t>
      </w:r>
      <w:r>
        <w:t xml:space="preserve">[31]</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11">
        <w:r>
          <w:rPr>
            <w:rStyle w:val="Hyperlink"/>
          </w:rPr>
          <w:t xml:space="preserve">https://osf.io/xta67/</w:t>
        </w:r>
      </w:hyperlink>
      <w:r>
        <w:t xml:space="preserve">).</w:t>
      </w:r>
    </w:p>
    <w:bookmarkEnd w:id="18"/>
    <w:bookmarkEnd w:id="19"/>
    <w:bookmarkStart w:id="35" w:name="data-analytic-strategy"/>
    <w:p>
      <w:pPr>
        <w:pStyle w:val="Heading2"/>
      </w:pPr>
      <w:r>
        <w:t xml:space="preserve">Data Analytic Strategy</w:t>
      </w:r>
    </w:p>
    <w:p>
      <w:pPr>
        <w:pStyle w:val="FirstParagraph"/>
      </w:pPr>
      <w:r>
        <w:t xml:space="preserve">Data preprocessing, modeling, and Bayesian analyses were done in R (version 4.4.2) using the tidymodels ecosystem</w:t>
      </w:r>
      <w:r>
        <w:t xml:space="preserve"> </w:t>
      </w:r>
      <w:r>
        <w:t xml:space="preserve">[33–35]</w:t>
      </w:r>
      <w:r>
        <w:t xml:space="preserve">. Models were trained and evaluated using high-throughput computing resources provided by the University of Wisconsin Center for High Throughput Computing</w:t>
      </w:r>
      <w:r>
        <w:t xml:space="preserve"> </w:t>
      </w:r>
      <w:r>
        <w:t xml:space="preserve">[36]</w:t>
      </w:r>
      <w:r>
        <w:t xml:space="preserve">.</w:t>
      </w:r>
    </w:p>
    <w:bookmarkStart w:id="25" w:name="predictions"/>
    <w:p>
      <w:pPr>
        <w:pStyle w:val="Heading3"/>
      </w:pPr>
      <w:r>
        <w:t xml:space="preserve">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1</w:t>
        </w:r>
      </w:hyperlink>
      <w:r>
        <w:t xml:space="preserve">, Panel A) is the hour at which our model calculates a predicted probability of a lapse within a future 24-hour prediction window for any specific individual. We calculated features from all available EMAs up until, but not including, the prediction timepoint. The first prediction timepoint for each participant was 24 hours from midnight on their study start date. This ensured at least 24 hours of past EMAs were available.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1</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(i.e., prediction window). Depending on the model, that prediction window might start immediately after the prediction timepoint (no lag) or it might be lagged to start 1 day, 3 days, 1 week, or 2 weeks after the prediction timepoint. For example, at midnight on the 30th day of participation, features would be calculated from the past 30 days of EMAs. Separate models would predict the probability of lapse for 24-hour prediction windows that start at midnight that day or start 1 day, 3 days, 1 week or 2 weeks after midnight on day 30.</w:t>
      </w:r>
    </w:p>
    <w:tbl>
      <w:tblPr>
        <w:tblStyle w:val="Table"/>
        <w:tblW w:type="pct" w:w="5000"/>
        <w:tblLayout w:type="fixed"/>
        <w:tblLook w:firstRow="0" w:lastRow="0" w:firstColumn="0" w:lastColumn="0" w:noHBand="0" w:noVBand="0" w:val="0000"/>
      </w:tblPr>
      <w:tblGrid>
        <w:gridCol w:w="7920"/>
      </w:tblGrid>
      <w:tr>
        <w:tc>
          <w:tcPr/>
          <w:bookmarkStart w:id="23" w:name="fig-method"/>
          <w:p>
            <w:pPr>
              <w:pStyle w:val="Compact"/>
              <w:jc w:val="center"/>
            </w:pPr>
            <w:r>
              <w:drawing>
                <wp:inline>
                  <wp:extent cx="5334000" cy="4386911"/>
                  <wp:effectExtent b="0" l="0" r="0" t="0"/>
                  <wp:docPr descr="" title="" id="21" name="Picture"/>
                  <a:graphic>
                    <a:graphicData uri="http://schemas.openxmlformats.org/drawingml/2006/picture">
                      <pic:pic>
                        <pic:nvPicPr>
                          <pic:cNvPr descr="index_files/figure-docx/notebooks-mak_figures-fig-method-output-1.png" id="22" name="Picture"/>
                          <pic:cNvPicPr>
                            <a:picLocks noChangeArrowheads="1" noChangeAspect="1"/>
                          </pic:cNvPicPr>
                        </pic:nvPicPr>
                        <pic:blipFill>
                          <a:blip r:embed="rId20"/>
                          <a:stretch>
                            <a:fillRect/>
                          </a:stretch>
                        </pic:blipFill>
                        <pic:spPr bwMode="auto">
                          <a:xfrm>
                            <a:off x="0" y="0"/>
                            <a:ext cx="5334000" cy="43869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Panel A shows the prediction timepoints at which our model calculated a predicted probability of a lapse. All available data up until, but not including, the prediction timepoint was used to generate these predictions. Features were created for varying feature scoring epochs before the prediction timepoint (i.e., 12, 24, 48, 72, and 168 hours). Prediction timepoints were updated hourly. Panel B shows how the prediction window (i.e., window in which a lapse might occur) rolls forward hour-by-hour with the prediction timepoint. The prediction window width for all models was 24 hours. Additionally, there were five possible lag times between the prediction timepoint and start of the prediction window. A prediction window either started immediately after the prediction timepoint (no lag) or was lagged by 1 day, 3 days, 1 week, or 2 weeks.</w:t>
            </w:r>
          </w:p>
          <w:bookmarkEnd w:id="23"/>
        </w:tc>
      </w:tr>
    </w:tbl>
    <w:p>
      <w:pPr>
        <w:pStyle w:val="BodyText"/>
      </w:pPr>
      <w:r>
        <w:rPr>
          <w:vertAlign w:val="subscript"/>
        </w:rPr>
        <w:t xml:space="preserve">Source:</w:t>
      </w:r>
      <w:r>
        <w:rPr>
          <w:vertAlign w:val="subscript"/>
        </w:rPr>
        <w:t xml:space="preserve"> </w:t>
      </w:r>
      <w:hyperlink r:id="rId24">
        <w:r>
          <w:rPr>
            <w:rStyle w:val="Hyperlink"/>
            <w:vertAlign w:val="subscript"/>
          </w:rPr>
          <w:t xml:space="preserve">Make All Figures for Main Manuscript</w:t>
        </w:r>
      </w:hyperlink>
    </w:p>
    <w:bookmarkEnd w:id="25"/>
    <w:bookmarkStart w:id="26" w:name="labels"/>
    <w:p>
      <w:pPr>
        <w:pStyle w:val="Heading3"/>
      </w:pPr>
      <w:r>
        <w:t xml:space="preserve">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(7.7% lapse); 270,911 labels for the 1-day lagged model (7.7% lapse); 264,362 labels for the 3-day lagged model (7.6% lapse); 251,458 labels for the 1-week lagged model (7.6% lapse); and 228,420 labels for the 2-week lagged model (7.6% lapse).</w:t>
      </w:r>
    </w:p>
    <w:bookmarkEnd w:id="26"/>
    <w:bookmarkStart w:id="27" w:name="feature-engineering"/>
    <w:p>
      <w:pPr>
        <w:pStyle w:val="Heading3"/>
      </w:pPr>
      <w:r>
        <w:t xml:space="preserve">Feature Engineering</w:t>
      </w:r>
    </w:p>
    <w:p>
      <w:pPr>
        <w:pStyle w:val="FirstParagraph"/>
      </w:pPr>
      <w:r>
        <w:t xml:space="preserve">Features were calculated using only data collected prior to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2"/>
        </w:numPr>
      </w:pPr>
      <w:r>
        <w:rPr>
          <w:i/>
          <w:iCs/>
        </w:rPr>
        <w:t xml:space="preserve">Prediction window</w:t>
      </w:r>
      <w:r>
        <w:t xml:space="preserve">: We dummy-coded features for day of the week at the start of the prediction window.</w:t>
      </w:r>
    </w:p>
    <w:p>
      <w:pPr>
        <w:numPr>
          <w:ilvl w:val="0"/>
          <w:numId w:val="1002"/>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2"/>
        </w:numPr>
      </w:pPr>
      <w:r>
        <w:rPr>
          <w:i/>
          <w:iCs/>
        </w:rPr>
        <w:t xml:space="preserve">Previous EMA responses</w:t>
      </w:r>
      <w:r>
        <w:t xml:space="preserve">: We calculated raw and difference features in varying feature scoring epochs (i.e., 12, 24, 48, 72, and 168 hours) before the prediction timepoint for all EMA items, except the alcohol use question. Raw features included min, max, median, and most recent scores for each EMA item across all EMAs in each epoch for a given participant. We calculated difference features by subtracting the participant’s mean value (using all available data prior to the prediction window) from the associated raw feature value to capture participant-level changes from baseline.</w:t>
      </w:r>
    </w:p>
    <w:p>
      <w:pPr>
        <w:numPr>
          <w:ilvl w:val="0"/>
          <w:numId w:val="1000"/>
        </w:numPr>
      </w:pPr>
      <w:r>
        <w:t xml:space="preserve">We calculated raw and difference rate features for past use from reported lapses on the EMA. Raw past use features were generated by dividing the total number of previously reported lapses within a feature scoring epoch by the duration of that epoch. For difference past use rate features, we subtracted the baseline past use rate for that participant (i.e., total number of lapses while on study divided by total hours on study before the prediction window) from their associated raw past use rate. We also calculated raw and difference rate features for completed EMAs (i.e., number of full EMA surveys that were completed in a feature scoring epoch divided by the duration of that epoch).</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27"/>
    <w:bookmarkStart w:id="28" w:name="model-configurations"/>
    <w:p>
      <w:pPr>
        <w:pStyle w:val="Heading3"/>
      </w:pPr>
      <w:r>
        <w:t xml:space="preserve">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[37]</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28"/>
    <w:bookmarkStart w:id="30" w:name="cross-validation"/>
    <w:p>
      <w:pPr>
        <w:pStyle w:val="Heading3"/>
      </w:pPr>
      <w:r>
        <w:t xml:space="preserve">Cross-validation</w:t>
      </w:r>
    </w:p>
    <w:p>
      <w:pPr>
        <w:pStyle w:val="FirstParagraph"/>
      </w:pPr>
      <w:r>
        <w:t xml:space="preserve">We used nested cross-validation for model training, selection, and evaluation. Nested cross-validation involves using two nested cross-validation loops to produce unbiased estimates of how well a model performs on new data from new individuals. The inner loop holds out data from model training for model selection (i.e.,</w:t>
      </w:r>
      <w:r>
        <w:t xml:space="preserve"> </w:t>
      </w:r>
      <w:r>
        <w:rPr>
          <w:i/>
          <w:iCs/>
        </w:rPr>
        <w:t xml:space="preserve">validation</w:t>
      </w:r>
      <w:r>
        <w:t xml:space="preserve"> </w:t>
      </w:r>
      <w:r>
        <w:t xml:space="preserve">sets) and the outer loop holds out new data not previously seen by the respective inner loops (for training or validation) for model evaluation (i.e.,</w:t>
      </w:r>
      <w:r>
        <w:t xml:space="preserve"> </w:t>
      </w:r>
      <w:r>
        <w:rPr>
          <w:i/>
          <w:iCs/>
        </w:rPr>
        <w:t xml:space="preserve">test</w:t>
      </w:r>
      <w:r>
        <w:t xml:space="preserve"> </w:t>
      </w:r>
      <w:r>
        <w:t xml:space="preserve">sets).</w:t>
      </w:r>
    </w:p>
    <w:p>
      <w:pPr>
        <w:pStyle w:val="BodyText"/>
      </w:pPr>
      <w:r>
        <w:t xml:space="preserve">We used 2 repeats of 5-fold cross-validation for the inner loops and 6 repeats of 5-fold cross-validation for the outer loop. Folds were stratified so that all folds contained comparable proportions of individuals who lapsed frequently (i.e., 10+ times) and participants were grouped so that all of their data were always in the held-in or held-out fold (validation/test) for a split, but never in both.</w:t>
      </w:r>
    </w:p>
    <w:p>
      <w:pPr>
        <w:pStyle w:val="BodyText"/>
      </w:pPr>
      <w:r>
        <w:t xml:space="preserve">Our performance metric was area under the receiver operating characteristic curve (auROC). auROC indexes the probability that the model will predict a higher score for a randomly selected positive case (lapse) relative to a randomly selected negative case (no lapse). The best model configurations were selected using median auROC across the 10 validation sets. Final performance of those best model configurations were evaluated using median auROC across the 30 test sets.</w:t>
      </w:r>
      <w:r>
        <w:rPr>
          <w:rStyle w:val="FootnoteReference"/>
        </w:rPr>
        <w:footnoteReference w:id="29"/>
      </w:r>
    </w:p>
    <w:bookmarkEnd w:id="30"/>
    <w:bookmarkStart w:id="31" w:name="bayesian-model"/>
    <w:p>
      <w:pPr>
        <w:pStyle w:val="Heading3"/>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[38,39]</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SD ~ exponential(2.6); intercept (centered predictors) ~ normal(2, 0.98); fixed effects ~ normal(0, 2.43); covariance ~ decov(1, 1, 1, 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31"/>
    <w:bookmarkStart w:id="32" w:name="fairness-analyses"/>
    <w:p>
      <w:pPr>
        <w:pStyle w:val="Heading3"/>
      </w:pPr>
      <w:r>
        <w:t xml:space="preserve">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 Individual Bayesian fairness contrasts for all five models are available in the supplement.</w:t>
      </w:r>
    </w:p>
    <w:bookmarkEnd w:id="32"/>
    <w:bookmarkStart w:id="33" w:name="model-calibration"/>
    <w:p>
      <w:pPr>
        <w:pStyle w:val="Heading3"/>
      </w:pPr>
      <w:r>
        <w:t xml:space="preserve">Model Calibration</w:t>
      </w:r>
    </w:p>
    <w:p>
      <w:pPr>
        <w:pStyle w:val="FirstParagraph"/>
      </w:pPr>
      <w:r>
        <w:t xml:space="preserve">To further characterize and understand our models, we used our inner resampling procedure (2 repeats of 5-fold cross validation grouped on participant) on the full data set to select a single best model configuration for each classification model (no lag, 1-day, 3-day, 1-week, and 2-week lag). The final configuration selected for each model represents the most reliable and robust configuration for deployment.</w:t>
      </w:r>
    </w:p>
    <w:p>
      <w:pPr>
        <w:pStyle w:val="BodyText"/>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[40]</w:t>
      </w:r>
      <w:r>
        <w:t xml:space="preserve">. We calculated Brier scores to assess the accuracy of our raw and calibrated probabilities for the no lag and 2-week lagged models. Brier scores range from 0 (perfect accuracy) to 1 (perfect inaccuracy). A table of Brier scores for all five models is available in the supplement. We provide calibration plots for the no lag and 2-week lagged models (calibration plots for all five models are available in the supplement).</w:t>
      </w:r>
    </w:p>
    <w:bookmarkEnd w:id="33"/>
    <w:bookmarkStart w:id="34" w:name="global-feature-importance"/>
    <w:p>
      <w:pPr>
        <w:pStyle w:val="Heading3"/>
      </w:pPr>
      <w:r>
        <w:t xml:space="preserve">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[22]</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We summarized feature importance in two ways. First, we used a traditional approach in which we calculated the global importance of each feature category (mean absolute Shapley value). Global feature importance describes how important a feature is, on average, across all observations from all participants. A large mean absolute Shapley value indicates that a feature category makes substantial contributions to predictions across the dataset. Second, we characterized local feature importance by calculating the proportion of observations in which each feature category had the highest Shapley value. This approach summarizes how frequently a feature category is the most influential contributor to individual predictions. We provided a descriptive plot of the relative ranking of feature categories by their global and local feature importance for the no lag and 2-week lagged models.</w:t>
      </w:r>
    </w:p>
    <w:bookmarkEnd w:id="34"/>
    <w:bookmarkEnd w:id="35"/>
    <w:bookmarkEnd w:id="36"/>
    <w:bookmarkStart w:id="70" w:name="results"/>
    <w:p>
      <w:pPr>
        <w:pStyle w:val="Heading1"/>
      </w:pPr>
      <w:r>
        <w:t xml:space="preserve">Results</w:t>
      </w:r>
    </w:p>
    <w:bookmarkStart w:id="39" w:name="demographic-and-lapse-characteristics"/>
    <w:p>
      <w:pPr>
        <w:pStyle w:val="Heading2"/>
      </w:pPr>
      <w:r>
        <w:t xml:space="preserve">Demographic and Lapse Characteristics</w:t>
      </w:r>
    </w:p>
    <w:p>
      <w:pPr>
        <w:pStyle w:val="FirstParagraph"/>
      </w:pPr>
      <w:hyperlink w:anchor="tbl-demohtml">
        <w:r>
          <w:rPr>
            <w:rStyle w:val="Hyperlink"/>
          </w:rPr>
          <w:t xml:space="preserve">Table 1</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37" w:name="tbl-demohtml"/>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Alcohol Use Disorder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gridSpan w:val="6"/>
                </w:tcPr>
                <w:p>
                  <w:pPr>
                    <w:pStyle w:val="Compact"/>
                    <w:jc w:val="left"/>
                    <w:jc w:val="center"/>
                  </w:pPr>
                  <w:r>
                    <w:t xml:space="preserve">Alcohol Use Disorder Milestones</w:t>
                  </w:r>
                </w:p>
              </w:tc>
            </w:tr>
            <w:tr>
              <w:tc>
                <w:tcPr/>
                <w:p>
                  <w:pPr>
                    <w:pStyle w:val="Compact"/>
                    <w:jc w:val="left"/>
                    <w:jc w:val="center"/>
                  </w:pPr>
                  <w:r>
                    <w:t xml:space="preserve">Age of first drink</w:t>
                  </w:r>
                </w:p>
              </w:tc>
              <w:tc>
                <w:tcPr/>
                <w:p>
                  <w:pPr>
                    <w:pStyle w:val="Compact"/>
                  </w:pPr>
                </w:p>
              </w:tc>
              <w:tc>
                <w:tcPr/>
                <w:p>
                  <w:pPr>
                    <w:pStyle w:val="Compact"/>
                  </w:pPr>
                </w:p>
              </w:tc>
              <w:tc>
                <w:tcPr/>
                <w:p>
                  <w:pPr>
                    <w:pStyle w:val="Compact"/>
                    <w:jc w:val="left"/>
                    <w:jc w:val="center"/>
                  </w:pPr>
                  <w:r>
                    <w:t xml:space="preserve">14.6</w:t>
                  </w:r>
                </w:p>
              </w:tc>
              <w:tc>
                <w:tcPr/>
                <w:p>
                  <w:pPr>
                    <w:pStyle w:val="Compact"/>
                    <w:jc w:val="left"/>
                    <w:jc w:val="center"/>
                  </w:pPr>
                  <w:r>
                    <w:t xml:space="preserve">2.9</w:t>
                  </w:r>
                </w:p>
              </w:tc>
              <w:tc>
                <w:tcPr/>
                <w:p>
                  <w:pPr>
                    <w:pStyle w:val="Compact"/>
                    <w:jc w:val="left"/>
                    <w:jc w:val="center"/>
                  </w:pPr>
                  <w:r>
                    <w:t xml:space="preserve">6-24</w:t>
                  </w:r>
                </w:p>
              </w:tc>
            </w:tr>
            <w:tr>
              <w:tc>
                <w:tcPr/>
                <w:p>
                  <w:pPr>
                    <w:pStyle w:val="Compact"/>
                    <w:jc w:val="left"/>
                    <w:jc w:val="center"/>
                  </w:pPr>
                  <w:r>
                    <w:t xml:space="preserve">Age of regular drinking</w:t>
                  </w:r>
                </w:p>
              </w:tc>
              <w:tc>
                <w:tcPr/>
                <w:p>
                  <w:pPr>
                    <w:pStyle w:val="Compact"/>
                  </w:pPr>
                </w:p>
              </w:tc>
              <w:tc>
                <w:tcPr/>
                <w:p>
                  <w:pPr>
                    <w:pStyle w:val="Compact"/>
                  </w:pPr>
                </w:p>
              </w:tc>
              <w:tc>
                <w:tcPr/>
                <w:p>
                  <w:pPr>
                    <w:pStyle w:val="Compact"/>
                    <w:jc w:val="left"/>
                    <w:jc w:val="center"/>
                  </w:pPr>
                  <w:r>
                    <w:t xml:space="preserve">19.5</w:t>
                  </w:r>
                </w:p>
              </w:tc>
              <w:tc>
                <w:tcPr/>
                <w:p>
                  <w:pPr>
                    <w:pStyle w:val="Compact"/>
                    <w:jc w:val="left"/>
                    <w:jc w:val="center"/>
                  </w:pPr>
                  <w:r>
                    <w:t xml:space="preserve">6.6</w:t>
                  </w:r>
                </w:p>
              </w:tc>
              <w:tc>
                <w:tcPr/>
                <w:p>
                  <w:pPr>
                    <w:pStyle w:val="Compact"/>
                    <w:jc w:val="left"/>
                    <w:jc w:val="center"/>
                  </w:pPr>
                  <w:r>
                    <w:t xml:space="preserve">11-56</w:t>
                  </w:r>
                </w:p>
              </w:tc>
            </w:tr>
            <w:tr>
              <w:tc>
                <w:tcPr/>
                <w:p>
                  <w:pPr>
                    <w:pStyle w:val="Compact"/>
                    <w:jc w:val="left"/>
                    <w:jc w:val="center"/>
                  </w:pPr>
                  <w:r>
                    <w:t xml:space="preserve">Age at which drinking became problematic</w:t>
                  </w:r>
                </w:p>
              </w:tc>
              <w:tc>
                <w:tcPr/>
                <w:p>
                  <w:pPr>
                    <w:pStyle w:val="Compact"/>
                  </w:pPr>
                </w:p>
              </w:tc>
              <w:tc>
                <w:tcPr/>
                <w:p>
                  <w:pPr>
                    <w:pStyle w:val="Compact"/>
                  </w:pPr>
                </w:p>
              </w:tc>
              <w:tc>
                <w:tcPr/>
                <w:p>
                  <w:pPr>
                    <w:pStyle w:val="Compact"/>
                    <w:jc w:val="left"/>
                    <w:jc w:val="center"/>
                  </w:pPr>
                  <w:r>
                    <w:t xml:space="preserve">27.8</w:t>
                  </w:r>
                </w:p>
              </w:tc>
              <w:tc>
                <w:tcPr/>
                <w:p>
                  <w:pPr>
                    <w:pStyle w:val="Compact"/>
                    <w:jc w:val="left"/>
                    <w:jc w:val="center"/>
                  </w:pPr>
                  <w:r>
                    <w:t xml:space="preserve">9.6</w:t>
                  </w:r>
                </w:p>
              </w:tc>
              <w:tc>
                <w:tcPr/>
                <w:p>
                  <w:pPr>
                    <w:pStyle w:val="Compact"/>
                    <w:jc w:val="left"/>
                    <w:jc w:val="center"/>
                  </w:pPr>
                  <w:r>
                    <w:t xml:space="preserve">15-60</w:t>
                  </w:r>
                </w:p>
              </w:tc>
            </w:tr>
            <w:tr>
              <w:tc>
                <w:tcPr/>
                <w:p>
                  <w:pPr>
                    <w:pStyle w:val="Compact"/>
                    <w:jc w:val="left"/>
                    <w:jc w:val="center"/>
                  </w:pPr>
                  <w:r>
                    <w:t xml:space="preserve">Age of first quit attempt</w:t>
                  </w:r>
                </w:p>
              </w:tc>
              <w:tc>
                <w:tcPr/>
                <w:p>
                  <w:pPr>
                    <w:pStyle w:val="Compact"/>
                  </w:pPr>
                </w:p>
              </w:tc>
              <w:tc>
                <w:tcPr/>
                <w:p>
                  <w:pPr>
                    <w:pStyle w:val="Compact"/>
                  </w:pPr>
                </w:p>
              </w:tc>
              <w:tc>
                <w:tcPr/>
                <w:p>
                  <w:pPr>
                    <w:pStyle w:val="Compact"/>
                    <w:jc w:val="left"/>
                    <w:jc w:val="center"/>
                  </w:pPr>
                  <w:r>
                    <w:t xml:space="preserve">31.5</w:t>
                  </w:r>
                </w:p>
              </w:tc>
              <w:tc>
                <w:tcPr/>
                <w:p>
                  <w:pPr>
                    <w:pStyle w:val="Compact"/>
                    <w:jc w:val="left"/>
                    <w:jc w:val="center"/>
                  </w:pPr>
                  <w:r>
                    <w:t xml:space="preserve">10.4</w:t>
                  </w:r>
                </w:p>
              </w:tc>
              <w:tc>
                <w:tcPr/>
                <w:p>
                  <w:pPr>
                    <w:pStyle w:val="Compact"/>
                    <w:jc w:val="left"/>
                    <w:jc w:val="center"/>
                  </w:pPr>
                  <w:r>
                    <w:t xml:space="preserve">15-65</w:t>
                  </w:r>
                </w:p>
              </w:tc>
            </w:tr>
            <w:tr>
              <w:tc>
                <w:tcPr/>
                <w:p>
                  <w:pPr>
                    <w:pStyle w:val="Compact"/>
                    <w:jc w:val="left"/>
                    <w:jc w:val="center"/>
                  </w:pPr>
                  <w:r>
                    <w:t xml:space="preserve">Number of Quit Attempts*</w:t>
                  </w:r>
                </w:p>
              </w:tc>
              <w:tc>
                <w:tcPr/>
                <w:p>
                  <w:pPr>
                    <w:pStyle w:val="Compact"/>
                  </w:pPr>
                </w:p>
              </w:tc>
              <w:tc>
                <w:tcPr/>
                <w:p>
                  <w:pPr>
                    <w:pStyle w:val="Compact"/>
                  </w:pPr>
                </w:p>
              </w:tc>
              <w:tc>
                <w:tcPr/>
                <w:p>
                  <w:pPr>
                    <w:pStyle w:val="Compact"/>
                    <w:jc w:val="left"/>
                    <w:jc w:val="center"/>
                  </w:pPr>
                  <w:r>
                    <w:t xml:space="preserve">5.5</w:t>
                  </w:r>
                </w:p>
              </w:tc>
              <w:tc>
                <w:tcPr/>
                <w:p>
                  <w:pPr>
                    <w:pStyle w:val="Compact"/>
                    <w:jc w:val="left"/>
                    <w:jc w:val="center"/>
                  </w:pPr>
                  <w:r>
                    <w:t xml:space="preserve">5.8</w:t>
                  </w:r>
                </w:p>
              </w:tc>
              <w:tc>
                <w:tcPr/>
                <w:p>
                  <w:pPr>
                    <w:pStyle w:val="Compact"/>
                    <w:jc w:val="left"/>
                    <w:jc w:val="center"/>
                  </w:pPr>
                  <w:r>
                    <w:t xml:space="preserve">0-30</w:t>
                  </w:r>
                </w:p>
              </w:tc>
            </w:tr>
            <w:tr>
              <w:tc>
                <w:tcPr>
                  <w:gridSpan w:val="6"/>
                </w:tcPr>
                <w:p>
                  <w:pPr>
                    <w:pStyle w:val="Compact"/>
                    <w:jc w:val="left"/>
                    <w:jc w:val="center"/>
                  </w:pPr>
                  <w:r>
                    <w:t xml:space="preserve">Lifetime History of Treatment (Can choose more than 1)</w:t>
                  </w:r>
                </w:p>
              </w:tc>
            </w:tr>
            <w:tr>
              <w:tc>
                <w:tcPr/>
                <w:p>
                  <w:pPr>
                    <w:pStyle w:val="Compact"/>
                    <w:jc w:val="left"/>
                    <w:jc w:val="center"/>
                  </w:pPr>
                  <w:r>
                    <w:t xml:space="preserve">Long-term residential (6+ months)</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Short-term residential (&lt; 6 months)</w:t>
                  </w:r>
                </w:p>
              </w:tc>
              <w:tc>
                <w:tcPr/>
                <w:p>
                  <w:pPr>
                    <w:pStyle w:val="Compact"/>
                    <w:jc w:val="right"/>
                    <w:jc w:val="center"/>
                  </w:pPr>
                  <w:r>
                    <w:t xml:space="preserve">49</w:t>
                  </w:r>
                </w:p>
              </w:tc>
              <w:tc>
                <w:tcPr/>
                <w:p>
                  <w:pPr>
                    <w:pStyle w:val="Compact"/>
                    <w:jc w:val="right"/>
                    <w:jc w:val="center"/>
                  </w:pPr>
                  <w:r>
                    <w:t xml:space="preserve">32.5</w:t>
                  </w:r>
                </w:p>
              </w:tc>
              <w:tc>
                <w:tcPr/>
                <w:p>
                  <w:pPr>
                    <w:pStyle w:val="Compact"/>
                  </w:pPr>
                </w:p>
              </w:tc>
              <w:tc>
                <w:tcPr/>
                <w:p>
                  <w:pPr>
                    <w:pStyle w:val="Compact"/>
                  </w:pPr>
                </w:p>
              </w:tc>
              <w:tc>
                <w:tcPr/>
                <w:p>
                  <w:pPr>
                    <w:pStyle w:val="Compact"/>
                  </w:pPr>
                </w:p>
              </w:tc>
            </w:tr>
            <w:tr>
              <w:tc>
                <w:tcPr/>
                <w:p>
                  <w:pPr>
                    <w:pStyle w:val="Compact"/>
                    <w:jc w:val="left"/>
                    <w:jc w:val="center"/>
                  </w:pPr>
                  <w:r>
                    <w:t xml:space="preserve">Outpatient</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Individual counseling</w:t>
                  </w:r>
                </w:p>
              </w:tc>
              <w:tc>
                <w:tcPr/>
                <w:p>
                  <w:pPr>
                    <w:pStyle w:val="Compact"/>
                    <w:jc w:val="right"/>
                    <w:jc w:val="center"/>
                  </w:pPr>
                  <w:r>
                    <w:t xml:space="preserve">97</w:t>
                  </w:r>
                </w:p>
              </w:tc>
              <w:tc>
                <w:tcPr/>
                <w:p>
                  <w:pPr>
                    <w:pStyle w:val="Compact"/>
                    <w:jc w:val="right"/>
                    <w:jc w:val="center"/>
                  </w:pPr>
                  <w:r>
                    <w:t xml:space="preserve">64.2</w:t>
                  </w:r>
                </w:p>
              </w:tc>
              <w:tc>
                <w:tcPr/>
                <w:p>
                  <w:pPr>
                    <w:pStyle w:val="Compact"/>
                  </w:pPr>
                </w:p>
              </w:tc>
              <w:tc>
                <w:tcPr/>
                <w:p>
                  <w:pPr>
                    <w:pStyle w:val="Compact"/>
                  </w:pPr>
                </w:p>
              </w:tc>
              <w:tc>
                <w:tcPr/>
                <w:p>
                  <w:pPr>
                    <w:pStyle w:val="Compact"/>
                  </w:pPr>
                </w:p>
              </w:tc>
            </w:tr>
            <w:tr>
              <w:tc>
                <w:tcPr/>
                <w:p>
                  <w:pPr>
                    <w:pStyle w:val="Compact"/>
                    <w:jc w:val="left"/>
                    <w:jc w:val="center"/>
                  </w:pPr>
                  <w:r>
                    <w:t xml:space="preserve">Group counseling</w:t>
                  </w:r>
                </w:p>
              </w:tc>
              <w:tc>
                <w:tcPr/>
                <w:p>
                  <w:pPr>
                    <w:pStyle w:val="Compact"/>
                    <w:jc w:val="right"/>
                    <w:jc w:val="center"/>
                  </w:pPr>
                  <w:r>
                    <w:t xml:space="preserve">62</w:t>
                  </w:r>
                </w:p>
              </w:tc>
              <w:tc>
                <w:tcPr/>
                <w:p>
                  <w:pPr>
                    <w:pStyle w:val="Compact"/>
                    <w:jc w:val="right"/>
                    <w:jc w:val="center"/>
                  </w:pPr>
                  <w:r>
                    <w:t xml:space="preserve">41.1</w:t>
                  </w:r>
                </w:p>
              </w:tc>
              <w:tc>
                <w:tcPr/>
                <w:p>
                  <w:pPr>
                    <w:pStyle w:val="Compact"/>
                  </w:pPr>
                </w:p>
              </w:tc>
              <w:tc>
                <w:tcPr/>
                <w:p>
                  <w:pPr>
                    <w:pStyle w:val="Compact"/>
                  </w:pPr>
                </w:p>
              </w:tc>
              <w:tc>
                <w:tcPr/>
                <w:p>
                  <w:pPr>
                    <w:pStyle w:val="Compact"/>
                  </w:pPr>
                </w:p>
              </w:tc>
            </w:tr>
            <w:tr>
              <w:tc>
                <w:tcPr/>
                <w:p>
                  <w:pPr>
                    <w:pStyle w:val="Compact"/>
                    <w:jc w:val="left"/>
                    <w:jc w:val="center"/>
                  </w:pPr>
                  <w:r>
                    <w:t xml:space="preserve">Alcoholics Anonymous/Narcotics Anonymous</w:t>
                  </w:r>
                </w:p>
              </w:tc>
              <w:tc>
                <w:tcPr/>
                <w:p>
                  <w:pPr>
                    <w:pStyle w:val="Compact"/>
                    <w:jc w:val="right"/>
                    <w:jc w:val="center"/>
                  </w:pPr>
                  <w:r>
                    <w:t xml:space="preserve">93</w:t>
                  </w:r>
                </w:p>
              </w:tc>
              <w:tc>
                <w:tcPr/>
                <w:p>
                  <w:pPr>
                    <w:pStyle w:val="Compact"/>
                    <w:jc w:val="right"/>
                    <w:jc w:val="center"/>
                  </w:pPr>
                  <w:r>
                    <w:t xml:space="preserve">61.6</w:t>
                  </w:r>
                </w:p>
              </w:tc>
              <w:tc>
                <w:tcPr/>
                <w:p>
                  <w:pPr>
                    <w:pStyle w:val="Compact"/>
                  </w:pPr>
                </w:p>
              </w:tc>
              <w:tc>
                <w:tcPr/>
                <w:p>
                  <w:pPr>
                    <w:pStyle w:val="Compact"/>
                  </w:pPr>
                </w:p>
              </w:tc>
              <w:tc>
                <w:tcPr/>
                <w:p>
                  <w:pPr>
                    <w:pStyle w:val="Compact"/>
                  </w:pPr>
                </w:p>
              </w:tc>
            </w:tr>
            <w:tr>
              <w:tc>
                <w:tcPr/>
                <w:p>
                  <w:pPr>
                    <w:pStyle w:val="Compact"/>
                    <w:jc w:val="left"/>
                    <w:jc w:val="center"/>
                  </w:pPr>
                  <w:r>
                    <w:t xml:space="preserve">Other</w:t>
                  </w:r>
                </w:p>
              </w:tc>
              <w:tc>
                <w:tcPr/>
                <w:p>
                  <w:pPr>
                    <w:pStyle w:val="Compact"/>
                    <w:jc w:val="right"/>
                    <w:jc w:val="center"/>
                  </w:pPr>
                  <w:r>
                    <w:t xml:space="preserve">40</w:t>
                  </w:r>
                </w:p>
              </w:tc>
              <w:tc>
                <w:tcPr/>
                <w:p>
                  <w:pPr>
                    <w:pStyle w:val="Compact"/>
                    <w:jc w:val="right"/>
                    <w:jc w:val="center"/>
                  </w:pPr>
                  <w:r>
                    <w:t xml:space="preserve">26.5</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Received Medication for Alcohol Use Disorder</w:t>
                  </w:r>
                </w:p>
              </w:tc>
            </w:tr>
            <w:tr>
              <w:tc>
                <w:tcPr/>
                <w:p>
                  <w:pPr>
                    <w:pStyle w:val="Compact"/>
                    <w:jc w:val="left"/>
                    <w:jc w:val="center"/>
                  </w:pPr>
                  <w:r>
                    <w:t xml:space="preserve">Yes</w:t>
                  </w:r>
                </w:p>
              </w:tc>
              <w:tc>
                <w:tcPr/>
                <w:p>
                  <w:pPr>
                    <w:pStyle w:val="Compact"/>
                    <w:jc w:val="right"/>
                    <w:jc w:val="center"/>
                  </w:pPr>
                  <w:r>
                    <w:t xml:space="preserve">59</w:t>
                  </w:r>
                </w:p>
              </w:tc>
              <w:tc>
                <w:tcPr/>
                <w:p>
                  <w:pPr>
                    <w:pStyle w:val="Compact"/>
                    <w:jc w:val="right"/>
                    <w:jc w:val="center"/>
                  </w:pPr>
                  <w:r>
                    <w:t xml:space="preserve">39.1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92</w:t>
                  </w:r>
                </w:p>
              </w:tc>
              <w:tc>
                <w:tcPr/>
                <w:p>
                  <w:pPr>
                    <w:pStyle w:val="Compact"/>
                    <w:jc w:val="right"/>
                    <w:jc w:val="center"/>
                  </w:pPr>
                  <w:r>
                    <w:t xml:space="preserve">60.9</w:t>
                  </w:r>
                </w:p>
              </w:tc>
              <w:tc>
                <w:tcPr/>
                <w:p>
                  <w:pPr>
                    <w:pStyle w:val="Compact"/>
                  </w:pPr>
                </w:p>
              </w:tc>
              <w:tc>
                <w:tcPr/>
                <w:p>
                  <w:pPr>
                    <w:pStyle w:val="Compact"/>
                  </w:pPr>
                </w:p>
              </w:tc>
              <w:tc>
                <w:tcPr/>
                <w:p>
                  <w:pPr>
                    <w:pStyle w:val="Compact"/>
                  </w:pPr>
                </w:p>
              </w:tc>
            </w:tr>
            <w:tr>
              <w:tc>
                <w:tcPr>
                  <w:gridSpan w:val="6"/>
                </w:tcPr>
                <w:p>
                  <w:pPr>
                    <w:pStyle w:val="Compact"/>
                    <w:jc w:val="left"/>
                    <w:jc w:val="center"/>
                  </w:pPr>
                  <w:r>
                    <w:t xml:space="preserve">Current (Past 3 Month) Drug Use</w:t>
                  </w:r>
                </w:p>
              </w:tc>
            </w:tr>
            <w:tr>
              <w:tc>
                <w:tcPr/>
                <w:p>
                  <w:pPr>
                    <w:pStyle w:val="Compact"/>
                    <w:jc w:val="left"/>
                    <w:jc w:val="center"/>
                  </w:pPr>
                  <w:r>
                    <w:t xml:space="preserve">Tobacco products (cigarettes, chewing tobacco, cigars, etc.)</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Cannabis (marijuana, pot, grass, hash, etc.)</w:t>
                  </w:r>
                </w:p>
              </w:tc>
              <w:tc>
                <w:tcPr/>
                <w:p>
                  <w:pPr>
                    <w:pStyle w:val="Compact"/>
                    <w:jc w:val="right"/>
                    <w:jc w:val="center"/>
                  </w:pPr>
                  <w:r>
                    <w:t xml:space="preserve">66</w:t>
                  </w:r>
                </w:p>
              </w:tc>
              <w:tc>
                <w:tcPr/>
                <w:p>
                  <w:pPr>
                    <w:pStyle w:val="Compact"/>
                    <w:jc w:val="right"/>
                    <w:jc w:val="center"/>
                  </w:pPr>
                  <w:r>
                    <w:t xml:space="preserve">43.7</w:t>
                  </w:r>
                </w:p>
              </w:tc>
              <w:tc>
                <w:tcPr/>
                <w:p>
                  <w:pPr>
                    <w:pStyle w:val="Compact"/>
                  </w:pPr>
                </w:p>
              </w:tc>
              <w:tc>
                <w:tcPr/>
                <w:p>
                  <w:pPr>
                    <w:pStyle w:val="Compact"/>
                  </w:pPr>
                </w:p>
              </w:tc>
              <w:tc>
                <w:tcPr/>
                <w:p>
                  <w:pPr>
                    <w:pStyle w:val="Compact"/>
                  </w:pPr>
                </w:p>
              </w:tc>
            </w:tr>
            <w:tr>
              <w:tc>
                <w:tcPr/>
                <w:p>
                  <w:pPr>
                    <w:pStyle w:val="Compact"/>
                    <w:jc w:val="left"/>
                    <w:jc w:val="center"/>
                  </w:pPr>
                  <w:r>
                    <w:t xml:space="preserve">Cocaine (coke, crack, etc.)</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Amphetamine type stimulants (speed, diet pills, ecstasy, etc.)</w:t>
                  </w:r>
                </w:p>
              </w:tc>
              <w:tc>
                <w:tcPr/>
                <w:p>
                  <w:pPr>
                    <w:pStyle w:val="Compact"/>
                    <w:jc w:val="right"/>
                    <w:jc w:val="center"/>
                  </w:pPr>
                  <w:r>
                    <w:t xml:space="preserve">15</w:t>
                  </w:r>
                </w:p>
              </w:tc>
              <w:tc>
                <w:tcPr/>
                <w:p>
                  <w:pPr>
                    <w:pStyle w:val="Compact"/>
                    <w:jc w:val="right"/>
                    <w:jc w:val="center"/>
                  </w:pPr>
                  <w:r>
                    <w:t xml:space="preserve">9.9</w:t>
                  </w:r>
                </w:p>
              </w:tc>
              <w:tc>
                <w:tcPr/>
                <w:p>
                  <w:pPr>
                    <w:pStyle w:val="Compact"/>
                  </w:pPr>
                </w:p>
              </w:tc>
              <w:tc>
                <w:tcPr/>
                <w:p>
                  <w:pPr>
                    <w:pStyle w:val="Compact"/>
                  </w:pPr>
                </w:p>
              </w:tc>
              <w:tc>
                <w:tcPr/>
                <w:p>
                  <w:pPr>
                    <w:pStyle w:val="Compact"/>
                  </w:pPr>
                </w:p>
              </w:tc>
            </w:tr>
            <w:tr>
              <w:tc>
                <w:tcPr/>
                <w:p>
                  <w:pPr>
                    <w:pStyle w:val="Compact"/>
                    <w:jc w:val="left"/>
                    <w:jc w:val="center"/>
                  </w:pPr>
                  <w:r>
                    <w:t xml:space="preserve">Inhalants (nitrous, glue, petrol, paint thinner, etc.)</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Sedatives or sleeping pills (Valium, Serepax, Rohypnol, etc.)</w:t>
                  </w:r>
                </w:p>
              </w:tc>
              <w:tc>
                <w:tcPr/>
                <w:p>
                  <w:pPr>
                    <w:pStyle w:val="Compact"/>
                    <w:jc w:val="right"/>
                    <w:jc w:val="center"/>
                  </w:pPr>
                  <w:r>
                    <w:t xml:space="preserve">22</w:t>
                  </w:r>
                </w:p>
              </w:tc>
              <w:tc>
                <w:tcPr/>
                <w:p>
                  <w:pPr>
                    <w:pStyle w:val="Compact"/>
                    <w:jc w:val="right"/>
                    <w:jc w:val="center"/>
                  </w:pPr>
                  <w:r>
                    <w:t xml:space="preserve">14.6</w:t>
                  </w:r>
                </w:p>
              </w:tc>
              <w:tc>
                <w:tcPr/>
                <w:p>
                  <w:pPr>
                    <w:pStyle w:val="Compact"/>
                  </w:pPr>
                </w:p>
              </w:tc>
              <w:tc>
                <w:tcPr/>
                <w:p>
                  <w:pPr>
                    <w:pStyle w:val="Compact"/>
                  </w:pPr>
                </w:p>
              </w:tc>
              <w:tc>
                <w:tcPr/>
                <w:p>
                  <w:pPr>
                    <w:pStyle w:val="Compact"/>
                  </w:pPr>
                </w:p>
              </w:tc>
            </w:tr>
            <w:tr>
              <w:tc>
                <w:tcPr/>
                <w:p>
                  <w:pPr>
                    <w:pStyle w:val="Compact"/>
                    <w:jc w:val="left"/>
                    <w:jc w:val="center"/>
                  </w:pPr>
                  <w:r>
                    <w:t xml:space="preserve">Hallucinogens (LSD, acid, mushrooms, PCP, Special K, etc.)</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Opioids (heroin, morphine, methadone, codeine, etc.)</w:t>
                  </w:r>
                </w:p>
              </w:tc>
              <w:tc>
                <w:tcPr/>
                <w:p>
                  <w:pPr>
                    <w:pStyle w:val="Compact"/>
                    <w:jc w:val="right"/>
                    <w:jc w:val="center"/>
                  </w:pPr>
                  <w:r>
                    <w:t xml:space="preserve">16</w:t>
                  </w:r>
                </w:p>
              </w:tc>
              <w:tc>
                <w:tcPr/>
                <w:p>
                  <w:pPr>
                    <w:pStyle w:val="Compact"/>
                    <w:jc w:val="right"/>
                    <w:jc w:val="center"/>
                  </w:pPr>
                  <w:r>
                    <w:t xml:space="preserve">10.6</w:t>
                  </w:r>
                </w:p>
              </w:tc>
              <w:tc>
                <w:tcPr/>
                <w:p>
                  <w:pPr>
                    <w:pStyle w:val="Compact"/>
                  </w:pPr>
                </w:p>
              </w:tc>
              <w:tc>
                <w:tcPr/>
                <w:p>
                  <w:pPr>
                    <w:pStyle w:val="Compact"/>
                  </w:pPr>
                </w:p>
              </w:tc>
              <w:tc>
                <w:tcPr/>
                <w:p>
                  <w:pPr>
                    <w:pStyle w:val="Compact"/>
                  </w:pP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151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*Two participants reported 100 or more quit attempts. We removed these outliers prior to calculating the mean (M), standard deviation (SD), and range.</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7"/>
          <w:p/>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All Tables for Main Manuscript</w:t>
        </w:r>
      </w:hyperlink>
    </w:p>
    <w:bookmarkEnd w:id="39"/>
    <w:bookmarkStart w:id="51" w:name="model-evaluation"/>
    <w:p>
      <w:pPr>
        <w:pStyle w:val="Heading2"/>
      </w:pPr>
      <w:r>
        <w:t xml:space="preserve">Model Evaluation</w:t>
      </w:r>
    </w:p>
    <w:p>
      <w:pPr>
        <w:pStyle w:val="FirstParagraph"/>
      </w:pPr>
      <w:hyperlink w:anchor="fig-pp">
        <w:r>
          <w:rPr>
            <w:rStyle w:val="Hyperlink"/>
          </w:rPr>
          <w:t xml:space="preserve">Figure 2</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43" w:name="fig-pp"/>
          <w:p>
            <w:pPr>
              <w:pStyle w:val="Compact"/>
              <w:jc w:val="center"/>
            </w:pPr>
            <w:r>
              <w:drawing>
                <wp:inline>
                  <wp:extent cx="5334000" cy="5334000"/>
                  <wp:effectExtent b="0" l="0" r="0" t="0"/>
                  <wp:docPr descr="" title="" id="41" name="Picture"/>
                  <a:graphic>
                    <a:graphicData uri="http://schemas.openxmlformats.org/drawingml/2006/picture">
                      <pic:pic>
                        <pic:nvPicPr>
                          <pic:cNvPr descr="index_files/figure-docx/notebooks-mak_figures-fig-pp-output-1.png" id="42"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All Figures for Main Manuscript</w:t>
        </w:r>
      </w:hyperlink>
    </w:p>
    <w:tbl>
      <w:tblPr>
        <w:tblStyle w:val="Table"/>
        <w:tblW w:type="pct" w:w="5000"/>
        <w:tblLayout w:type="fixed"/>
        <w:tblLook w:firstRow="0" w:lastRow="0" w:firstColumn="0" w:lastColumn="0" w:noHBand="0" w:noVBand="0" w:val="0000"/>
      </w:tblPr>
      <w:tblGrid>
        <w:gridCol w:w="7920"/>
      </w:tblGrid>
      <w:tr>
        <w:tc>
          <w:tcPr/>
          <w:bookmarkStart w:id="49" w:name="fig-sens"/>
          <w:p>
            <w:pPr>
              <w:pStyle w:val="Compact"/>
              <w:jc w:val="center"/>
            </w:pPr>
            <w:bookmarkStart w:id="48" w:name="fig-sens"/>
            <w:r>
              <w:drawing>
                <wp:inline>
                  <wp:extent cx="5334000" cy="3810000"/>
                  <wp:effectExtent b="0" l="0" r="0" t="0"/>
                  <wp:docPr descr="" title="" id="46" name="Picture"/>
                  <a:graphic>
                    <a:graphicData uri="http://schemas.openxmlformats.org/drawingml/2006/picture">
                      <pic:pic>
                        <pic:nvPicPr>
                          <pic:cNvPr descr="index_files/figure-docx/notebooks-mak_figures-fig-sens-output-2.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bookmarkEnd w:id="48"/>
          </w:p>
          <w:p>
            <w:pPr>
              <w:jc w:val="center"/>
            </w:pPr>
            <w:pPr>
              <w:jc w:val="left"/>
              <w:spacing w:before="200"/>
              <w:pStyle w:val="ImageCaption"/>
            </w:pPr>
            <w:r>
              <w:t xml:space="preserve">Figure 3</w:t>
            </w:r>
          </w:p>
          <w:bookmarkEnd w:id="49"/>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Figures for Main Manuscript</w:t>
        </w:r>
      </w:hyperlink>
    </w:p>
    <w:bookmarkEnd w:id="51"/>
    <w:bookmarkStart w:id="54" w:name="model-comparisons"/>
    <w:p>
      <w:pPr>
        <w:pStyle w:val="Heading2"/>
      </w:pPr>
      <w:r>
        <w:t xml:space="preserve">Model Comparisons</w:t>
      </w:r>
    </w:p>
    <w:p>
      <w:pPr>
        <w:pStyle w:val="FirstParagraph"/>
      </w:pPr>
      <w:hyperlink w:anchor="tbl-model">
        <w:r>
          <w:rPr>
            <w:rStyle w:val="Hyperlink"/>
          </w:rPr>
          <w:t xml:space="preserve">Table 2</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52" w:name="tbl-model"/>
          <w:p>
            <w:pPr>
              <w:jc w:val="center"/>
            </w:pPr>
            <w:pPr>
              <w:jc w:val="left"/>
              <w:spacing w:before="200"/>
              <w:pStyle w:val="ImageCaption"/>
            </w:pPr>
            <w:r>
              <w:t xml:space="preserve">Table 2: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1-day vs. No lag</w:t>
                  </w: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jc w:val="left"/>
                    <w:jc w:val="center"/>
                  </w:pPr>
                  <w:r>
                    <w:t xml:space="preserve">3-day vs. No lag</w:t>
                  </w:r>
                </w:p>
              </w:tc>
              <w:tc>
                <w:tcPr/>
                <w:p>
                  <w:pPr>
                    <w:pStyle w:val="Compact"/>
                    <w:jc w:val="left"/>
                    <w:jc w:val="center"/>
                  </w:pPr>
                  <w:r>
                    <w:t xml:space="preserve">-0.03</w:t>
                  </w:r>
                </w:p>
              </w:tc>
              <w:tc>
                <w:tcPr/>
                <w:p>
                  <w:pPr>
                    <w:pStyle w:val="Compact"/>
                    <w:jc w:val="left"/>
                    <w:jc w:val="center"/>
                  </w:pPr>
                  <w:r>
                    <w:t xml:space="preserve">[-0.035, -0.025]</w:t>
                  </w:r>
                </w:p>
              </w:tc>
              <w:tc>
                <w:tcPr/>
                <w:p>
                  <w:pPr>
                    <w:pStyle w:val="Compact"/>
                    <w:jc w:val="left"/>
                    <w:jc w:val="center"/>
                  </w:pPr>
                  <w:r>
                    <w:t xml:space="preserve">1</w:t>
                  </w:r>
                </w:p>
              </w:tc>
            </w:tr>
            <w:tr>
              <w:tc>
                <w:tcPr/>
                <w:p>
                  <w:pPr>
                    <w:pStyle w:val="Compact"/>
                    <w:jc w:val="left"/>
                    <w:jc w:val="center"/>
                  </w:pPr>
                  <w:r>
                    <w:t xml:space="preserve">1-week vs. No lag</w:t>
                  </w: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jc w:val="left"/>
                    <w:jc w:val="center"/>
                  </w:pPr>
                  <w:r>
                    <w:t xml:space="preserve">2-week vs. No lag</w:t>
                  </w:r>
                </w:p>
              </w:tc>
              <w:tc>
                <w:tcPr/>
                <w:p>
                  <w:pPr>
                    <w:pStyle w:val="Compact"/>
                    <w:jc w:val="left"/>
                    <w:jc w:val="center"/>
                  </w:pPr>
                  <w:r>
                    <w:t xml:space="preserve">-0.062</w:t>
                  </w:r>
                </w:p>
              </w:tc>
              <w:tc>
                <w:tcPr/>
                <w:p>
                  <w:pPr>
                    <w:pStyle w:val="Compact"/>
                    <w:jc w:val="left"/>
                    <w:jc w:val="center"/>
                  </w:pPr>
                  <w:r>
                    <w:t xml:space="preserve">[-0.07, -0.056]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3-day vs. 1-day</w:t>
                  </w: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jc w:val="left"/>
                    <w:jc w:val="center"/>
                  </w:pPr>
                  <w:r>
                    <w:t xml:space="preserve">1-week vs. 3-day</w:t>
                  </w: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jc w:val="left"/>
                    <w:jc w:val="center"/>
                  </w:pPr>
                  <w:r>
                    <w:t xml:space="preserve">2-week vs. 1-week</w:t>
                  </w: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52"/>
          <w:p/>
        </w:tc>
      </w:tr>
    </w:tbl>
    <w:p>
      <w:pPr>
        <w:pStyle w:val="BodyText"/>
      </w:pPr>
      <w:r>
        <w:rPr>
          <w:vertAlign w:val="subscript"/>
        </w:rPr>
        <w:t xml:space="preserve">Source:</w:t>
      </w:r>
      <w:r>
        <w:rPr>
          <w:vertAlign w:val="subscript"/>
        </w:rPr>
        <w:t xml:space="preserve"> </w:t>
      </w:r>
      <w:hyperlink r:id="rId53">
        <w:r>
          <w:rPr>
            <w:rStyle w:val="Hyperlink"/>
            <w:vertAlign w:val="subscript"/>
          </w:rPr>
          <w:t xml:space="preserve">Make All Tables for Main Manuscript</w:t>
        </w:r>
      </w:hyperlink>
    </w:p>
    <w:bookmarkEnd w:id="54"/>
    <w:bookmarkStart w:id="57" w:name="fairness-analyses-1"/>
    <w:p>
      <w:pPr>
        <w:pStyle w:val="Heading2"/>
      </w:pPr>
      <w:r>
        <w:t xml:space="preserve">Fairness Analyses</w:t>
      </w:r>
    </w:p>
    <w:p>
      <w:pPr>
        <w:pStyle w:val="FirstParagraph"/>
      </w:pPr>
      <w:hyperlink w:anchor="tbl-fairness">
        <w:r>
          <w:rPr>
            <w:rStyle w:val="Hyperlink"/>
          </w:rPr>
          <w:t xml:space="preserve">Table 3</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3</w:t>
        </w:r>
      </w:hyperlink>
      <w:r>
        <w:t xml:space="preserve"> </w:t>
      </w:r>
      <w:r>
        <w:t xml:space="preserve">we present fairness analyses for our baseline model (no lag) and for our longest lagged model (2-week lag), as this is likely the most clinically useful lagged model for providing advanced warning of lapse risk. Fairness analyses for all five models are available in the supplement.</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55" w:name="tbl-fairness"/>
          <w:p>
            <w:pPr>
              <w:jc w:val="center"/>
            </w:pPr>
            <w:pPr>
              <w:jc w:val="left"/>
              <w:spacing w:before="200"/>
              <w:pStyle w:val="ImageCaption"/>
            </w:pPr>
            <w:r>
              <w:t xml:space="preserve">Table 3: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below poverty line vs. above poverty line</w:t>
                  </w: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jc w:val="left"/>
                    <w:jc w:val="center"/>
                  </w:pPr>
                  <w:r>
                    <w:t xml:space="preserve">non-White and/or Hispanic vs. non-Hispanic White</w:t>
                  </w: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below poverty line vs. above poverty line</w:t>
                  </w: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55"/>
          <w:p/>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Tables for Main Manuscript</w:t>
        </w:r>
      </w:hyperlink>
    </w:p>
    <w:bookmarkEnd w:id="57"/>
    <w:bookmarkStart w:id="63" w:name="model-calibration-1"/>
    <w:p>
      <w:pPr>
        <w:pStyle w:val="Heading2"/>
      </w:pPr>
      <w:r>
        <w:t xml:space="preserve">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4</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 Calibration plots and Brier scores for all 5 models are available in the supplement.</w:t>
      </w:r>
    </w:p>
    <w:tbl>
      <w:tblPr>
        <w:tblStyle w:val="Table"/>
        <w:tblW w:type="pct" w:w="5000"/>
        <w:tblLayout w:type="fixed"/>
        <w:tblLook w:firstRow="0" w:lastRow="0" w:firstColumn="0" w:lastColumn="0" w:noHBand="0" w:noVBand="0" w:val="0000"/>
      </w:tblPr>
      <w:tblGrid>
        <w:gridCol w:w="7920"/>
      </w:tblGrid>
      <w:tr>
        <w:tc>
          <w:tcPr/>
          <w:bookmarkStart w:id="61" w:name="fig-cal"/>
          <w:p>
            <w:pPr>
              <w:pStyle w:val="Compact"/>
              <w:jc w:val="center"/>
            </w:pPr>
            <w:r>
              <w:drawing>
                <wp:inline>
                  <wp:extent cx="5334000" cy="5334000"/>
                  <wp:effectExtent b="0" l="0" r="0" t="0"/>
                  <wp:docPr descr="" title="" id="59" name="Picture"/>
                  <a:graphic>
                    <a:graphicData uri="http://schemas.openxmlformats.org/drawingml/2006/picture">
                      <pic:pic>
                        <pic:nvPicPr>
                          <pic:cNvPr descr="index_files/figure-docx/notebooks-mak_figures-fig-cal-output-1.png" id="60" name="Picture"/>
                          <pic:cNvPicPr>
                            <a:picLocks noChangeArrowheads="1" noChangeAspect="1"/>
                          </pic:cNvPicPr>
                        </pic:nvPicPr>
                        <pic:blipFill>
                          <a:blip r:embed="rId5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All Figures for Main Manuscript</w:t>
        </w:r>
      </w:hyperlink>
    </w:p>
    <w:bookmarkEnd w:id="63"/>
    <w:bookmarkStart w:id="69" w:name="feature-importance"/>
    <w:p>
      <w:pPr>
        <w:pStyle w:val="Heading2"/>
      </w:pPr>
      <w:r>
        <w:t xml:space="preserve">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 A plot of global feature importance as a function of lag time is available in the supplement. These findings were also consistent across demographic subgroups (plots of global feature importance by demographic group are available for the no lag and 2-week lagged models in the supplement).</w:t>
      </w:r>
    </w:p>
    <w:p>
      <w:pPr>
        <w:pStyle w:val="BodyText"/>
      </w:pPr>
      <w:r>
        <w:t xml:space="preserve">Local importance describes how important a feature category was for individual predictions. In the immediate model, past/future self-reported stressful events emerged as the most important feature category on most days, despite having a relatively small influence on predictions at the global level. Future efficacy was the second most important feature category, followed by past use. In the 2-week lagged model, past use remained the most important feature category (i.e., it produced the highest Shapley value for the greatest number of individuals on the most days). Past/future risky situations also remained among the top feature categories. However, valence/arousal additionally emerged as a competing top feature category (a pattern not observed in the immediate model).</w:t>
      </w:r>
      <w:r>
        <w:t xml:space="preserve"> </w:t>
      </w:r>
      <w:hyperlink w:anchor="fig-4">
        <w:r>
          <w:rPr>
            <w:rStyle w:val="Hyperlink"/>
          </w:rPr>
          <w:t xml:space="preserve">Figure 5</w:t>
        </w:r>
      </w:hyperlink>
      <w:r>
        <w:t xml:space="preserve"> </w:t>
      </w:r>
      <w:r>
        <w:t xml:space="preserve">shows the relative global and local ranking of feature categories for the no lag and 2-week lagged models.</w:t>
      </w:r>
    </w:p>
    <w:tbl>
      <w:tblPr>
        <w:tblStyle w:val="Table"/>
        <w:tblW w:type="pct" w:w="5000"/>
        <w:tblLayout w:type="fixed"/>
        <w:tblLook w:firstRow="0" w:lastRow="0" w:firstColumn="0" w:lastColumn="0" w:noHBand="0" w:noVBand="0" w:val="0000"/>
      </w:tblPr>
      <w:tblGrid>
        <w:gridCol w:w="7920"/>
      </w:tblGrid>
      <w:tr>
        <w:tc>
          <w:tcPr/>
          <w:bookmarkStart w:id="67" w:name="fig-4"/>
          <w:p>
            <w:pPr>
              <w:pStyle w:val="Compact"/>
              <w:jc w:val="center"/>
            </w:pPr>
            <w:r>
              <w:drawing>
                <wp:inline>
                  <wp:extent cx="5334000" cy="2667000"/>
                  <wp:effectExtent b="0" l="0" r="0" t="0"/>
                  <wp:docPr descr="" title="" id="65" name="Picture"/>
                  <a:graphic>
                    <a:graphicData uri="http://schemas.openxmlformats.org/drawingml/2006/picture">
                      <pic:pic>
                        <pic:nvPicPr>
                          <pic:cNvPr descr="index_files/figure-docx/notebooks-mak_figures-fig-4-output-1.png" id="66" name="Picture"/>
                          <pic:cNvPicPr>
                            <a:picLocks noChangeArrowheads="1" noChangeAspect="1"/>
                          </pic:cNvPicPr>
                        </pic:nvPicPr>
                        <pic:blipFill>
                          <a:blip r:embed="rId6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Global (mean |Shapley value|) and local (proportion of days as top feature) feature importance for feature categories for the no lag and 2-week lagged models. Feature categories are ordered by their aggregate global importance. The importance of each feature category for each model is displayed separately by color.</w:t>
            </w:r>
          </w:p>
          <w:bookmarkEnd w:id="67"/>
        </w:tc>
      </w:tr>
    </w:tbl>
    <w:p>
      <w:pPr>
        <w:pStyle w:val="BodyText"/>
      </w:pPr>
      <w:r>
        <w:rPr>
          <w:vertAlign w:val="subscript"/>
        </w:rPr>
        <w:t xml:space="preserve">Source:</w:t>
      </w:r>
      <w:r>
        <w:rPr>
          <w:vertAlign w:val="subscript"/>
        </w:rPr>
        <w:t xml:space="preserve"> </w:t>
      </w:r>
      <w:hyperlink r:id="rId68">
        <w:r>
          <w:rPr>
            <w:rStyle w:val="Hyperlink"/>
            <w:vertAlign w:val="subscript"/>
          </w:rPr>
          <w:t xml:space="preserve">Make All Figures for Main Manuscript</w:t>
        </w:r>
      </w:hyperlink>
    </w:p>
    <w:bookmarkEnd w:id="69"/>
    <w:bookmarkEnd w:id="70"/>
    <w:bookmarkStart w:id="78" w:name="discussion"/>
    <w:p>
      <w:pPr>
        <w:pStyle w:val="Heading1"/>
      </w:pPr>
      <w:r>
        <w:t xml:space="preserve">Discussion</w:t>
      </w:r>
    </w:p>
    <w:bookmarkStart w:id="71" w:name="model-evaluation-and-comparisons"/>
    <w:p>
      <w:pPr>
        <w:pStyle w:val="Heading2"/>
      </w:pPr>
      <w:r>
        <w:t xml:space="preserve">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71"/>
    <w:bookmarkStart w:id="72" w:name="model-fairness"/>
    <w:p>
      <w:pPr>
        <w:pStyle w:val="Heading2"/>
      </w:pPr>
      <w:r>
        <w:t xml:space="preserve">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[41]</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[20]</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[42,43]</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[44–47]</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[48]</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[49]</w:t>
      </w:r>
      <w:r>
        <w:t xml:space="preserve"> </w:t>
      </w:r>
      <w:r>
        <w:t xml:space="preserve">that mandated the inclusion of minorities and women in research, women were mostly excluded from substance use treatment research due to their childbearing potential</w:t>
      </w:r>
      <w:r>
        <w:t xml:space="preserve"> </w:t>
      </w:r>
      <w:r>
        <w:t xml:space="preserve">[50]</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[51]</w:t>
      </w:r>
      <w:r>
        <w:t xml:space="preserve">, hormonal changes</w:t>
      </w:r>
      <w:r>
        <w:t xml:space="preserve"> </w:t>
      </w:r>
      <w:r>
        <w:t xml:space="preserve">[52]</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[53–55]</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[56]</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[57]</w:t>
      </w:r>
      <w:r>
        <w:t xml:space="preserve">) may feel less trusting in disclosing substance use</w:t>
      </w:r>
      <w:r>
        <w:t xml:space="preserve"> </w:t>
      </w:r>
      <w:r>
        <w:t xml:space="preserve">[58]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72"/>
    <w:bookmarkStart w:id="73" w:name="calibration"/>
    <w:p>
      <w:pPr>
        <w:pStyle w:val="Heading2"/>
      </w:pPr>
      <w:r>
        <w:t xml:space="preserve">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[59–61]</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73"/>
    <w:bookmarkStart w:id="74" w:name="feature-importance-1"/>
    <w:p>
      <w:pPr>
        <w:pStyle w:val="Heading2"/>
      </w:pPr>
      <w:r>
        <w:t xml:space="preserve">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[9]</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2-week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2-week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[11]</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[9,10,62]</w:t>
      </w:r>
      <w:r>
        <w:t xml:space="preserve"> </w:t>
      </w:r>
      <w:r>
        <w:t xml:space="preserve">and represent targets for intervention in many existing treatments</w:t>
      </w:r>
      <w:r>
        <w:t xml:space="preserve"> </w:t>
      </w:r>
      <w:r>
        <w:t xml:space="preserve">[18,63–65]</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[56]</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[66]</w:t>
      </w:r>
      <w:r>
        <w:t xml:space="preserve">.</w:t>
      </w:r>
    </w:p>
    <w:p>
      <w:pPr>
        <w:pStyle w:val="BodyText"/>
      </w:pPr>
      <w:r>
        <w:t xml:space="preserve">Our local feature importance approach, where we calculated the proportion of observations for which each feature category had the highest Shapley value, showed that although past use was the most influential feature overall, it was the top feature on only a subset of days (less than 20% of days in the immediate model and less than 30% in the 2-week lagged model). In fact, past alcohol use fell to the third most important feature for the no-lag model. This is not surprising, as lapses were relatively infrequent (7.6-7.7% of observations), and nearly half of participants did not report any lapses during the study.</w:t>
      </w:r>
    </w:p>
    <w:p>
      <w:pPr>
        <w:pStyle w:val="BodyText"/>
      </w:pPr>
      <w:r>
        <w:t xml:space="preserve">Our examination of local feature importance also revealed new important features. In both models, past/future stressful events emerged as an important feature. The fact this did not show up as an important global feature could indicate several things. First, it could be that stressful events are important for predicting lapses for a subset of individuals, but not for others. Second, stress may have a strong impact on some high-risk days but little to no effect on most other days. Finally, as mentioned earlier, it is possible that the influence of stress may overlap with related constructs. In all of these situations, the global Shapley value would be diluted, but stress could still emerge as a highly important predictor in specific contexts or for particular individuals. In the 2-week lagged model, valence/arousal emerged as an important feature. This was somewhat surprising, given that these states can fluctuate rapidly. Their importance in the 2-week lagged predictions, but not in the immediate predictions, may suggest that changes in valence and arousal reflect a vulnerability to lapse that accumulates over time, rather than immediately triggering a lapse.</w:t>
      </w:r>
    </w:p>
    <w:p>
      <w:pPr>
        <w:pStyle w:val="BodyText"/>
      </w:pPr>
      <w:r>
        <w:t xml:space="preserve">Our local importance analyses highlight a potential limitation in the interpretability of global feature importance. Global feature importance may be biased toward features that exhibit infrequent but very large Shapley values, potentially overstating the importance of predictors that are strongly associated with the outcome but occur in only a small subset of observations. In contrast, individuals may more often benefit from recovery recommendations that focus on managing stress (e.g., guided relaxation), increasing abstinence confidence (e.g., reflecting on recent successes), and coping with risky situations (e.g., trigger mapping).</w:t>
      </w:r>
    </w:p>
    <w:p>
      <w:pPr>
        <w:pStyle w:val="BodyText"/>
      </w:pPr>
      <w:r>
        <w:t xml:space="preserve">Finally, this approach showed that while some features have low average importance (across all individuals and observations), they can be highly important on certain days for certain individuals.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74"/>
    <w:bookmarkStart w:id="75" w:name="X40ab624ebf83813907a18dba36edd4d1d14a553"/>
    <w:p>
      <w:pPr>
        <w:pStyle w:val="Heading2"/>
      </w:pPr>
      <w:r>
        <w:t xml:space="preserve">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[67]</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[20]</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Our models predicted goal-inconsistent alcohol use. In our sample, in which all participants had a goal of abstinence, goal-inconsistent use was a homogeneous, observable behavior (i.e., any alcohol use). However, not all individuals in recovery choose complete abstinence. It remains an open question whether our predictors of goal-inconsistent use would generalize to alternative recovery goals (e.g., moderation). Future studies could allow individuals to self-define goal-inconsistent use (e.g., drinking on a weekday or drinking more than planned) and train models in samples with diverse recovery goals.</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[19,see also 68]</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[48]</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[69]</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[70,71]</w:t>
      </w:r>
      <w:r>
        <w:t xml:space="preserve"> </w:t>
      </w:r>
      <w:r>
        <w:t xml:space="preserve">or collected from the user directly (e.g., self-evaluated riskiness of a given location)</w:t>
      </w:r>
      <w:r>
        <w:t xml:space="preserve"> </w:t>
      </w:r>
      <w:r>
        <w:t xml:space="preserve">[20]</w:t>
      </w:r>
      <w:r>
        <w:t xml:space="preserve">.</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population-level machine learning models</w:t>
      </w:r>
      <w:r>
        <w:t xml:space="preserve"> </w:t>
      </w:r>
      <w:r>
        <w:t xml:space="preserve">[48]</w:t>
      </w:r>
      <w:r>
        <w:t xml:space="preserve">. However, in another recent study, population-level models well outperformed person-specific models for predicting various outcomes, including alcohol use and binge drinking</w:t>
      </w:r>
      <w:r>
        <w:t xml:space="preserve"> </w:t>
      </w:r>
      <w:r>
        <w:t xml:space="preserve">[72]</w:t>
      </w:r>
      <w:r>
        <w:t xml:space="preserve">. Thus, the benefit of individualized models above and beyond population models remains an empirical question and is something we plan to continue to pursue in future work.</w:t>
      </w:r>
    </w:p>
    <w:bookmarkEnd w:id="75"/>
    <w:bookmarkStart w:id="76" w:name="conclusions"/>
    <w:p>
      <w:pPr>
        <w:pStyle w:val="Heading2"/>
      </w:pPr>
      <w:r>
        <w:t xml:space="preserve">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76"/>
    <w:bookmarkStart w:id="77" w:name="acknowledgments"/>
    <w:p>
      <w:pPr>
        <w:pStyle w:val="Heading2"/>
      </w:pPr>
      <w:r>
        <w:t xml:space="preserve">Acknowledgments</w:t>
      </w:r>
    </w:p>
    <w:p>
      <w:pPr>
        <w:pStyle w:val="FirstParagraph"/>
      </w:pPr>
      <w:r>
        <w:t xml:space="preserve">This research was supported by grants from the National Institute on Alcohol Abuse and Alcoholism (NIAAA; R01 AA024391 to John J. Curtin) and the National Institute on Drug Abuse (NIDA; R01 DA047315 to John J. Curtin). The authors wish to thank Susan E. Wanta for her role as the project administrator.</w:t>
      </w:r>
    </w:p>
    <w:bookmarkEnd w:id="77"/>
    <w:bookmarkEnd w:id="78"/>
    <w:bookmarkStart w:id="202" w:name="references"/>
    <w:p>
      <w:pPr>
        <w:pStyle w:val="Heading1"/>
      </w:pPr>
      <w:r>
        <w:t xml:space="preserve">References</w:t>
      </w:r>
    </w:p>
    <w:bookmarkStart w:id="201" w:name="refs"/>
    <w:bookmarkStart w:id="80"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79">
        <w:r>
          <w:rPr>
            <w:rStyle w:val="Hyperlink"/>
          </w:rPr>
          <w:t xml:space="preserve">10.1001/jama.284.13.1689</w:t>
        </w:r>
      </w:hyperlink>
    </w:p>
    <w:bookmarkEnd w:id="80"/>
    <w:bookmarkStart w:id="82" w:name="ref-dennisManagingAddictionChronic2007"/>
    <w:p>
      <w:pPr>
        <w:pStyle w:val="Bibliography"/>
      </w:pPr>
      <w:r>
        <w:t xml:space="preserve">2.</w:t>
      </w:r>
      <w:r>
        <w:t xml:space="preserve"> </w:t>
      </w:r>
      <w:r>
        <w:t xml:space="preserve">	</w:t>
      </w:r>
      <w:r>
        <w:t xml:space="preserve">Dennis M, Scott CK.</w:t>
      </w:r>
      <w:r>
        <w:t xml:space="preserve"> </w:t>
      </w:r>
      <w:hyperlink r:id="rId81">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82"/>
    <w:bookmarkStart w:id="83" w:name="X28b8f85e424928e66706a578d6053e0308d1105"/>
    <w:p>
      <w:pPr>
        <w:pStyle w:val="Bibliography"/>
      </w:pPr>
      <w:r>
        <w:t xml:space="preserve">3.</w:t>
      </w:r>
      <w:r>
        <w:t xml:space="preserve"> </w:t>
      </w:r>
      <w:r>
        <w:t xml:space="preserve">	</w:t>
      </w:r>
      <w:r>
        <w:t xml:space="preserve">Substance Abuse and Mental Health Services Administration. 2024</w:t>
      </w:r>
      <w:r>
        <w:t xml:space="preserve"> </w:t>
      </w:r>
      <w:r>
        <w:t xml:space="preserve">NSDUH Detailed Tables</w:t>
      </w:r>
      <w:r>
        <w:t xml:space="preserve"> </w:t>
      </w:r>
      <w:r>
        <w:t xml:space="preserve"> </w:t>
      </w:r>
      <w:r>
        <w:t xml:space="preserve">CBHSQ Data</w:t>
      </w:r>
      <w:r>
        <w:t xml:space="preserve">. https://www.samhsa.gov/data/report/2024-nsduh-detailed-tables;</w:t>
      </w:r>
      <w:r>
        <w:t xml:space="preserve"> </w:t>
      </w:r>
    </w:p>
    <w:bookmarkEnd w:id="83"/>
    <w:bookmarkStart w:id="84" w:name="ref-hedegaardDrugOverdoseDeaths2021"/>
    <w:p>
      <w:pPr>
        <w:pStyle w:val="Bibliography"/>
      </w:pPr>
      <w:r>
        <w:t xml:space="preserve">4.</w:t>
      </w:r>
      <w:r>
        <w:t xml:space="preserve"> </w:t>
      </w:r>
      <w:r>
        <w:t xml:space="preserve">	</w:t>
      </w:r>
      <w:r>
        <w:t xml:space="preserve">Hedegaard H, Miniño AM, Spencer MR, Warner M. Drug overdose deaths in the</w:t>
      </w:r>
      <w:r>
        <w:t xml:space="preserve"> </w:t>
      </w:r>
      <w:r>
        <w:t xml:space="preserve">United States</w:t>
      </w:r>
      <w:r>
        <w:t xml:space="preserve">, 1999–2020. 2021.</w:t>
      </w:r>
      <w:r>
        <w:t xml:space="preserve"> </w:t>
      </w:r>
    </w:p>
    <w:bookmarkEnd w:id="84"/>
    <w:bookmarkStart w:id="85" w:name="X21d9bc577093464d5d051ef6477b67710b39313"/>
    <w:p>
      <w:pPr>
        <w:pStyle w:val="Bibliography"/>
      </w:pPr>
      <w:r>
        <w:t xml:space="preserve">5.</w:t>
      </w:r>
      <w:r>
        <w:t xml:space="preserve"> </w:t>
      </w:r>
      <w:r>
        <w:t xml:space="preserve">	</w:t>
      </w:r>
      <w:r>
        <w:t xml:space="preserve">Centers for Disease Control and Prevention (CDC).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2022 Alcohol Related Disease Impact (ARDI) Application Website. https://nccd.cdc.gov/DPH_ARDI/Default/Default.aspx;</w:t>
      </w:r>
      <w:r>
        <w:t xml:space="preserve"> </w:t>
      </w:r>
    </w:p>
    <w:bookmarkEnd w:id="85"/>
    <w:bookmarkStart w:id="87" w:name="ref-wagnerImprovingChronicIllness2001"/>
    <w:p>
      <w:pPr>
        <w:pStyle w:val="Bibliography"/>
      </w:pPr>
      <w:r>
        <w:t xml:space="preserve">6.</w:t>
      </w:r>
      <w:r>
        <w:t xml:space="preserve"> </w:t>
      </w:r>
      <w:r>
        <w:t xml:space="preserve">	</w:t>
      </w:r>
      <w:r>
        <w:t xml:space="preserve">Wagner EH, Austin BT, Davis C, Hindmarsh M, Schaefer J, Bonomi A. Improving</w:t>
      </w:r>
      <w:r>
        <w:t xml:space="preserve"> </w:t>
      </w:r>
      <w:r>
        <w:t xml:space="preserve">Chronic Illness Care</w:t>
      </w:r>
      <w:r>
        <w:t xml:space="preserve">:</w:t>
      </w:r>
      <w:r>
        <w:t xml:space="preserve"> </w:t>
      </w:r>
      <w:r>
        <w:t xml:space="preserve">Translating Evidence Into Action</w:t>
      </w:r>
      <w:r>
        <w:t xml:space="preserve">. Health Affairs. 2001;20: 64–78. doi:</w:t>
      </w:r>
      <w:hyperlink r:id="rId86">
        <w:r>
          <w:rPr>
            <w:rStyle w:val="Hyperlink"/>
          </w:rPr>
          <w:t xml:space="preserve">10.1377/hlthaff.20.6.64</w:t>
        </w:r>
      </w:hyperlink>
    </w:p>
    <w:bookmarkEnd w:id="87"/>
    <w:bookmarkStart w:id="89" w:name="X01387e434119cf09c116d0feeabab9f278d40e3"/>
    <w:p>
      <w:pPr>
        <w:pStyle w:val="Bibliography"/>
      </w:pPr>
      <w:r>
        <w:t xml:space="preserve">7.</w:t>
      </w:r>
      <w:r>
        <w:t xml:space="preserve"> </w:t>
      </w:r>
      <w:r>
        <w:t xml:space="preserve">	</w:t>
      </w:r>
      <w:r>
        <w:t xml:space="preserve">Stanojlović M, Davidson L.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 Substance Abuse: Research and Treatment. 2021;15: 1178221820976988. doi:</w:t>
      </w:r>
      <w:hyperlink r:id="rId88">
        <w:r>
          <w:rPr>
            <w:rStyle w:val="Hyperlink"/>
          </w:rPr>
          <w:t xml:space="preserve">10.1177/1178221820976988</w:t>
        </w:r>
      </w:hyperlink>
    </w:p>
    <w:bookmarkEnd w:id="89"/>
    <w:bookmarkStart w:id="91" w:name="ref-sociasAdoptingCascadeCare2016"/>
    <w:p>
      <w:pPr>
        <w:pStyle w:val="Bibliography"/>
      </w:pPr>
      <w:r>
        <w:t xml:space="preserve">8.</w:t>
      </w:r>
      <w:r>
        <w:t xml:space="preserve"> </w:t>
      </w:r>
      <w:r>
        <w:t xml:space="preserve">	</w:t>
      </w:r>
      <w:r>
        <w:t xml:space="preserve">Socías ME, Volkow N, Wood E. Adopting the</w:t>
      </w:r>
      <w:r>
        <w:t xml:space="preserve"> </w:t>
      </w:r>
      <w:r>
        <w:t xml:space="preserve">“cascade of care”</w:t>
      </w:r>
      <w:r>
        <w:t xml:space="preserve"> </w:t>
      </w:r>
      <w:r>
        <w:t xml:space="preserve">framework: An opportunity to close the implementation gap in addiction care? Addiction. 2016;111: 2079–2081. doi:</w:t>
      </w:r>
      <w:hyperlink r:id="rId90">
        <w:r>
          <w:rPr>
            <w:rStyle w:val="Hyperlink"/>
          </w:rPr>
          <w:t xml:space="preserve">10.1111/add.13479</w:t>
        </w:r>
      </w:hyperlink>
    </w:p>
    <w:bookmarkEnd w:id="91"/>
    <w:bookmarkStart w:id="92" w:name="X0900e084d2d8751b94683f82b04534ea811d54e"/>
    <w:p>
      <w:pPr>
        <w:pStyle w:val="Bibliography"/>
      </w:pPr>
      <w:r>
        <w:t xml:space="preserve">9.</w:t>
      </w:r>
      <w:r>
        <w:t xml:space="preserve"> </w:t>
      </w:r>
      <w:r>
        <w:t xml:space="preserve">	</w:t>
      </w:r>
      <w:r>
        <w:t xml:space="preserve">Marlatt GA, Gordon JR, editors. Relapse</w:t>
      </w:r>
      <w:r>
        <w:t xml:space="preserve"> </w:t>
      </w:r>
      <w:r>
        <w:t xml:space="preserve">Prevention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First edition. New York: The Guilford Press; 1985.</w:t>
      </w:r>
      <w:r>
        <w:t xml:space="preserve"> </w:t>
      </w:r>
    </w:p>
    <w:bookmarkEnd w:id="92"/>
    <w:bookmarkStart w:id="94" w:name="X4446e184b7dd55a61fd406499f32542fdcf24b5"/>
    <w:p>
      <w:pPr>
        <w:pStyle w:val="Bibliography"/>
      </w:pPr>
      <w:r>
        <w:t xml:space="preserve">10.</w:t>
      </w:r>
      <w:r>
        <w:t xml:space="preserve"> </w:t>
      </w:r>
      <w:r>
        <w:t xml:space="preserve">	</w:t>
      </w:r>
      <w:r>
        <w:t xml:space="preserve">Witkiewitz K, Marlatt GA. Relapse prevention for alcohol and drug problems:</w:t>
      </w:r>
      <w:r>
        <w:t xml:space="preserve"> </w:t>
      </w:r>
      <w:r>
        <w:t xml:space="preserve">That</w:t>
      </w:r>
      <w:r>
        <w:t xml:space="preserve"> </w:t>
      </w:r>
      <w:r>
        <w:t xml:space="preserve">was zen, this is tao. American Psychologist. 2004;59: 224–235. doi:</w:t>
      </w:r>
      <w:hyperlink r:id="rId93">
        <w:r>
          <w:rPr>
            <w:rStyle w:val="Hyperlink"/>
          </w:rPr>
          <w:t xml:space="preserve">10.1037/0003-066X.59.4.224</w:t>
        </w:r>
      </w:hyperlink>
    </w:p>
    <w:bookmarkEnd w:id="94"/>
    <w:bookmarkStart w:id="96" w:name="X254a0f87701f835b5365990b3eba45be7dca59c"/>
    <w:p>
      <w:pPr>
        <w:pStyle w:val="Bibliography"/>
      </w:pPr>
      <w:r>
        <w:t xml:space="preserve">11.</w:t>
      </w:r>
      <w:r>
        <w:t xml:space="preserve"> </w:t>
      </w:r>
      <w:r>
        <w:t xml:space="preserve">	</w:t>
      </w:r>
      <w:r>
        <w:t xml:space="preserve">Witkiewitz K, Marlatt GA. Modeling the complexity of post-treatment drinking:</w:t>
      </w:r>
      <w:r>
        <w:t xml:space="preserve"> </w:t>
      </w:r>
      <w:r>
        <w:t xml:space="preserve">It</w:t>
      </w:r>
      <w:r>
        <w:t xml:space="preserve">’s a rocky road to relapse. Clinical Psychology Review. 2007;27: 724–738. doi:</w:t>
      </w:r>
      <w:hyperlink r:id="rId95">
        <w:r>
          <w:rPr>
            <w:rStyle w:val="Hyperlink"/>
          </w:rPr>
          <w:t xml:space="preserve">10.1016/j.cpr.2007.01.002</w:t>
        </w:r>
      </w:hyperlink>
    </w:p>
    <w:bookmarkEnd w:id="96"/>
    <w:bookmarkStart w:id="98" w:name="ref-brandonRelapseRelapsePrevention2007"/>
    <w:p>
      <w:pPr>
        <w:pStyle w:val="Bibliography"/>
      </w:pPr>
      <w:r>
        <w:t xml:space="preserve">12.</w:t>
      </w:r>
      <w:r>
        <w:t xml:space="preserve"> </w:t>
      </w:r>
      <w:r>
        <w:t xml:space="preserve">	</w:t>
      </w:r>
      <w:r>
        <w:t xml:space="preserve">Brandon TH, Vidrine JI, Litvin EB. Relapse and relapse prevention. Annual Review of Clinical Psychology. 2007;3: 257–284. doi:</w:t>
      </w:r>
      <w:hyperlink r:id="rId97">
        <w:r>
          <w:rPr>
            <w:rStyle w:val="Hyperlink"/>
          </w:rPr>
          <w:t xml:space="preserve">10.1146/annurev.clinpsy.3.022806.091455</w:t>
        </w:r>
      </w:hyperlink>
    </w:p>
    <w:bookmarkEnd w:id="98"/>
    <w:bookmarkStart w:id="100" w:name="ref-bickmanAchievingPrecisionMental2016"/>
    <w:p>
      <w:pPr>
        <w:pStyle w:val="Bibliography"/>
      </w:pPr>
      <w:r>
        <w:t xml:space="preserve">13.</w:t>
      </w:r>
      <w:r>
        <w:t xml:space="preserve"> </w:t>
      </w:r>
      <w:r>
        <w:t xml:space="preserve">	</w:t>
      </w:r>
      <w:r>
        <w:t xml:space="preserve">Bickman L, Lyon AR, Wolpert M.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 Administration and Policy in Mental Health and Mental Health Services Research. 2016;43: 271–276. doi:</w:t>
      </w:r>
      <w:hyperlink r:id="rId99">
        <w:r>
          <w:rPr>
            <w:rStyle w:val="Hyperlink"/>
          </w:rPr>
          <w:t xml:space="preserve">10.1007/s10488-016-0718-5</w:t>
        </w:r>
      </w:hyperlink>
    </w:p>
    <w:bookmarkEnd w:id="100"/>
    <w:bookmarkStart w:id="102" w:name="ref-derubeisHistoryCurrentStatus2019"/>
    <w:p>
      <w:pPr>
        <w:pStyle w:val="Bibliography"/>
      </w:pPr>
      <w:r>
        <w:t xml:space="preserve">14.</w:t>
      </w:r>
      <w:r>
        <w:t xml:space="preserve"> </w:t>
      </w:r>
      <w:r>
        <w:t xml:space="preserve">	</w:t>
      </w:r>
      <w:r>
        <w:t xml:space="preserve">DeRubeis RJ. The history, current status, and possible future of precision mental health. Behaviour Research and Therapy. 2019;123: 103506. doi:</w:t>
      </w:r>
      <w:hyperlink r:id="rId101">
        <w:r>
          <w:rPr>
            <w:rStyle w:val="Hyperlink"/>
          </w:rPr>
          <w:t xml:space="preserve">10.1016/j.brat.2019.103506</w:t>
        </w:r>
      </w:hyperlink>
    </w:p>
    <w:bookmarkEnd w:id="102"/>
    <w:bookmarkStart w:id="104" w:name="X79dffb24bc183d6bf6fe142dbf048fe8e5a5dd0"/>
    <w:p>
      <w:pPr>
        <w:pStyle w:val="Bibliography"/>
      </w:pPr>
      <w:r>
        <w:t xml:space="preserve">15.</w:t>
      </w:r>
      <w:r>
        <w:t xml:space="preserve"> </w:t>
      </w:r>
      <w:r>
        <w:t xml:space="preserve">	</w:t>
      </w:r>
      <w:r>
        <w:t xml:space="preserve">Kranzler HR, McKay JR. Personalized</w:t>
      </w:r>
      <w:r>
        <w:t xml:space="preserve"> </w:t>
      </w:r>
      <w:r>
        <w:t xml:space="preserve">Treatment</w:t>
      </w:r>
      <w:r>
        <w:t xml:space="preserve"> </w:t>
      </w:r>
      <w:r>
        <w:t xml:space="preserve">of</w:t>
      </w:r>
      <w:r>
        <w:t xml:space="preserve"> </w:t>
      </w:r>
      <w:r>
        <w:t xml:space="preserve">Alcohol Dependence</w:t>
      </w:r>
      <w:r>
        <w:t xml:space="preserve">. Current Psychiatry Reports. 2012;14: 486–493. doi:</w:t>
      </w:r>
      <w:hyperlink r:id="rId103">
        <w:r>
          <w:rPr>
            <w:rStyle w:val="Hyperlink"/>
          </w:rPr>
          <w:t xml:space="preserve">10.1007/s11920-012-0296-5</w:t>
        </w:r>
      </w:hyperlink>
    </w:p>
    <w:bookmarkEnd w:id="104"/>
    <w:bookmarkStart w:id="106" w:name="ref-mohrPersonalSensingUnderstanding2017"/>
    <w:p>
      <w:pPr>
        <w:pStyle w:val="Bibliography"/>
      </w:pPr>
      <w:r>
        <w:t xml:space="preserve">16.</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105">
        <w:r>
          <w:rPr>
            <w:rStyle w:val="Hyperlink"/>
          </w:rPr>
          <w:t xml:space="preserve">10.1146/annurev-clinpsy-032816-044949</w:t>
        </w:r>
      </w:hyperlink>
    </w:p>
    <w:bookmarkEnd w:id="106"/>
    <w:bookmarkStart w:id="107" w:name="X76c131a5b0a374a6ad1e33cf8e2c0563392269f"/>
    <w:p>
      <w:pPr>
        <w:pStyle w:val="Bibliography"/>
      </w:pPr>
      <w:r>
        <w:t xml:space="preserve">17.</w:t>
      </w:r>
      <w:r>
        <w:t xml:space="preserve"> </w:t>
      </w:r>
      <w:r>
        <w:t xml:space="preserve">	</w:t>
      </w:r>
      <w:r>
        <w:t xml:space="preserve">Hastie T, Tibshirani R, Friedman JH. The elements of statistical learning: Data mining, inference, and prediction. 2nd ed. New York, NY: Springer; 2009.</w:t>
      </w:r>
      <w:r>
        <w:t xml:space="preserve"> </w:t>
      </w:r>
    </w:p>
    <w:bookmarkEnd w:id="107"/>
    <w:bookmarkStart w:id="108" w:name="X6c5adf42984d4dcd96717e3e06f47f768bdce11"/>
    <w:p>
      <w:pPr>
        <w:pStyle w:val="Bibliography"/>
      </w:pPr>
      <w:r>
        <w:t xml:space="preserve">18.</w:t>
      </w:r>
      <w:r>
        <w:t xml:space="preserve"> </w:t>
      </w:r>
      <w:r>
        <w:t xml:space="preserve">	</w:t>
      </w:r>
      <w:r>
        <w:t xml:space="preserve">Bowen S, Chawla N, Grow J, Marlatt GA. Mindfulness-</w:t>
      </w:r>
      <w:r>
        <w:t xml:space="preserve">Based Relapse Prevention</w:t>
      </w:r>
      <w:r>
        <w:t xml:space="preserve"> </w:t>
      </w:r>
      <w:r>
        <w:t xml:space="preserve">for</w:t>
      </w:r>
      <w:r>
        <w:t xml:space="preserve"> </w:t>
      </w:r>
      <w:r>
        <w:t xml:space="preserve">Addictive Behaviors</w:t>
      </w:r>
      <w:r>
        <w:t xml:space="preserve">:</w:t>
      </w:r>
      <w:r>
        <w:t xml:space="preserve"> </w:t>
      </w:r>
      <w:r>
        <w:t xml:space="preserve">A Clinician</w:t>
      </w:r>
      <w:r>
        <w:t xml:space="preserve">’s</w:t>
      </w:r>
      <w:r>
        <w:t xml:space="preserve"> </w:t>
      </w:r>
      <w:r>
        <w:t xml:space="preserve">Guide</w:t>
      </w:r>
      <w:r>
        <w:t xml:space="preserve">. Second edition. New York: The Guilford Press; 2021.</w:t>
      </w:r>
      <w:r>
        <w:t xml:space="preserve"> </w:t>
      </w:r>
    </w:p>
    <w:bookmarkEnd w:id="108"/>
    <w:bookmarkStart w:id="110" w:name="Xb35ee182d565575e339a0170868456c1684f821"/>
    <w:p>
      <w:pPr>
        <w:pStyle w:val="Bibliography"/>
      </w:pPr>
      <w:r>
        <w:t xml:space="preserve">19.</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109">
        <w:r>
          <w:rPr>
            <w:rStyle w:val="Hyperlink"/>
          </w:rPr>
          <w:t xml:space="preserve">10.2196/41833</w:t>
        </w:r>
      </w:hyperlink>
    </w:p>
    <w:bookmarkEnd w:id="110"/>
    <w:bookmarkStart w:id="112" w:name="X1f44e09282148d362bdacfce67d6a56b1cf06db"/>
    <w:p>
      <w:pPr>
        <w:pStyle w:val="Bibliography"/>
      </w:pPr>
      <w:r>
        <w:t xml:space="preserve">20.</w:t>
      </w:r>
      <w:r>
        <w:t xml:space="preserve"> </w:t>
      </w:r>
      <w:r>
        <w:t xml:space="preserve">	</w:t>
      </w:r>
      <w:r>
        <w:t xml:space="preserve">Moshontz H, Colmenares AJ, Fronk GE, Sant’Ana SJ, Wyant K, Wanta SE, et al.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 JMIR Research Protocols. 2021;10: e29563. doi:</w:t>
      </w:r>
      <w:hyperlink r:id="rId111">
        <w:r>
          <w:rPr>
            <w:rStyle w:val="Hyperlink"/>
          </w:rPr>
          <w:t xml:space="preserve">10.2196/29563</w:t>
        </w:r>
      </w:hyperlink>
    </w:p>
    <w:bookmarkEnd w:id="112"/>
    <w:bookmarkStart w:id="114" w:name="ref-wyantMachineLearningModels2024"/>
    <w:p>
      <w:pPr>
        <w:pStyle w:val="Bibliography"/>
      </w:pPr>
      <w:r>
        <w:t xml:space="preserve">21.</w:t>
      </w:r>
      <w:r>
        <w:t xml:space="preserve"> </w:t>
      </w:r>
      <w:r>
        <w:t xml:space="preserve">	</w:t>
      </w:r>
      <w:r>
        <w:t xml:space="preserve">Wyant K, Sant’Ana SJK, Fronk G, Curtin JJ. Machine learning models for temporally precise lapse prediction in alcohol use disorder. Psychopathology and Clinical Science. 2024. doi:</w:t>
      </w:r>
      <w:hyperlink r:id="rId113">
        <w:r>
          <w:rPr>
            <w:rStyle w:val="Hyperlink"/>
          </w:rPr>
          <w:t xml:space="preserve">10.31234/osf.io/cgsf7</w:t>
        </w:r>
      </w:hyperlink>
    </w:p>
    <w:bookmarkEnd w:id="114"/>
    <w:bookmarkStart w:id="115" w:name="X34be55f2a2ff67a14e7206627bb93b426490c87"/>
    <w:p>
      <w:pPr>
        <w:pStyle w:val="Bibliography"/>
      </w:pPr>
      <w:r>
        <w:t xml:space="preserve">22.</w:t>
      </w:r>
      <w:r>
        <w:t xml:space="preserve"> </w:t>
      </w:r>
      <w:r>
        <w:t xml:space="preserve">	</w:t>
      </w:r>
      <w:r>
        <w:t xml:space="preserve">Lundberg SM, Lee S-I. A unified approach to interpreting model predictions. Proceedings of the 31st</w:t>
      </w:r>
      <w:r>
        <w:t xml:space="preserve"> </w:t>
      </w:r>
      <w:r>
        <w:t xml:space="preserve">International Conference</w:t>
      </w:r>
      <w:r>
        <w:t xml:space="preserve"> </w:t>
      </w:r>
      <w:r>
        <w:t xml:space="preserve">on</w:t>
      </w:r>
      <w:r>
        <w:t xml:space="preserve"> </w:t>
      </w:r>
      <w:r>
        <w:t xml:space="preserve">Neural Information Processing Systems</w:t>
      </w:r>
      <w:r>
        <w:t xml:space="preserve">. Red Hook, NY, USA: Curran Associates Inc.; 2017. pp. 4768–4777.</w:t>
      </w:r>
      <w:r>
        <w:t xml:space="preserve"> </w:t>
      </w:r>
    </w:p>
    <w:bookmarkEnd w:id="115"/>
    <w:bookmarkStart w:id="117" w:name="Xd4c1d027f60920f356af6131267e679804e946e"/>
    <w:p>
      <w:pPr>
        <w:pStyle w:val="Bibliography"/>
      </w:pPr>
      <w:r>
        <w:t xml:space="preserve">23.</w:t>
      </w:r>
      <w:r>
        <w:t xml:space="preserve"> </w:t>
      </w:r>
      <w:r>
        <w:t xml:space="preserve">	</w:t>
      </w:r>
      <w:r>
        <w:t xml:space="preserve">Soyster PD, Ashlock L, Fisher AJ. Pooled and person-specific machine learning models for predicting future alcohol consumption, craving, and wanting to drink:</w:t>
      </w:r>
      <w:r>
        <w:t xml:space="preserve"> </w:t>
      </w:r>
      <w:r>
        <w:t xml:space="preserve">A</w:t>
      </w:r>
      <w:r>
        <w:t xml:space="preserve"> </w:t>
      </w:r>
      <w:r>
        <w:t xml:space="preserve">demonstration of parallel utility. Psychology of Addictive Behaviors: Journal of the Society of Psychologists in Addictive Behaviors. 2022;36: 296–306. doi:</w:t>
      </w:r>
      <w:hyperlink r:id="rId116">
        <w:r>
          <w:rPr>
            <w:rStyle w:val="Hyperlink"/>
          </w:rPr>
          <w:t xml:space="preserve">10.1037/adb0000666</w:t>
        </w:r>
      </w:hyperlink>
    </w:p>
    <w:bookmarkEnd w:id="117"/>
    <w:bookmarkStart w:id="119" w:name="ref-waltersUsingMachineLearning2021"/>
    <w:p>
      <w:pPr>
        <w:pStyle w:val="Bibliography"/>
      </w:pPr>
      <w:r>
        <w:t xml:space="preserve">24.</w:t>
      </w:r>
      <w:r>
        <w:t xml:space="preserve"> </w:t>
      </w:r>
      <w:r>
        <w:t xml:space="preserve">	</w:t>
      </w:r>
      <w:r>
        <w:t xml:space="preserve">Walters ST, Businelle MS, Suchting R, Li X, Hébert ET, Mun E-Y. Using machine learning to identify predictors of imminent drinking and create tailored messages for at-risk drinkers experiencing homelessness. Journal of Substance Abuse Treatment. 2021;127: 108417. doi:</w:t>
      </w:r>
      <w:hyperlink r:id="rId118">
        <w:r>
          <w:rPr>
            <w:rStyle w:val="Hyperlink"/>
          </w:rPr>
          <w:t xml:space="preserve">10.1016/j.jsat.2021.108417</w:t>
        </w:r>
      </w:hyperlink>
    </w:p>
    <w:bookmarkEnd w:id="119"/>
    <w:bookmarkStart w:id="120" w:name="X0f0fab553d46f8852e582400eb2e6c745146f48"/>
    <w:p>
      <w:pPr>
        <w:pStyle w:val="Bibliography"/>
      </w:pPr>
      <w:r>
        <w:t xml:space="preserve">25.</w:t>
      </w:r>
      <w:r>
        <w:t xml:space="preserve"> </w:t>
      </w:r>
      <w:r>
        <w:t xml:space="preserve">	</w:t>
      </w:r>
      <w:r>
        <w:t xml:space="preserve">Wyant K, Sant’Ana SJ, Punturieri CE, Yu J, Fronk GE, Maggard CM, et al.</w:t>
      </w:r>
      <w:r>
        <w:t xml:space="preserve"> Maximizing engagement, trust, and clinical benefit of</w:t>
      </w:r>
      <w:r>
        <w:t xml:space="preserve"> </w:t>
      </w:r>
      <w:r>
        <w:t xml:space="preserve">AI-generated</w:t>
      </w:r>
      <w:r>
        <w:t xml:space="preserve"> </w:t>
      </w:r>
      <w:r>
        <w:t xml:space="preserve">recovery monitoring and support messages for alcohol use disorder:</w:t>
      </w:r>
      <w:r>
        <w:t xml:space="preserve"> </w:t>
      </w:r>
      <w:r>
        <w:t xml:space="preserve">Protocol</w:t>
      </w:r>
      <w:r>
        <w:t xml:space="preserve"> </w:t>
      </w:r>
      <w:r>
        <w:t xml:space="preserve">for an optimization study. under review.</w:t>
      </w:r>
      <w:r>
        <w:t xml:space="preserve"> </w:t>
      </w:r>
    </w:p>
    <w:bookmarkEnd w:id="120"/>
    <w:bookmarkStart w:id="122" w:name="ref-pinedoCurrentReexaminationRacial2019"/>
    <w:p>
      <w:pPr>
        <w:pStyle w:val="Bibliography"/>
      </w:pPr>
      <w:r>
        <w:t xml:space="preserve">26.</w:t>
      </w:r>
      <w:r>
        <w:t xml:space="preserve"> </w:t>
      </w:r>
      <w:r>
        <w:t xml:space="preserve">	</w:t>
      </w:r>
      <w:r>
        <w:t xml:space="preserve">Pinedo M. A current re-examination of racial/ethnic disparities in the use of substance abuse treatment:</w:t>
      </w:r>
      <w:r>
        <w:t xml:space="preserve"> </w:t>
      </w:r>
      <w:r>
        <w:t xml:space="preserve">Do</w:t>
      </w:r>
      <w:r>
        <w:t xml:space="preserve"> </w:t>
      </w:r>
      <w:r>
        <w:t xml:space="preserve">disparities persist? Drug and Alcohol Dependence. 2019;202: 162–167. doi:</w:t>
      </w:r>
      <w:hyperlink r:id="rId121">
        <w:r>
          <w:rPr>
            <w:rStyle w:val="Hyperlink"/>
          </w:rPr>
          <w:t xml:space="preserve">10.1016/j.drugalcdep.2019.05.017</w:t>
        </w:r>
      </w:hyperlink>
    </w:p>
    <w:bookmarkEnd w:id="122"/>
    <w:bookmarkStart w:id="124" w:name="ref-kilaruIncidenceTreatmentOpioid2020"/>
    <w:p>
      <w:pPr>
        <w:pStyle w:val="Bibliography"/>
      </w:pPr>
      <w:r>
        <w:t xml:space="preserve">27.</w:t>
      </w:r>
      <w:r>
        <w:t xml:space="preserve"> </w:t>
      </w:r>
      <w:r>
        <w:t xml:space="preserve">	</w:t>
      </w:r>
      <w:r>
        <w:t xml:space="preserve">Kilaru AS, Xiong A, Lowenstein M, Meisel ZF, Perrone J, Khatri U, et al.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 JAMA Network Open. 2020;3: e205852. doi:</w:t>
      </w:r>
      <w:hyperlink r:id="rId123">
        <w:r>
          <w:rPr>
            <w:rStyle w:val="Hyperlink"/>
          </w:rPr>
          <w:t xml:space="preserve">10.1001/jamanetworkopen.2020.5852</w:t>
        </w:r>
      </w:hyperlink>
    </w:p>
    <w:bookmarkEnd w:id="124"/>
    <w:bookmarkStart w:id="126" w:name="ref-olfsonHealthcareCoverageService2022"/>
    <w:p>
      <w:pPr>
        <w:pStyle w:val="Bibliography"/>
      </w:pPr>
      <w:r>
        <w:t xml:space="preserve">28.</w:t>
      </w:r>
      <w:r>
        <w:t xml:space="preserve"> </w:t>
      </w:r>
      <w:r>
        <w:t xml:space="preserve">	</w:t>
      </w:r>
      <w:r>
        <w:t xml:space="preserve">Olfson M, Mauro C, Wall MM, Choi CJ, Barry CL, Mojtabai R. Healthcare coverage and service access for low-income adults with substance use disorders. Journal of Substance Abuse Treatment. 2022;137: 108710. doi:</w:t>
      </w:r>
      <w:hyperlink r:id="rId125">
        <w:r>
          <w:rPr>
            <w:rStyle w:val="Hyperlink"/>
          </w:rPr>
          <w:t xml:space="preserve">10.1016/j.jsat.2021.108710</w:t>
        </w:r>
      </w:hyperlink>
    </w:p>
    <w:bookmarkEnd w:id="126"/>
    <w:bookmarkStart w:id="128" w:name="Xa203ab3abd150ead1a7854a9fa5726c8a273f52"/>
    <w:p>
      <w:pPr>
        <w:pStyle w:val="Bibliography"/>
      </w:pPr>
      <w:r>
        <w:t xml:space="preserve">29.</w:t>
      </w:r>
      <w:r>
        <w:t xml:space="preserve"> </w:t>
      </w:r>
      <w:r>
        <w:t xml:space="preserve">	</w:t>
      </w:r>
      <w:r>
        <w:t xml:space="preserve">Greenfield SF, Brooks AJ, Gordon SM, Green CA, Kropp F, McHugh RK, et al. Substance abuse treatment entry, retention, and outcome in women:</w:t>
      </w:r>
      <w:r>
        <w:t xml:space="preserve"> </w:t>
      </w:r>
      <w:r>
        <w:t xml:space="preserve">A</w:t>
      </w:r>
      <w:r>
        <w:t xml:space="preserve"> </w:t>
      </w:r>
      <w:r>
        <w:t xml:space="preserve">review of the literature. Drug and Alcohol Dependence. 2007;86: 1–21. doi:</w:t>
      </w:r>
      <w:hyperlink r:id="rId127">
        <w:r>
          <w:rPr>
            <w:rStyle w:val="Hyperlink"/>
          </w:rPr>
          <w:t xml:space="preserve">10.1016/j.drugalcdep.2006.05.012</w:t>
        </w:r>
      </w:hyperlink>
    </w:p>
    <w:bookmarkEnd w:id="128"/>
    <w:bookmarkStart w:id="129" w:name="ref-hsiehSampleSizeTables1989"/>
    <w:p>
      <w:pPr>
        <w:pStyle w:val="Bibliography"/>
      </w:pPr>
      <w:r>
        <w:t xml:space="preserve">30.</w:t>
      </w:r>
      <w:r>
        <w:t xml:space="preserve"> </w:t>
      </w:r>
      <w:r>
        <w:t xml:space="preserve">	</w:t>
      </w:r>
      <w:r>
        <w:t xml:space="preserve">Hsieh F. Sample size tables for logistic regression. Statistics in Medicine. 1989;8: 795–802.</w:t>
      </w:r>
      <w:r>
        <w:t xml:space="preserve"> </w:t>
      </w:r>
    </w:p>
    <w:bookmarkEnd w:id="129"/>
    <w:bookmarkStart w:id="130" w:name="ref-derogatislBriefSymptomInventory"/>
    <w:p>
      <w:pPr>
        <w:pStyle w:val="Bibliography"/>
      </w:pPr>
      <w:r>
        <w:t xml:space="preserve">31.</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130"/>
    <w:bookmarkStart w:id="132" w:name="X2d30c84041d97351f676569bf3de3da0c8a9d6d"/>
    <w:p>
      <w:pPr>
        <w:pStyle w:val="Bibliography"/>
      </w:pPr>
      <w:r>
        <w:t xml:space="preserve">32.</w:t>
      </w:r>
      <w:r>
        <w:t xml:space="preserve"> </w:t>
      </w:r>
      <w:r>
        <w:t xml:space="preserve">	</w:t>
      </w:r>
      <w:r>
        <w:t xml:space="preserve">WHO ASSIST Working Group.</w:t>
      </w:r>
      <w:r>
        <w:t xml:space="preserve"> </w:t>
      </w:r>
      <w:hyperlink r:id="rId131">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 Addiction (Abingdon, England). 2002;97: 1183–1194.</w:t>
      </w:r>
      <w:r>
        <w:t xml:space="preserve"> </w:t>
      </w:r>
    </w:p>
    <w:bookmarkEnd w:id="132"/>
    <w:bookmarkStart w:id="133" w:name="ref-kuhnTidymodelsCollectionPackages2020"/>
    <w:p>
      <w:pPr>
        <w:pStyle w:val="Bibliography"/>
      </w:pPr>
      <w:r>
        <w:t xml:space="preserve">33.</w:t>
      </w:r>
      <w:r>
        <w:t xml:space="preserve"> </w:t>
      </w:r>
      <w:r>
        <w:t xml:space="preserve">	</w:t>
      </w:r>
      <w:r>
        <w:t xml:space="preserve">Kuhn M, Wickham H. Tidymodels: A collection of packages for modeling and machine learning using tidyverse principles. 2020.</w:t>
      </w:r>
      <w:r>
        <w:t xml:space="preserve"> </w:t>
      </w:r>
    </w:p>
    <w:bookmarkEnd w:id="133"/>
    <w:bookmarkStart w:id="134" w:name="Xa93a98d1ce255982a5ea923c39451c32053b2a2"/>
    <w:p>
      <w:pPr>
        <w:pStyle w:val="Bibliography"/>
      </w:pPr>
      <w:r>
        <w:t xml:space="preserve">34.</w:t>
      </w:r>
      <w:r>
        <w:t xml:space="preserve"> </w:t>
      </w:r>
      <w:r>
        <w:t xml:space="preserve">	</w:t>
      </w:r>
      <w:r>
        <w:t xml:space="preserve">Kuhn M. 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 2022.</w:t>
      </w:r>
      <w:r>
        <w:t xml:space="preserve"> </w:t>
      </w:r>
    </w:p>
    <w:bookmarkEnd w:id="134"/>
    <w:bookmarkStart w:id="135" w:name="ref-goodrichRstanarmBayesianApplied2023"/>
    <w:p>
      <w:pPr>
        <w:pStyle w:val="Bibliography"/>
      </w:pPr>
      <w:r>
        <w:t xml:space="preserve">35.</w:t>
      </w:r>
      <w:r>
        <w:t xml:space="preserve"> </w:t>
      </w:r>
      <w:r>
        <w:t xml:space="preserve">	</w:t>
      </w:r>
      <w:r>
        <w:t xml:space="preserve">Goodrich B, Gabry J, Ali I, Brilleman S. Rstanarm:</w:t>
      </w:r>
      <w:r>
        <w:t xml:space="preserve"> </w:t>
      </w:r>
      <w:r>
        <w:t xml:space="preserve">Bayesian Applied Regression Modeling</w:t>
      </w:r>
      <w:r>
        <w:t xml:space="preserve"> </w:t>
      </w:r>
      <w:r>
        <w:t xml:space="preserve">via</w:t>
      </w:r>
      <w:r>
        <w:t xml:space="preserve"> </w:t>
      </w:r>
      <w:r>
        <w:t xml:space="preserve">Stan</w:t>
      </w:r>
      <w:r>
        <w:t xml:space="preserve">. 2023.</w:t>
      </w:r>
      <w:r>
        <w:t xml:space="preserve"> </w:t>
      </w:r>
    </w:p>
    <w:bookmarkEnd w:id="135"/>
    <w:bookmarkStart w:id="137" w:name="ref-chtc"/>
    <w:p>
      <w:pPr>
        <w:pStyle w:val="Bibliography"/>
      </w:pPr>
      <w:r>
        <w:t xml:space="preserve">36.</w:t>
      </w:r>
      <w:r>
        <w:t xml:space="preserve"> </w:t>
      </w:r>
      <w:r>
        <w:t xml:space="preserve">	</w:t>
      </w:r>
      <w:r>
        <w:t xml:space="preserve">Center for High Throughput Computing. Center for high throughput computing. Center for High Throughput Computing; 2006. doi:</w:t>
      </w:r>
      <w:hyperlink r:id="rId136">
        <w:r>
          <w:rPr>
            <w:rStyle w:val="Hyperlink"/>
          </w:rPr>
          <w:t xml:space="preserve">10.21231/GNT1-HW21</w:t>
        </w:r>
      </w:hyperlink>
    </w:p>
    <w:bookmarkEnd w:id="137"/>
    <w:bookmarkStart w:id="139" w:name="ref-kuhnAppliedPredictiveModeling2018"/>
    <w:p>
      <w:pPr>
        <w:pStyle w:val="Bibliography"/>
      </w:pPr>
      <w:r>
        <w:t xml:space="preserve">37.</w:t>
      </w:r>
      <w:r>
        <w:t xml:space="preserve"> </w:t>
      </w:r>
      <w:r>
        <w:t xml:space="preserve">	</w:t>
      </w:r>
      <w:r>
        <w:t xml:space="preserve">Kuhn M, Johnson K. Applied</w:t>
      </w:r>
      <w:r>
        <w:t xml:space="preserve"> </w:t>
      </w:r>
      <w:r>
        <w:t xml:space="preserve">Predictive Modeling</w:t>
      </w:r>
      <w:r>
        <w:t xml:space="preserve">. 1st ed. 2013, Corr. 2nd printing 2018 edition. New York: Springer; 2018. doi:</w:t>
      </w:r>
      <w:hyperlink r:id="rId138">
        <w:r>
          <w:rPr>
            <w:rStyle w:val="Hyperlink"/>
          </w:rPr>
          <w:t xml:space="preserve">10.1007/978-1-4614-6849-3</w:t>
        </w:r>
      </w:hyperlink>
    </w:p>
    <w:bookmarkEnd w:id="139"/>
    <w:bookmarkStart w:id="140" w:name="X93e79e1a5ab79bb153842a6d1ed7d5e5cb3185f"/>
    <w:p>
      <w:pPr>
        <w:pStyle w:val="Bibliography"/>
      </w:pPr>
      <w:r>
        <w:t xml:space="preserve">38.</w:t>
      </w:r>
      <w:r>
        <w:t xml:space="preserve"> </w:t>
      </w:r>
      <w:r>
        <w:t xml:space="preserve">	</w:t>
      </w:r>
      <w:r>
        <w:t xml:space="preserve">RStudio Team.</w:t>
      </w:r>
      <w:r>
        <w:t xml:space="preserve"> </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 Boston, MA: RStudio, Inc; 2020.</w:t>
      </w:r>
      <w:r>
        <w:t xml:space="preserve"> </w:t>
      </w:r>
    </w:p>
    <w:bookmarkEnd w:id="140"/>
    <w:bookmarkStart w:id="141" w:name="ref-gabryPriorDistributionsRstanarm2023"/>
    <w:p>
      <w:pPr>
        <w:pStyle w:val="Bibliography"/>
      </w:pPr>
      <w:r>
        <w:t xml:space="preserve">39.</w:t>
      </w:r>
      <w:r>
        <w:t xml:space="preserve"> </w:t>
      </w:r>
      <w:r>
        <w:t xml:space="preserve">	</w:t>
      </w:r>
      <w:r>
        <w:t xml:space="preserve">Gabry J, Goodrich B. Prior</w:t>
      </w:r>
      <w:r>
        <w:t xml:space="preserve"> </w:t>
      </w:r>
      <w:r>
        <w:t xml:space="preserve">Distributions</w:t>
      </w:r>
      <w:r>
        <w:t xml:space="preserve"> </w:t>
      </w:r>
      <w:r>
        <w:t xml:space="preserve">for rstanarm</w:t>
      </w:r>
      <w:r>
        <w:t xml:space="preserve"> </w:t>
      </w:r>
      <w:r>
        <w:t xml:space="preserve">Models</w:t>
      </w:r>
      <w:r>
        <w:t xml:space="preserve">. CRAN R-Project. https://cran.r-project.org/web/packages/rstanarm/vignettes/priors.html; 2023.</w:t>
      </w:r>
      <w:r>
        <w:t xml:space="preserve"> </w:t>
      </w:r>
    </w:p>
    <w:bookmarkEnd w:id="141"/>
    <w:bookmarkStart w:id="142" w:name="ref-plattProbabilisticOutputsSupport1999"/>
    <w:p>
      <w:pPr>
        <w:pStyle w:val="Bibliography"/>
      </w:pPr>
      <w:r>
        <w:t xml:space="preserve">40.</w:t>
      </w:r>
      <w:r>
        <w:t xml:space="preserve"> </w:t>
      </w:r>
      <w:r>
        <w:t xml:space="preserve">	</w:t>
      </w:r>
      <w:r>
        <w:t xml:space="preserve">Platt J. Probabilistic outputs for support vector machines and comparisons to regularized likelihood methods. Advances in large margin classifiers. MIT Press; 1999. pp. 61–74.</w:t>
      </w:r>
      <w:r>
        <w:t xml:space="preserve"> </w:t>
      </w:r>
    </w:p>
    <w:bookmarkEnd w:id="142"/>
    <w:bookmarkStart w:id="144" w:name="ref-veinotGoodIntentionsAre2018"/>
    <w:p>
      <w:pPr>
        <w:pStyle w:val="Bibliography"/>
      </w:pPr>
      <w:r>
        <w:t xml:space="preserve">41.</w:t>
      </w:r>
      <w:r>
        <w:t xml:space="preserve"> </w:t>
      </w:r>
      <w:r>
        <w:t xml:space="preserve">	</w:t>
      </w:r>
      <w:r>
        <w:t xml:space="preserve">Veinot TC, Mitchell H, Ancker JS. Good intentions are not enough: How informatics interventions can worsen inequality. Journal of the American Medical Informatics Association: JAMIA. 2018;25: 1080–1088. doi:</w:t>
      </w:r>
      <w:hyperlink r:id="rId143">
        <w:r>
          <w:rPr>
            <w:rStyle w:val="Hyperlink"/>
          </w:rPr>
          <w:t xml:space="preserve">10.1093/jamia/ocy052</w:t>
        </w:r>
      </w:hyperlink>
    </w:p>
    <w:bookmarkEnd w:id="144"/>
    <w:bookmarkStart w:id="146" w:name="ref-leeUrbanRuralDisparities2023"/>
    <w:p>
      <w:pPr>
        <w:pStyle w:val="Bibliography"/>
      </w:pPr>
      <w:r>
        <w:t xml:space="preserve">42.</w:t>
      </w:r>
      <w:r>
        <w:t xml:space="preserve"> </w:t>
      </w:r>
      <w:r>
        <w:t xml:space="preserve">	</w:t>
      </w:r>
      <w:r>
        <w:t xml:space="preserve">Lee JH, Wheeler DC, Zimmerman EB, Hines AL, Chapman DA.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 American journal of preventive medicine. 2023;64: 149–156. doi:</w:t>
      </w:r>
      <w:hyperlink r:id="rId145">
        <w:r>
          <w:rPr>
            <w:rStyle w:val="Hyperlink"/>
          </w:rPr>
          <w:t xml:space="preserve">10.1016/j.amepre.2022.08.022</w:t>
        </w:r>
      </w:hyperlink>
    </w:p>
    <w:bookmarkEnd w:id="146"/>
    <w:bookmarkStart w:id="148" w:name="Xaa720cc9c8d959b428cd2035783815a9cba15e0"/>
    <w:p>
      <w:pPr>
        <w:pStyle w:val="Bibliography"/>
      </w:pPr>
      <w:r>
        <w:t xml:space="preserve">43.</w:t>
      </w:r>
      <w:r>
        <w:t xml:space="preserve"> </w:t>
      </w:r>
      <w:r>
        <w:t xml:space="preserve">	</w:t>
      </w:r>
      <w:r>
        <w:t xml:space="preserve">Lister JJ, Weaver A, Ellis JD, Himle JA, Ledgerwood DM. A systematic review of rural-specific barriers to medication treatment for opioid use disorder in the</w:t>
      </w:r>
      <w:r>
        <w:t xml:space="preserve"> </w:t>
      </w:r>
      <w:r>
        <w:t xml:space="preserve">United States</w:t>
      </w:r>
      <w:r>
        <w:t xml:space="preserve">. The American Journal of Drug and Alcohol Abuse. 2020;46: 273–288. doi:</w:t>
      </w:r>
      <w:hyperlink r:id="rId147">
        <w:r>
          <w:rPr>
            <w:rStyle w:val="Hyperlink"/>
          </w:rPr>
          <w:t xml:space="preserve">10.1080/00952990.2019.1694536</w:t>
        </w:r>
      </w:hyperlink>
    </w:p>
    <w:bookmarkEnd w:id="148"/>
    <w:bookmarkStart w:id="150" w:name="ref-fisherDynamicModelPsychological2015"/>
    <w:p>
      <w:pPr>
        <w:pStyle w:val="Bibliography"/>
      </w:pPr>
      <w:r>
        <w:t xml:space="preserve">44.</w:t>
      </w:r>
      <w:r>
        <w:t xml:space="preserve"> </w:t>
      </w:r>
      <w:r>
        <w:t xml:space="preserve">	</w:t>
      </w:r>
      <w:r>
        <w:t xml:space="preserve">Fisher AJ. Toward a dynamic model of psychological assessment:</w:t>
      </w:r>
      <w:r>
        <w:t xml:space="preserve"> </w:t>
      </w:r>
      <w:r>
        <w:t xml:space="preserve">Implications</w:t>
      </w:r>
      <w:r>
        <w:t xml:space="preserve"> </w:t>
      </w:r>
      <w:r>
        <w:t xml:space="preserve">for personalized care. Journal of Consulting and Clinical Psychology. 2015;83: 825–836. doi:</w:t>
      </w:r>
      <w:hyperlink r:id="rId149">
        <w:r>
          <w:rPr>
            <w:rStyle w:val="Hyperlink"/>
          </w:rPr>
          <w:t xml:space="preserve">10.1037/ccp0000026</w:t>
        </w:r>
      </w:hyperlink>
    </w:p>
    <w:bookmarkEnd w:id="150"/>
    <w:bookmarkStart w:id="152" w:name="Xb70ed90433964dc3a7ede0ee8357d97241623cc"/>
    <w:p>
      <w:pPr>
        <w:pStyle w:val="Bibliography"/>
      </w:pPr>
      <w:r>
        <w:t xml:space="preserve">45.</w:t>
      </w:r>
      <w:r>
        <w:t xml:space="preserve"> </w:t>
      </w:r>
      <w:r>
        <w:t xml:space="preserve">	</w:t>
      </w:r>
      <w:r>
        <w:t xml:space="preserve">David SJ, Marshall AJ, Evanovich EK, Mumma GH.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 Journal of Psychopathology and Behavioral Assessment. 2018;40: 235–248. doi:</w:t>
      </w:r>
      <w:hyperlink r:id="rId151">
        <w:r>
          <w:rPr>
            <w:rStyle w:val="Hyperlink"/>
          </w:rPr>
          <w:t xml:space="preserve">10.1007/s10862-017-9632-8</w:t>
        </w:r>
      </w:hyperlink>
    </w:p>
    <w:bookmarkEnd w:id="152"/>
    <w:bookmarkStart w:id="154" w:name="Xc5cdea043ab663a81d5612c8b1e0f7c2b734aab"/>
    <w:p>
      <w:pPr>
        <w:pStyle w:val="Bibliography"/>
      </w:pPr>
      <w:r>
        <w:t xml:space="preserve">46.</w:t>
      </w:r>
      <w:r>
        <w:t xml:space="preserve"> </w:t>
      </w:r>
      <w:r>
        <w:t xml:space="preserve">	</w:t>
      </w:r>
      <w:r>
        <w:t xml:space="preserve">Roche MJ, Pincus AL, Rebar AL, Conroy DE, Ram N.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 Assessment. 2014;21: 515–528. doi:</w:t>
      </w:r>
      <w:hyperlink r:id="rId153">
        <w:r>
          <w:rPr>
            <w:rStyle w:val="Hyperlink"/>
          </w:rPr>
          <w:t xml:space="preserve">10.1177/1073191114540320</w:t>
        </w:r>
      </w:hyperlink>
    </w:p>
    <w:bookmarkEnd w:id="154"/>
    <w:bookmarkStart w:id="156" w:name="X513fadbf866a4ddf9f29b63741ad369252b4800"/>
    <w:p>
      <w:pPr>
        <w:pStyle w:val="Bibliography"/>
      </w:pPr>
      <w:r>
        <w:t xml:space="preserve">47.</w:t>
      </w:r>
      <w:r>
        <w:t xml:space="preserve"> </w:t>
      </w:r>
      <w:r>
        <w:t xml:space="preserve">	</w:t>
      </w:r>
      <w:r>
        <w:t xml:space="preserve">Wright AGC, Hallquist MN, Stepp SD, Scott LN, Beeney JE, Lazarus SA, et al.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 Assessment. 2016;23: 484–495. doi:</w:t>
      </w:r>
      <w:hyperlink r:id="rId155">
        <w:r>
          <w:rPr>
            <w:rStyle w:val="Hyperlink"/>
          </w:rPr>
          <w:t xml:space="preserve">10.1177/1073191116653829</w:t>
        </w:r>
      </w:hyperlink>
    </w:p>
    <w:bookmarkEnd w:id="156"/>
    <w:bookmarkStart w:id="158" w:name="ref-pulickIdiographicLapsePrediction2025"/>
    <w:p>
      <w:pPr>
        <w:pStyle w:val="Bibliography"/>
      </w:pPr>
      <w:r>
        <w:t xml:space="preserve">48.</w:t>
      </w:r>
      <w:r>
        <w:t xml:space="preserve"> </w:t>
      </w:r>
      <w:r>
        <w:t xml:space="preserve">	</w:t>
      </w:r>
      <w:r>
        <w:t xml:space="preserve">Pulick E, Curtin J, Mintz Y.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 JMIR Formative Research. 2025;9: e73265. doi:</w:t>
      </w:r>
      <w:hyperlink r:id="rId157">
        <w:r>
          <w:rPr>
            <w:rStyle w:val="Hyperlink"/>
          </w:rPr>
          <w:t xml:space="preserve">10.2196/73265</w:t>
        </w:r>
      </w:hyperlink>
    </w:p>
    <w:bookmarkEnd w:id="158"/>
    <w:bookmarkStart w:id="159" w:name="ref-studiesNIHRevitalizationAct1994"/>
    <w:p>
      <w:pPr>
        <w:pStyle w:val="Bibliography"/>
      </w:pPr>
      <w:r>
        <w:t xml:space="preserve">49.</w:t>
      </w:r>
      <w:r>
        <w:t xml:space="preserve"> </w:t>
      </w:r>
      <w:r>
        <w:t xml:space="preserve">	</w:t>
      </w:r>
      <w:r>
        <w:t xml:space="preserve">Studies I of M(US)C on E and LIR to the I of W in C, Mastroianni AC, Faden R, Federman D.</w:t>
      </w:r>
      <w:r>
        <w:t xml:space="preserve"> </w:t>
      </w:r>
      <w:r>
        <w:t xml:space="preserve">NIH Revitalization Act</w:t>
      </w:r>
      <w:r>
        <w:t xml:space="preserve"> </w:t>
      </w:r>
      <w:r>
        <w:t xml:space="preserve">of 1993</w:t>
      </w:r>
      <w:r>
        <w:t xml:space="preserve"> </w:t>
      </w:r>
      <w:r>
        <w:t xml:space="preserve">Public Law</w:t>
      </w:r>
      <w:r>
        <w:t xml:space="preserve"> </w:t>
      </w:r>
      <w:r>
        <w:t xml:space="preserve">103-43. Women and</w:t>
      </w:r>
      <w:r>
        <w:t xml:space="preserve"> </w:t>
      </w:r>
      <w:r>
        <w:t xml:space="preserve">Health Research</w:t>
      </w:r>
      <w:r>
        <w:t xml:space="preserve">:</w:t>
      </w:r>
      <w:r>
        <w:t xml:space="preserve"> </w:t>
      </w:r>
      <w:r>
        <w:t xml:space="preserve">Ethical</w:t>
      </w:r>
      <w:r>
        <w:t xml:space="preserve"> </w:t>
      </w:r>
      <w:r>
        <w:t xml:space="preserve">and</w:t>
      </w:r>
      <w:r>
        <w:t xml:space="preserve"> </w:t>
      </w:r>
      <w:r>
        <w:t xml:space="preserve">Legal Issues</w:t>
      </w:r>
      <w:r>
        <w:t xml:space="preserve"> </w:t>
      </w:r>
      <w:r>
        <w:t xml:space="preserve">of</w:t>
      </w:r>
      <w:r>
        <w:t xml:space="preserve"> </w:t>
      </w:r>
      <w:r>
        <w:t xml:space="preserve">Including Women</w:t>
      </w:r>
      <w:r>
        <w:t xml:space="preserve"> </w:t>
      </w:r>
      <w:r>
        <w:t xml:space="preserve">in</w:t>
      </w:r>
      <w:r>
        <w:t xml:space="preserve"> </w:t>
      </w:r>
      <w:r>
        <w:t xml:space="preserve">Clinical Studies</w:t>
      </w:r>
      <w:r>
        <w:t xml:space="preserve">:</w:t>
      </w:r>
      <w:r>
        <w:t xml:space="preserve"> </w:t>
      </w:r>
      <w:r>
        <w:t xml:space="preserve">Volume I</w:t>
      </w:r>
      <w:r>
        <w:t xml:space="preserve">. National Academies Press (US); 1994.</w:t>
      </w:r>
      <w:r>
        <w:t xml:space="preserve"> </w:t>
      </w:r>
    </w:p>
    <w:bookmarkEnd w:id="159"/>
    <w:bookmarkStart w:id="161" w:name="ref-vannicelliEffectSexBias1984"/>
    <w:p>
      <w:pPr>
        <w:pStyle w:val="Bibliography"/>
      </w:pPr>
      <w:r>
        <w:t xml:space="preserve">50.</w:t>
      </w:r>
      <w:r>
        <w:t xml:space="preserve"> </w:t>
      </w:r>
      <w:r>
        <w:t xml:space="preserve">	</w:t>
      </w:r>
      <w:r>
        <w:t xml:space="preserve">Vannicelli M, Nash L.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 Alcoholism: Clinical and Experimental Research. 1984;8: 334–336. doi:</w:t>
      </w:r>
      <w:hyperlink r:id="rId160">
        <w:r>
          <w:rPr>
            <w:rStyle w:val="Hyperlink"/>
          </w:rPr>
          <w:t xml:space="preserve">10.1111/j.1530-0277.1984.tb05523.x</w:t>
        </w:r>
      </w:hyperlink>
    </w:p>
    <w:bookmarkEnd w:id="161"/>
    <w:bookmarkStart w:id="163" w:name="ref-walitzerGenderDifferencesAlcohol2006"/>
    <w:p>
      <w:pPr>
        <w:pStyle w:val="Bibliography"/>
      </w:pPr>
      <w:r>
        <w:t xml:space="preserve">51.</w:t>
      </w:r>
      <w:r>
        <w:t xml:space="preserve"> </w:t>
      </w:r>
      <w:r>
        <w:t xml:space="preserve">	</w:t>
      </w:r>
      <w:r>
        <w:t xml:space="preserve">Walitzer KS, Dearing RL. Gender differences in alcohol and substance use relapse. Clinical Psychology Review. 2006;26: 128–148. doi:</w:t>
      </w:r>
      <w:hyperlink r:id="rId162">
        <w:r>
          <w:rPr>
            <w:rStyle w:val="Hyperlink"/>
          </w:rPr>
          <w:t xml:space="preserve">10.1016/j.cpr.2005.11.003</w:t>
        </w:r>
      </w:hyperlink>
    </w:p>
    <w:bookmarkEnd w:id="163"/>
    <w:bookmarkStart w:id="165" w:name="ref-mchughSexGenderDifferences2018"/>
    <w:p>
      <w:pPr>
        <w:pStyle w:val="Bibliography"/>
      </w:pPr>
      <w:r>
        <w:t xml:space="preserve">52.</w:t>
      </w:r>
      <w:r>
        <w:t xml:space="preserve"> </w:t>
      </w:r>
      <w:r>
        <w:t xml:space="preserve">	</w:t>
      </w:r>
      <w:r>
        <w:t xml:space="preserve">McHugh RK, Votaw VR, Sugarman DE, Greenfield SF. Sex and gender differences in substance use disorders. Clinical Psychology Review. 2018;66: 12–23. doi:</w:t>
      </w:r>
      <w:hyperlink r:id="rId164">
        <w:r>
          <w:rPr>
            <w:rStyle w:val="Hyperlink"/>
          </w:rPr>
          <w:t xml:space="preserve">10.1016/j.cpr.2017.10.012</w:t>
        </w:r>
      </w:hyperlink>
    </w:p>
    <w:bookmarkEnd w:id="165"/>
    <w:bookmarkStart w:id="167" w:name="Xdd108b50209bad1fdcf1a9fcca4dd1d7d3b13e9"/>
    <w:p>
      <w:pPr>
        <w:pStyle w:val="Bibliography"/>
      </w:pPr>
      <w:r>
        <w:t xml:space="preserve">53.</w:t>
      </w:r>
      <w:r>
        <w:t xml:space="preserve"> </w:t>
      </w:r>
      <w:r>
        <w:t xml:space="preserve">	</w:t>
      </w:r>
      <w:r>
        <w:t xml:space="preserve">Tausczik YR, Pennebaker JW.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 Journal of Language and Social Psychology. 2010;29: 24–54. doi:</w:t>
      </w:r>
      <w:hyperlink r:id="rId166">
        <w:r>
          <w:rPr>
            <w:rStyle w:val="Hyperlink"/>
          </w:rPr>
          <w:t xml:space="preserve">10.1177/0261927X09351676</w:t>
        </w:r>
      </w:hyperlink>
    </w:p>
    <w:bookmarkEnd w:id="167"/>
    <w:bookmarkStart w:id="168" w:name="ref-bleiLatentDirichletAllocation2003"/>
    <w:p>
      <w:pPr>
        <w:pStyle w:val="Bibliography"/>
      </w:pPr>
      <w:r>
        <w:t xml:space="preserve">54.</w:t>
      </w:r>
      <w:r>
        <w:t xml:space="preserve"> </w:t>
      </w:r>
      <w:r>
        <w:t xml:space="preserve">	</w:t>
      </w:r>
      <w:r>
        <w:t xml:space="preserve">Blei DM, Ng AY, Jordan MI. Latent dirichlet allocation. J Mach Learn Res. 2003;3: 993–1022.</w:t>
      </w:r>
      <w:r>
        <w:t xml:space="preserve"> </w:t>
      </w:r>
    </w:p>
    <w:bookmarkEnd w:id="168"/>
    <w:bookmarkStart w:id="170" w:name="ref-devlinBERTPretrainingDeep2019"/>
    <w:p>
      <w:pPr>
        <w:pStyle w:val="Bibliography"/>
      </w:pPr>
      <w:r>
        <w:t xml:space="preserve">55.</w:t>
      </w:r>
      <w:r>
        <w:t xml:space="preserve"> </w:t>
      </w:r>
      <w:r>
        <w:t xml:space="preserve">	</w:t>
      </w:r>
      <w:r>
        <w:t xml:space="preserve">Devlin J, Chang M-W, Lee K, Toutanova K.</w:t>
      </w:r>
      <w:r>
        <w:t xml:space="preserve"> </w:t>
      </w:r>
      <w:r>
        <w:t xml:space="preserve">BERT</w:t>
      </w:r>
      <w:r>
        <w:t xml:space="preserve">:</w:t>
      </w:r>
      <w:r>
        <w:t xml:space="preserve"> </w:t>
      </w:r>
      <w:r>
        <w:t xml:space="preserve">Pre-training</w:t>
      </w:r>
      <w:r>
        <w:t xml:space="preserve"> </w:t>
      </w:r>
      <w:r>
        <w:t xml:space="preserve">of</w:t>
      </w:r>
      <w:r>
        <w:t xml:space="preserve"> </w:t>
      </w:r>
      <w:r>
        <w:t xml:space="preserve">Deep Bidirectional Transformers</w:t>
      </w:r>
      <w:r>
        <w:t xml:space="preserve"> </w:t>
      </w:r>
      <w:r>
        <w:t xml:space="preserve">for</w:t>
      </w:r>
      <w:r>
        <w:t xml:space="preserve"> </w:t>
      </w:r>
      <w:r>
        <w:t xml:space="preserve">Language Understanding</w:t>
      </w:r>
      <w:r>
        <w:t xml:space="preserve">. arXiv; 2019. doi:</w:t>
      </w:r>
      <w:hyperlink r:id="rId169">
        <w:r>
          <w:rPr>
            <w:rStyle w:val="Hyperlink"/>
          </w:rPr>
          <w:t xml:space="preserve">10.48550/arXiv.1810.04805</w:t>
        </w:r>
      </w:hyperlink>
    </w:p>
    <w:bookmarkEnd w:id="170"/>
    <w:bookmarkStart w:id="171" w:name="X0c0e928dd8ff101aa479012bffab8d24e8c0dcf"/>
    <w:p>
      <w:pPr>
        <w:pStyle w:val="Bibliography"/>
      </w:pPr>
      <w:r>
        <w:t xml:space="preserve">56.</w:t>
      </w:r>
      <w:r>
        <w:t xml:space="preserve"> </w:t>
      </w:r>
      <w:r>
        <w:t xml:space="preserve">	</w:t>
      </w:r>
      <w:r>
        <w:t xml:space="preserve">Molnar C. Interpretable</w:t>
      </w:r>
      <w:r>
        <w:t xml:space="preserve"> </w:t>
      </w:r>
      <w:r>
        <w:t xml:space="preserve">Machine Learning</w:t>
      </w:r>
      <w:r>
        <w:t xml:space="preserve">:</w:t>
      </w:r>
      <w:r>
        <w:t xml:space="preserve"> </w:t>
      </w:r>
      <w:r>
        <w:t xml:space="preserve">A Guide For Making Black Box Models Explainable</w:t>
      </w:r>
      <w:r>
        <w:t xml:space="preserve">. Munich, Germany: Independently published; 2022.</w:t>
      </w:r>
      <w:r>
        <w:t xml:space="preserve"> </w:t>
      </w:r>
    </w:p>
    <w:bookmarkEnd w:id="171"/>
    <w:bookmarkStart w:id="173" w:name="ref-meyersIntersectionGenderDrug2021"/>
    <w:p>
      <w:pPr>
        <w:pStyle w:val="Bibliography"/>
      </w:pPr>
      <w:r>
        <w:t xml:space="preserve">57.</w:t>
      </w:r>
      <w:r>
        <w:t xml:space="preserve"> </w:t>
      </w:r>
      <w:r>
        <w:t xml:space="preserve">	</w:t>
      </w:r>
      <w:r>
        <w:t xml:space="preserve">Meyers SA, Earnshaw VA, D’Ambrosio B, Courchesne N, Werb D, Smith LR. The intersection of gender and drug use-related stigma:</w:t>
      </w:r>
      <w:r>
        <w:t xml:space="preserve"> </w:t>
      </w:r>
      <w:r>
        <w:t xml:space="preserve">A</w:t>
      </w:r>
      <w:r>
        <w:t xml:space="preserve"> </w:t>
      </w:r>
      <w:r>
        <w:t xml:space="preserve">mixed methods systematic review and synthesis of the literature. Drug and Alcohol Dependence. 2021;223: 108706. doi:</w:t>
      </w:r>
      <w:hyperlink r:id="rId172">
        <w:r>
          <w:rPr>
            <w:rStyle w:val="Hyperlink"/>
          </w:rPr>
          <w:t xml:space="preserve">10.1016/j.drugalcdep.2021.108706</w:t>
        </w:r>
      </w:hyperlink>
    </w:p>
    <w:bookmarkEnd w:id="173"/>
    <w:bookmarkStart w:id="174" w:name="Xb55b40a3d7f46ba5e03427f7cd05843a1612710"/>
    <w:p>
      <w:pPr>
        <w:pStyle w:val="Bibliography"/>
      </w:pPr>
      <w:r>
        <w:t xml:space="preserve">58.</w:t>
      </w:r>
      <w:r>
        <w:t xml:space="preserve"> </w:t>
      </w:r>
      <w:r>
        <w:t xml:space="preserve">	</w:t>
      </w:r>
      <w:r>
        <w:t xml:space="preserve">Marwick AE, Boyd D.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 International Journal of Communication. 2018;12: 9.</w:t>
      </w:r>
      <w:r>
        <w:t xml:space="preserve"> </w:t>
      </w:r>
    </w:p>
    <w:bookmarkEnd w:id="174"/>
    <w:bookmarkStart w:id="176" w:name="ref-zikmund-fisherRightToolWhat2013"/>
    <w:p>
      <w:pPr>
        <w:pStyle w:val="Bibliography"/>
      </w:pPr>
      <w:r>
        <w:t xml:space="preserve">59.</w:t>
      </w:r>
      <w:r>
        <w:t xml:space="preserve"> </w:t>
      </w:r>
      <w:r>
        <w:t xml:space="preserve">	</w:t>
      </w:r>
      <w:r>
        <w:t xml:space="preserve">Zikmund-Fisher BJ. The right tool is what they need, not what we have: A taxonomy of appropriate levels of precision in patient risk communication. Medical care research and review: MCRR. 2013;70: 37S–49S. doi:</w:t>
      </w:r>
      <w:hyperlink r:id="rId175">
        <w:r>
          <w:rPr>
            <w:rStyle w:val="Hyperlink"/>
          </w:rPr>
          <w:t xml:space="preserve">10.1177/1077558712458541</w:t>
        </w:r>
      </w:hyperlink>
    </w:p>
    <w:bookmarkEnd w:id="176"/>
    <w:bookmarkStart w:id="178" w:name="ref-fagerlinMakingNumbersMatter2007"/>
    <w:p>
      <w:pPr>
        <w:pStyle w:val="Bibliography"/>
      </w:pPr>
      <w:r>
        <w:t xml:space="preserve">60.</w:t>
      </w:r>
      <w:r>
        <w:t xml:space="preserve"> </w:t>
      </w:r>
      <w:r>
        <w:t xml:space="preserve">	</w:t>
      </w:r>
      <w:r>
        <w:t xml:space="preserve">Fagerlin A, Ubel PA, Smith DM, Zikmund-Fisher BJ. Making numbers matter: Present and future research in risk communication. American Journal of Health Behavior. 2007;31 Suppl 1: S47–56. doi:</w:t>
      </w:r>
      <w:hyperlink r:id="rId177">
        <w:r>
          <w:rPr>
            <w:rStyle w:val="Hyperlink"/>
          </w:rPr>
          <w:t xml:space="preserve">10.5555/ajhb.2007.31.supp.S47</w:t>
        </w:r>
      </w:hyperlink>
    </w:p>
    <w:bookmarkEnd w:id="178"/>
    <w:bookmarkStart w:id="180" w:name="X13b53253f4b8775a58215d7e1d3c0adbd73e844"/>
    <w:p>
      <w:pPr>
        <w:pStyle w:val="Bibliography"/>
      </w:pPr>
      <w:r>
        <w:t xml:space="preserve">61.</w:t>
      </w:r>
      <w:r>
        <w:t xml:space="preserve"> </w:t>
      </w:r>
      <w:r>
        <w:t xml:space="preserve">	</w:t>
      </w:r>
      <w:r>
        <w:t xml:space="preserve">Zipkin DA, Umscheid CA, Keating NL, Allen E, Aung K, Beyth R, et al. Evidence-based risk communication: A systematic review. Annals of Internal Medicine. 2014;161: 270–280. doi:</w:t>
      </w:r>
      <w:hyperlink r:id="rId179">
        <w:r>
          <w:rPr>
            <w:rStyle w:val="Hyperlink"/>
          </w:rPr>
          <w:t xml:space="preserve">10.7326/M14-0295</w:t>
        </w:r>
      </w:hyperlink>
    </w:p>
    <w:bookmarkEnd w:id="180"/>
    <w:bookmarkStart w:id="182" w:name="Xa1b8899d52f2070e9a46165cf23fe2013b5e4a3"/>
    <w:p>
      <w:pPr>
        <w:pStyle w:val="Bibliography"/>
      </w:pPr>
      <w:r>
        <w:t xml:space="preserve">62.</w:t>
      </w:r>
      <w:r>
        <w:t xml:space="preserve"> </w:t>
      </w:r>
      <w:r>
        <w:t xml:space="preserve">	</w:t>
      </w:r>
      <w:r>
        <w:t xml:space="preserve">Rawson RA, Shoptaw SJ, Obert JL, McCann MJ, Hasson AL, Marinelli-Casey PJ, et al. An intensive outpatient approach for cocaine abuse treatment.</w:t>
      </w:r>
      <w:r>
        <w:t xml:space="preserve"> </w:t>
      </w:r>
      <w:r>
        <w:t xml:space="preserve">The Matrix</w:t>
      </w:r>
      <w:r>
        <w:t xml:space="preserve"> </w:t>
      </w:r>
      <w:r>
        <w:t xml:space="preserve">model. Journal of Substance Abuse Treatment. 1995;12: 117–127. doi:</w:t>
      </w:r>
      <w:hyperlink r:id="rId181">
        <w:r>
          <w:rPr>
            <w:rStyle w:val="Hyperlink"/>
          </w:rPr>
          <w:t xml:space="preserve">10.1016/0740-5472(94)00080-b</w:t>
        </w:r>
      </w:hyperlink>
    </w:p>
    <w:bookmarkEnd w:id="182"/>
    <w:bookmarkStart w:id="184" w:name="X1e16a8cc741ec7d68b9bde12ee2c181d9d36a93"/>
    <w:p>
      <w:pPr>
        <w:pStyle w:val="Bibliography"/>
      </w:pPr>
      <w:r>
        <w:t xml:space="preserve">63.</w:t>
      </w:r>
      <w:r>
        <w:t xml:space="preserve"> </w:t>
      </w:r>
      <w:r>
        <w:t xml:space="preserve">	</w:t>
      </w:r>
      <w:r>
        <w:t xml:space="preserve">McHugh RK, Hearon BA, Otto MW. Cognitive-</w:t>
      </w:r>
      <w:r>
        <w:t xml:space="preserve">Behavioral Therapy</w:t>
      </w:r>
      <w:r>
        <w:t xml:space="preserve"> </w:t>
      </w:r>
      <w:r>
        <w:t xml:space="preserve">for</w:t>
      </w:r>
      <w:r>
        <w:t xml:space="preserve"> </w:t>
      </w:r>
      <w:r>
        <w:t xml:space="preserve">Substance Use Disorders</w:t>
      </w:r>
      <w:r>
        <w:t xml:space="preserve">. The Psychiatric clinics of North America. 2010;33: 511–525. doi:</w:t>
      </w:r>
      <w:hyperlink r:id="rId183">
        <w:r>
          <w:rPr>
            <w:rStyle w:val="Hyperlink"/>
          </w:rPr>
          <w:t xml:space="preserve">10.1016/j.psc.2010.04.012</w:t>
        </w:r>
      </w:hyperlink>
    </w:p>
    <w:bookmarkEnd w:id="184"/>
    <w:bookmarkStart w:id="185" w:name="X0943ff04c0b05099bf4a8c8078db37e3463cff7"/>
    <w:p>
      <w:pPr>
        <w:pStyle w:val="Bibliography"/>
      </w:pPr>
      <w:r>
        <w:t xml:space="preserve">64.</w:t>
      </w:r>
      <w:r>
        <w:t xml:space="preserve"> </w:t>
      </w:r>
      <w:r>
        <w:t xml:space="preserve">	</w:t>
      </w:r>
      <w:r>
        <w:t xml:space="preserve">Liese BS, Beck AT. Cognitive-</w:t>
      </w:r>
      <w:r>
        <w:t xml:space="preserve">Behavioral Therapy</w:t>
      </w:r>
      <w:r>
        <w:t xml:space="preserve"> </w:t>
      </w:r>
      <w:r>
        <w:t xml:space="preserve">of</w:t>
      </w:r>
      <w:r>
        <w:t xml:space="preserve"> </w:t>
      </w:r>
      <w:r>
        <w:t xml:space="preserve">Addictive Disorders</w:t>
      </w:r>
      <w:r>
        <w:t xml:space="preserve">. First edition. New York: The Guilford Press; 2022.</w:t>
      </w:r>
      <w:r>
        <w:t xml:space="preserve"> </w:t>
      </w:r>
    </w:p>
    <w:bookmarkEnd w:id="185"/>
    <w:bookmarkStart w:id="186" w:name="X8e0e943878d1a2c3026b4a46f6c482e09849b94"/>
    <w:p>
      <w:pPr>
        <w:pStyle w:val="Bibliography"/>
      </w:pPr>
      <w:r>
        <w:t xml:space="preserve">65.</w:t>
      </w:r>
      <w:r>
        <w:t xml:space="preserve"> </w:t>
      </w:r>
      <w:r>
        <w:t xml:space="preserve">	</w:t>
      </w:r>
      <w:r>
        <w:t xml:space="preserve">Center for Substance Abuse Treatment. Counselor’s</w:t>
      </w:r>
      <w:r>
        <w:t xml:space="preserve"> </w:t>
      </w:r>
      <w:r>
        <w:t xml:space="preserve">Treatment Manual</w:t>
      </w:r>
      <w:r>
        <w:t xml:space="preserve">:</w:t>
      </w:r>
      <w:r>
        <w:t xml:space="preserve"> </w:t>
      </w:r>
      <w:r>
        <w:t xml:space="preserve">Matrix Intensive Outpatient Treatment</w:t>
      </w:r>
      <w:r>
        <w:t xml:space="preserve"> </w:t>
      </w:r>
      <w:r>
        <w:t xml:space="preserve">for</w:t>
      </w:r>
      <w:r>
        <w:t xml:space="preserve"> </w:t>
      </w:r>
      <w:r>
        <w:t xml:space="preserve">People With Stimulant Use Disorders</w:t>
      </w:r>
      <w:r>
        <w:t xml:space="preserve">. Rockville, MD:</w:t>
      </w:r>
      <w:r>
        <w:t xml:space="preserve"> </w:t>
      </w:r>
      <w:r>
        <w:t xml:space="preserve">Substance Abuse and Mental Health Services Administration</w:t>
      </w:r>
      <w:r>
        <w:t xml:space="preserve">; 2006.</w:t>
      </w:r>
      <w:r>
        <w:t xml:space="preserve"> </w:t>
      </w:r>
    </w:p>
    <w:bookmarkEnd w:id="186"/>
    <w:bookmarkStart w:id="188" w:name="ref-fronkStressAllostasisSubstance2020"/>
    <w:p>
      <w:pPr>
        <w:pStyle w:val="Bibliography"/>
      </w:pPr>
      <w:r>
        <w:t xml:space="preserve">66.</w:t>
      </w:r>
      <w:r>
        <w:t xml:space="preserve"> </w:t>
      </w:r>
      <w:r>
        <w:t xml:space="preserve">	</w:t>
      </w:r>
      <w:r>
        <w:t xml:space="preserve">Fronk GE, Sant’Ana SJ, Kaye JT, Curtin JJ.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 Annual Review of Clinical Psychology. 2020;16: 401–430. doi:</w:t>
      </w:r>
      <w:hyperlink r:id="rId187">
        <w:r>
          <w:rPr>
            <w:rStyle w:val="Hyperlink"/>
          </w:rPr>
          <w:t xml:space="preserve">10.1146/annurev-clinpsy-102419-125016</w:t>
        </w:r>
      </w:hyperlink>
    </w:p>
    <w:bookmarkEnd w:id="188"/>
    <w:bookmarkStart w:id="190" w:name="ref-wyantMaximizingEngagementTrust2025"/>
    <w:p>
      <w:pPr>
        <w:pStyle w:val="Bibliography"/>
      </w:pPr>
      <w:r>
        <w:t xml:space="preserve">67.</w:t>
      </w:r>
      <w:r>
        <w:t xml:space="preserve"> </w:t>
      </w:r>
      <w:r>
        <w:t xml:space="preserve">	</w:t>
      </w:r>
      <w:r>
        <w:t xml:space="preserve">Wyant K, Sant’Ana SJ, Punturieri CE, Yu J, Fronk GE, Maggard CM, et al.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 JMIR Research Protocols. 2025;14: e81697. doi:</w:t>
      </w:r>
      <w:hyperlink r:id="rId189">
        <w:r>
          <w:rPr>
            <w:rStyle w:val="Hyperlink"/>
          </w:rPr>
          <w:t xml:space="preserve">10.2196/81697</w:t>
        </w:r>
      </w:hyperlink>
    </w:p>
    <w:bookmarkEnd w:id="190"/>
    <w:bookmarkStart w:id="192" w:name="X9dfa929848d202736296032659cec14e42606bb"/>
    <w:p>
      <w:pPr>
        <w:pStyle w:val="Bibliography"/>
      </w:pPr>
      <w:r>
        <w:t xml:space="preserve">68.</w:t>
      </w:r>
      <w:r>
        <w:t xml:space="preserve"> </w:t>
      </w:r>
      <w:r>
        <w:t xml:space="preserve">	</w:t>
      </w:r>
      <w:r>
        <w:t xml:space="preserve">Jones A, Remmerswaal D, Verveer I, Robinson E, Franken IHA, Wen CKF, et al. Compliance with ecological momentary assessment protocols in substance users: A meta-analysis. Addiction (Abingdon, England). 2019;114: 609–619. doi:</w:t>
      </w:r>
      <w:hyperlink r:id="rId191">
        <w:r>
          <w:rPr>
            <w:rStyle w:val="Hyperlink"/>
          </w:rPr>
          <w:t xml:space="preserve">10/gfsjzg</w:t>
        </w:r>
      </w:hyperlink>
    </w:p>
    <w:bookmarkEnd w:id="192"/>
    <w:bookmarkStart w:id="194" w:name="ref-baeLeveragingMobilePhone2023"/>
    <w:p>
      <w:pPr>
        <w:pStyle w:val="Bibliography"/>
      </w:pPr>
      <w:r>
        <w:t xml:space="preserve">69.</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193">
        <w:r>
          <w:rPr>
            <w:rStyle w:val="Hyperlink"/>
          </w:rPr>
          <w:t xml:space="preserve">10.2196/39862</w:t>
        </w:r>
      </w:hyperlink>
    </w:p>
    <w:bookmarkEnd w:id="194"/>
    <w:bookmarkStart w:id="196" w:name="ref-huangActivityIdentificationGPS2010"/>
    <w:p>
      <w:pPr>
        <w:pStyle w:val="Bibliography"/>
      </w:pPr>
      <w:r>
        <w:t xml:space="preserve">70.</w:t>
      </w:r>
      <w:r>
        <w:t xml:space="preserve"> </w:t>
      </w:r>
      <w:r>
        <w:t xml:space="preserve">	</w:t>
      </w:r>
      <w:r>
        <w:t xml:space="preserve">Huang L, Li Q, Yue Y.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 Proceedings of the 2nd</w:t>
      </w:r>
      <w:r>
        <w:t xml:space="preserve"> </w:t>
      </w:r>
      <w:r>
        <w:t xml:space="preserve">ACM SIGSPATIAL International Workshop</w:t>
      </w:r>
      <w:r>
        <w:t xml:space="preserve"> </w:t>
      </w:r>
      <w:r>
        <w:t xml:space="preserve">on</w:t>
      </w:r>
      <w:r>
        <w:t xml:space="preserve"> </w:t>
      </w:r>
      <w:r>
        <w:t xml:space="preserve">Location Based Social Networks</w:t>
      </w:r>
      <w:r>
        <w:t xml:space="preserve">. New York, NY, USA: Association for Computing Machinery; 2010. pp. 27–30. doi:</w:t>
      </w:r>
      <w:hyperlink r:id="rId195">
        <w:r>
          <w:rPr>
            <w:rStyle w:val="Hyperlink"/>
          </w:rPr>
          <w:t xml:space="preserve">10.1145/1867699.1867704</w:t>
        </w:r>
      </w:hyperlink>
    </w:p>
    <w:bookmarkEnd w:id="196"/>
    <w:bookmarkStart w:id="198" w:name="Xdcc3e6c1429a41e0448c7c169835e10027482a3"/>
    <w:p>
      <w:pPr>
        <w:pStyle w:val="Bibliography"/>
      </w:pPr>
      <w:r>
        <w:t xml:space="preserve">71.</w:t>
      </w:r>
      <w:r>
        <w:t xml:space="preserve"> </w:t>
      </w:r>
      <w:r>
        <w:t xml:space="preserve">	</w:t>
      </w:r>
      <w:r>
        <w:t xml:space="preserve">Xie K, Deng K, Zhou X. From trajectories to activities: A spatio-temporal join approach. Proceedings of the 2009</w:t>
      </w:r>
      <w:r>
        <w:t xml:space="preserve"> </w:t>
      </w:r>
      <w:r>
        <w:t xml:space="preserve">International Workshop</w:t>
      </w:r>
      <w:r>
        <w:t xml:space="preserve"> </w:t>
      </w:r>
      <w:r>
        <w:t xml:space="preserve">on</w:t>
      </w:r>
      <w:r>
        <w:t xml:space="preserve"> </w:t>
      </w:r>
      <w:r>
        <w:t xml:space="preserve">Location Based Social Networks</w:t>
      </w:r>
      <w:r>
        <w:t xml:space="preserve">. New York, NY, USA: Association for Computing Machinery; 2009. pp. 25–32. doi:</w:t>
      </w:r>
      <w:hyperlink r:id="rId197">
        <w:r>
          <w:rPr>
            <w:rStyle w:val="Hyperlink"/>
          </w:rPr>
          <w:t xml:space="preserve">10.1145/1629890.1629897</w:t>
        </w:r>
      </w:hyperlink>
    </w:p>
    <w:bookmarkEnd w:id="198"/>
    <w:bookmarkStart w:id="200" w:name="X3767008d16a8293168c856ccfc7bd4044275213"/>
    <w:p>
      <w:pPr>
        <w:pStyle w:val="Bibliography"/>
      </w:pPr>
      <w:r>
        <w:t xml:space="preserve">72.</w:t>
      </w:r>
      <w:r>
        <w:t xml:space="preserve"> </w:t>
      </w:r>
      <w:r>
        <w:t xml:space="preserve">	</w:t>
      </w:r>
      <w:r>
        <w:t xml:space="preserve">Leenaerts N, Soyster P, Ceccarini J, Sunaert S, Fisher A, Vrieze E. Person-specific and pooled prediction models for binge eating, alcohol use and binge drinking in bulimia nervosa and alcohol use disorder. Psychological Medicine. 2024;54: 2758–2773. doi:</w:t>
      </w:r>
      <w:hyperlink r:id="rId199">
        <w:r>
          <w:rPr>
            <w:rStyle w:val="Hyperlink"/>
          </w:rPr>
          <w:t xml:space="preserve">10.1017/S0033291724000862</w:t>
        </w:r>
      </w:hyperlink>
    </w:p>
    <w:bookmarkEnd w:id="200"/>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We also report median sensitivity, specificity, accuracy, and balanced accuracy at a single decision threshold (identified using Youden’s index) in a supplemental table. However, we caution against using classification in this intended application. A decision threshold is only necessary when a</w:t>
      </w:r>
      <w:r>
        <w:t xml:space="preserve"> </w:t>
      </w:r>
      <w:r>
        <w:t xml:space="preserve">“decision”</w:t>
      </w:r>
      <w:r>
        <w:t xml:space="preserve"> </w:t>
      </w:r>
      <w:r>
        <w:t xml:space="preserve">about whether to intervene must be made. We intend for our model’s predicted probabilities to be used to provide risk-relevant information to an individual irregardless of their predicted risk level. We believe that assigning a class label of lapse versus no lapse would be less clinically useful (compared to these full-range probability scores) and may even be potentially iatrogenic. Moreover, the optimal decision threshold is likely to vary substantially depending on the clinical context and the relative costs of misclassification.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4" Target="media/rId64.png"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hyperlink" Id="rId79" Target="https://doi.org/10.1001/jama.284.13.1689" TargetMode="External" /><Relationship Type="http://schemas.openxmlformats.org/officeDocument/2006/relationships/hyperlink" Id="rId123" Target="https://doi.org/10.1001/jamanetworkopen.2020.5852" TargetMode="External" /><Relationship Type="http://schemas.openxmlformats.org/officeDocument/2006/relationships/hyperlink" Id="rId138" Target="https://doi.org/10.1007/978-1-4614-6849-3" TargetMode="External" /><Relationship Type="http://schemas.openxmlformats.org/officeDocument/2006/relationships/hyperlink" Id="rId99" Target="https://doi.org/10.1007/s10488-016-0718-5" TargetMode="External" /><Relationship Type="http://schemas.openxmlformats.org/officeDocument/2006/relationships/hyperlink" Id="rId151" Target="https://doi.org/10.1007/s10862-017-9632-8" TargetMode="External" /><Relationship Type="http://schemas.openxmlformats.org/officeDocument/2006/relationships/hyperlink" Id="rId103" Target="https://doi.org/10.1007/s11920-012-0296-5" TargetMode="External" /><Relationship Type="http://schemas.openxmlformats.org/officeDocument/2006/relationships/hyperlink" Id="rId181" Target="https://doi.org/10.1016/0740-5472(94)00080-b" TargetMode="External" /><Relationship Type="http://schemas.openxmlformats.org/officeDocument/2006/relationships/hyperlink" Id="rId145" Target="https://doi.org/10.1016/j.amepre.2022.08.022" TargetMode="External" /><Relationship Type="http://schemas.openxmlformats.org/officeDocument/2006/relationships/hyperlink" Id="rId101" Target="https://doi.org/10.1016/j.brat.2019.103506" TargetMode="External" /><Relationship Type="http://schemas.openxmlformats.org/officeDocument/2006/relationships/hyperlink" Id="rId162" Target="https://doi.org/10.1016/j.cpr.2005.11.003" TargetMode="External" /><Relationship Type="http://schemas.openxmlformats.org/officeDocument/2006/relationships/hyperlink" Id="rId95" Target="https://doi.org/10.1016/j.cpr.2007.01.002" TargetMode="External" /><Relationship Type="http://schemas.openxmlformats.org/officeDocument/2006/relationships/hyperlink" Id="rId164" Target="https://doi.org/10.1016/j.cpr.2017.10.012" TargetMode="External" /><Relationship Type="http://schemas.openxmlformats.org/officeDocument/2006/relationships/hyperlink" Id="rId127" Target="https://doi.org/10.1016/j.drugalcdep.2006.05.012" TargetMode="External" /><Relationship Type="http://schemas.openxmlformats.org/officeDocument/2006/relationships/hyperlink" Id="rId121" Target="https://doi.org/10.1016/j.drugalcdep.2019.05.017" TargetMode="External" /><Relationship Type="http://schemas.openxmlformats.org/officeDocument/2006/relationships/hyperlink" Id="rId172" Target="https://doi.org/10.1016/j.drugalcdep.2021.108706" TargetMode="External" /><Relationship Type="http://schemas.openxmlformats.org/officeDocument/2006/relationships/hyperlink" Id="rId118" Target="https://doi.org/10.1016/j.jsat.2021.108417" TargetMode="External" /><Relationship Type="http://schemas.openxmlformats.org/officeDocument/2006/relationships/hyperlink" Id="rId125" Target="https://doi.org/10.1016/j.jsat.2021.108710" TargetMode="External" /><Relationship Type="http://schemas.openxmlformats.org/officeDocument/2006/relationships/hyperlink" Id="rId183" Target="https://doi.org/10.1016/j.psc.2010.04.012" TargetMode="External" /><Relationship Type="http://schemas.openxmlformats.org/officeDocument/2006/relationships/hyperlink" Id="rId199" Target="https://doi.org/10.1017/S0033291724000862" TargetMode="External" /><Relationship Type="http://schemas.openxmlformats.org/officeDocument/2006/relationships/hyperlink" Id="rId93" Target="https://doi.org/10.1037/0003-066X.59.4.224" TargetMode="External" /><Relationship Type="http://schemas.openxmlformats.org/officeDocument/2006/relationships/hyperlink" Id="rId116" Target="https://doi.org/10.1037/adb0000666" TargetMode="External" /><Relationship Type="http://schemas.openxmlformats.org/officeDocument/2006/relationships/hyperlink" Id="rId149" Target="https://doi.org/10.1037/ccp0000026" TargetMode="External" /><Relationship Type="http://schemas.openxmlformats.org/officeDocument/2006/relationships/hyperlink" Id="rId147" Target="https://doi.org/10.1080/00952990.2019.1694536" TargetMode="External" /><Relationship Type="http://schemas.openxmlformats.org/officeDocument/2006/relationships/hyperlink" Id="rId143" Target="https://doi.org/10.1093/jamia/ocy052" TargetMode="External" /><Relationship Type="http://schemas.openxmlformats.org/officeDocument/2006/relationships/hyperlink" Id="rId90" Target="https://doi.org/10.1111/add.13479" TargetMode="External" /><Relationship Type="http://schemas.openxmlformats.org/officeDocument/2006/relationships/hyperlink" Id="rId160" Target="https://doi.org/10.1111/j.1530-0277.1984.tb05523.x" TargetMode="External" /><Relationship Type="http://schemas.openxmlformats.org/officeDocument/2006/relationships/hyperlink" Id="rId197" Target="https://doi.org/10.1145/1629890.1629897" TargetMode="External" /><Relationship Type="http://schemas.openxmlformats.org/officeDocument/2006/relationships/hyperlink" Id="rId195" Target="https://doi.org/10.1145/1867699.1867704" TargetMode="External" /><Relationship Type="http://schemas.openxmlformats.org/officeDocument/2006/relationships/hyperlink" Id="rId105" Target="https://doi.org/10.1146/annurev-clinpsy-032816-044949" TargetMode="External" /><Relationship Type="http://schemas.openxmlformats.org/officeDocument/2006/relationships/hyperlink" Id="rId187" Target="https://doi.org/10.1146/annurev-clinpsy-102419-125016" TargetMode="External" /><Relationship Type="http://schemas.openxmlformats.org/officeDocument/2006/relationships/hyperlink" Id="rId97" Target="https://doi.org/10.1146/annurev.clinpsy.3.022806.091455" TargetMode="External" /><Relationship Type="http://schemas.openxmlformats.org/officeDocument/2006/relationships/hyperlink" Id="rId166" Target="https://doi.org/10.1177/0261927X09351676" TargetMode="External" /><Relationship Type="http://schemas.openxmlformats.org/officeDocument/2006/relationships/hyperlink" Id="rId153" Target="https://doi.org/10.1177/1073191114540320" TargetMode="External" /><Relationship Type="http://schemas.openxmlformats.org/officeDocument/2006/relationships/hyperlink" Id="rId155" Target="https://doi.org/10.1177/1073191116653829" TargetMode="External" /><Relationship Type="http://schemas.openxmlformats.org/officeDocument/2006/relationships/hyperlink" Id="rId175" Target="https://doi.org/10.1177/1077558712458541" TargetMode="External" /><Relationship Type="http://schemas.openxmlformats.org/officeDocument/2006/relationships/hyperlink" Id="rId88" Target="https://doi.org/10.1177/1178221820976988" TargetMode="External" /><Relationship Type="http://schemas.openxmlformats.org/officeDocument/2006/relationships/hyperlink" Id="rId86" Target="https://doi.org/10.1377/hlthaff.20.6.64" TargetMode="External" /><Relationship Type="http://schemas.openxmlformats.org/officeDocument/2006/relationships/hyperlink" Id="rId136" Target="https://doi.org/10.21231/GNT1-HW21" TargetMode="External" /><Relationship Type="http://schemas.openxmlformats.org/officeDocument/2006/relationships/hyperlink" Id="rId111" Target="https://doi.org/10.2196/29563" TargetMode="External" /><Relationship Type="http://schemas.openxmlformats.org/officeDocument/2006/relationships/hyperlink" Id="rId193" Target="https://doi.org/10.2196/39862" TargetMode="External" /><Relationship Type="http://schemas.openxmlformats.org/officeDocument/2006/relationships/hyperlink" Id="rId109" Target="https://doi.org/10.2196/41833" TargetMode="External" /><Relationship Type="http://schemas.openxmlformats.org/officeDocument/2006/relationships/hyperlink" Id="rId157" Target="https://doi.org/10.2196/73265" TargetMode="External" /><Relationship Type="http://schemas.openxmlformats.org/officeDocument/2006/relationships/hyperlink" Id="rId189" Target="https://doi.org/10.2196/81697" TargetMode="External" /><Relationship Type="http://schemas.openxmlformats.org/officeDocument/2006/relationships/hyperlink" Id="rId113" Target="https://doi.org/10.31234/osf.io/cgsf7" TargetMode="External" /><Relationship Type="http://schemas.openxmlformats.org/officeDocument/2006/relationships/hyperlink" Id="rId169" Target="https://doi.org/10.48550/arXiv.1810.04805" TargetMode="External" /><Relationship Type="http://schemas.openxmlformats.org/officeDocument/2006/relationships/hyperlink" Id="rId177" Target="https://doi.org/10.5555/ajhb.2007.31.supp.S47" TargetMode="External" /><Relationship Type="http://schemas.openxmlformats.org/officeDocument/2006/relationships/hyperlink" Id="rId179" Target="https://doi.org/10.7326/M14-0295" TargetMode="External" /><Relationship Type="http://schemas.openxmlformats.org/officeDocument/2006/relationships/hyperlink" Id="rId191" Target="https://doi.org/10/gfsjzg" TargetMode="External" /><Relationship Type="http://schemas.openxmlformats.org/officeDocument/2006/relationships/hyperlink" Id="rId12" Target="https://jjcurtin.github.io/study_lag/" TargetMode="External" /><Relationship Type="http://schemas.openxmlformats.org/officeDocument/2006/relationships/hyperlink" Id="rId9" Target="https://jjcurtin.github.io/study_lag/index.qmd.html" TargetMode="External" /><Relationship Type="http://schemas.openxmlformats.org/officeDocument/2006/relationships/hyperlink" Id="rId68" Target="https://jjcurtin.github.io/study_lag/notebooks\mak_figures-preview.html#cell-fig-4" TargetMode="External" /><Relationship Type="http://schemas.openxmlformats.org/officeDocument/2006/relationships/hyperlink" Id="rId62" Target="https://jjcurtin.github.io/study_lag/notebooks\mak_figures-preview.html#cell-fig-cal" TargetMode="External" /><Relationship Type="http://schemas.openxmlformats.org/officeDocument/2006/relationships/hyperlink" Id="rId24" Target="https://jjcurtin.github.io/study_lag/notebooks\mak_figures-preview.html#cell-fig-method" TargetMode="External" /><Relationship Type="http://schemas.openxmlformats.org/officeDocument/2006/relationships/hyperlink" Id="rId44" Target="https://jjcurtin.github.io/study_lag/notebooks\mak_figures-preview.html#cell-fig-pp" TargetMode="External" /><Relationship Type="http://schemas.openxmlformats.org/officeDocument/2006/relationships/hyperlink" Id="rId50" Target="https://jjcurtin.github.io/study_lag/notebooks\mak_figures-preview.html#cell-fig-sens" TargetMode="External" /><Relationship Type="http://schemas.openxmlformats.org/officeDocument/2006/relationships/hyperlink" Id="rId38" Target="https://jjcurtin.github.io/study_lag/notebooks\mak_tables-preview.html#cell-tbl-demohtml" TargetMode="External" /><Relationship Type="http://schemas.openxmlformats.org/officeDocument/2006/relationships/hyperlink" Id="rId56" Target="https://jjcurtin.github.io/study_lag/notebooks\mak_tables-preview.html#cell-tbl-fairness" TargetMode="External" /><Relationship Type="http://schemas.openxmlformats.org/officeDocument/2006/relationships/hyperlink" Id="rId53"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81" Target="https://www.ncbi.nlm.nih.gov/pmc/articles/PMC2797101" TargetMode="External" /><Relationship Type="http://schemas.openxmlformats.org/officeDocument/2006/relationships/hyperlink" Id="rId131" Target="https://www.ncbi.nlm.nih.gov/pubmed/12199834" TargetMode="External" /></Relationships>
</file>

<file path=word/_rels/footnotes.xml.rels><?xml version="1.0" encoding="UTF-8"?><Relationships xmlns="http://schemas.openxmlformats.org/package/2006/relationships"><Relationship Type="http://schemas.openxmlformats.org/officeDocument/2006/relationships/hyperlink" Id="rId79" Target="https://doi.org/10.1001/jama.284.13.1689" TargetMode="External" /><Relationship Type="http://schemas.openxmlformats.org/officeDocument/2006/relationships/hyperlink" Id="rId123" Target="https://doi.org/10.1001/jamanetworkopen.2020.5852" TargetMode="External" /><Relationship Type="http://schemas.openxmlformats.org/officeDocument/2006/relationships/hyperlink" Id="rId138" Target="https://doi.org/10.1007/978-1-4614-6849-3" TargetMode="External" /><Relationship Type="http://schemas.openxmlformats.org/officeDocument/2006/relationships/hyperlink" Id="rId99" Target="https://doi.org/10.1007/s10488-016-0718-5" TargetMode="External" /><Relationship Type="http://schemas.openxmlformats.org/officeDocument/2006/relationships/hyperlink" Id="rId151" Target="https://doi.org/10.1007/s10862-017-9632-8" TargetMode="External" /><Relationship Type="http://schemas.openxmlformats.org/officeDocument/2006/relationships/hyperlink" Id="rId103" Target="https://doi.org/10.1007/s11920-012-0296-5" TargetMode="External" /><Relationship Type="http://schemas.openxmlformats.org/officeDocument/2006/relationships/hyperlink" Id="rId181" Target="https://doi.org/10.1016/0740-5472(94)00080-b" TargetMode="External" /><Relationship Type="http://schemas.openxmlformats.org/officeDocument/2006/relationships/hyperlink" Id="rId145" Target="https://doi.org/10.1016/j.amepre.2022.08.022" TargetMode="External" /><Relationship Type="http://schemas.openxmlformats.org/officeDocument/2006/relationships/hyperlink" Id="rId101" Target="https://doi.org/10.1016/j.brat.2019.103506" TargetMode="External" /><Relationship Type="http://schemas.openxmlformats.org/officeDocument/2006/relationships/hyperlink" Id="rId162" Target="https://doi.org/10.1016/j.cpr.2005.11.003" TargetMode="External" /><Relationship Type="http://schemas.openxmlformats.org/officeDocument/2006/relationships/hyperlink" Id="rId95" Target="https://doi.org/10.1016/j.cpr.2007.01.002" TargetMode="External" /><Relationship Type="http://schemas.openxmlformats.org/officeDocument/2006/relationships/hyperlink" Id="rId164" Target="https://doi.org/10.1016/j.cpr.2017.10.012" TargetMode="External" /><Relationship Type="http://schemas.openxmlformats.org/officeDocument/2006/relationships/hyperlink" Id="rId127" Target="https://doi.org/10.1016/j.drugalcdep.2006.05.012" TargetMode="External" /><Relationship Type="http://schemas.openxmlformats.org/officeDocument/2006/relationships/hyperlink" Id="rId121" Target="https://doi.org/10.1016/j.drugalcdep.2019.05.017" TargetMode="External" /><Relationship Type="http://schemas.openxmlformats.org/officeDocument/2006/relationships/hyperlink" Id="rId172" Target="https://doi.org/10.1016/j.drugalcdep.2021.108706" TargetMode="External" /><Relationship Type="http://schemas.openxmlformats.org/officeDocument/2006/relationships/hyperlink" Id="rId118" Target="https://doi.org/10.1016/j.jsat.2021.108417" TargetMode="External" /><Relationship Type="http://schemas.openxmlformats.org/officeDocument/2006/relationships/hyperlink" Id="rId125" Target="https://doi.org/10.1016/j.jsat.2021.108710" TargetMode="External" /><Relationship Type="http://schemas.openxmlformats.org/officeDocument/2006/relationships/hyperlink" Id="rId183" Target="https://doi.org/10.1016/j.psc.2010.04.012" TargetMode="External" /><Relationship Type="http://schemas.openxmlformats.org/officeDocument/2006/relationships/hyperlink" Id="rId199" Target="https://doi.org/10.1017/S0033291724000862" TargetMode="External" /><Relationship Type="http://schemas.openxmlformats.org/officeDocument/2006/relationships/hyperlink" Id="rId93" Target="https://doi.org/10.1037/0003-066X.59.4.224" TargetMode="External" /><Relationship Type="http://schemas.openxmlformats.org/officeDocument/2006/relationships/hyperlink" Id="rId116" Target="https://doi.org/10.1037/adb0000666" TargetMode="External" /><Relationship Type="http://schemas.openxmlformats.org/officeDocument/2006/relationships/hyperlink" Id="rId149" Target="https://doi.org/10.1037/ccp0000026" TargetMode="External" /><Relationship Type="http://schemas.openxmlformats.org/officeDocument/2006/relationships/hyperlink" Id="rId147" Target="https://doi.org/10.1080/00952990.2019.1694536" TargetMode="External" /><Relationship Type="http://schemas.openxmlformats.org/officeDocument/2006/relationships/hyperlink" Id="rId143" Target="https://doi.org/10.1093/jamia/ocy052" TargetMode="External" /><Relationship Type="http://schemas.openxmlformats.org/officeDocument/2006/relationships/hyperlink" Id="rId90" Target="https://doi.org/10.1111/add.13479" TargetMode="External" /><Relationship Type="http://schemas.openxmlformats.org/officeDocument/2006/relationships/hyperlink" Id="rId160" Target="https://doi.org/10.1111/j.1530-0277.1984.tb05523.x" TargetMode="External" /><Relationship Type="http://schemas.openxmlformats.org/officeDocument/2006/relationships/hyperlink" Id="rId197" Target="https://doi.org/10.1145/1629890.1629897" TargetMode="External" /><Relationship Type="http://schemas.openxmlformats.org/officeDocument/2006/relationships/hyperlink" Id="rId195" Target="https://doi.org/10.1145/1867699.1867704" TargetMode="External" /><Relationship Type="http://schemas.openxmlformats.org/officeDocument/2006/relationships/hyperlink" Id="rId105" Target="https://doi.org/10.1146/annurev-clinpsy-032816-044949" TargetMode="External" /><Relationship Type="http://schemas.openxmlformats.org/officeDocument/2006/relationships/hyperlink" Id="rId187" Target="https://doi.org/10.1146/annurev-clinpsy-102419-125016" TargetMode="External" /><Relationship Type="http://schemas.openxmlformats.org/officeDocument/2006/relationships/hyperlink" Id="rId97" Target="https://doi.org/10.1146/annurev.clinpsy.3.022806.091455" TargetMode="External" /><Relationship Type="http://schemas.openxmlformats.org/officeDocument/2006/relationships/hyperlink" Id="rId166" Target="https://doi.org/10.1177/0261927X09351676" TargetMode="External" /><Relationship Type="http://schemas.openxmlformats.org/officeDocument/2006/relationships/hyperlink" Id="rId153" Target="https://doi.org/10.1177/1073191114540320" TargetMode="External" /><Relationship Type="http://schemas.openxmlformats.org/officeDocument/2006/relationships/hyperlink" Id="rId155" Target="https://doi.org/10.1177/1073191116653829" TargetMode="External" /><Relationship Type="http://schemas.openxmlformats.org/officeDocument/2006/relationships/hyperlink" Id="rId175" Target="https://doi.org/10.1177/1077558712458541" TargetMode="External" /><Relationship Type="http://schemas.openxmlformats.org/officeDocument/2006/relationships/hyperlink" Id="rId88" Target="https://doi.org/10.1177/1178221820976988" TargetMode="External" /><Relationship Type="http://schemas.openxmlformats.org/officeDocument/2006/relationships/hyperlink" Id="rId86" Target="https://doi.org/10.1377/hlthaff.20.6.64" TargetMode="External" /><Relationship Type="http://schemas.openxmlformats.org/officeDocument/2006/relationships/hyperlink" Id="rId136" Target="https://doi.org/10.21231/GNT1-HW21" TargetMode="External" /><Relationship Type="http://schemas.openxmlformats.org/officeDocument/2006/relationships/hyperlink" Id="rId111" Target="https://doi.org/10.2196/29563" TargetMode="External" /><Relationship Type="http://schemas.openxmlformats.org/officeDocument/2006/relationships/hyperlink" Id="rId193" Target="https://doi.org/10.2196/39862" TargetMode="External" /><Relationship Type="http://schemas.openxmlformats.org/officeDocument/2006/relationships/hyperlink" Id="rId109" Target="https://doi.org/10.2196/41833" TargetMode="External" /><Relationship Type="http://schemas.openxmlformats.org/officeDocument/2006/relationships/hyperlink" Id="rId157" Target="https://doi.org/10.2196/73265" TargetMode="External" /><Relationship Type="http://schemas.openxmlformats.org/officeDocument/2006/relationships/hyperlink" Id="rId189" Target="https://doi.org/10.2196/81697" TargetMode="External" /><Relationship Type="http://schemas.openxmlformats.org/officeDocument/2006/relationships/hyperlink" Id="rId113" Target="https://doi.org/10.31234/osf.io/cgsf7" TargetMode="External" /><Relationship Type="http://schemas.openxmlformats.org/officeDocument/2006/relationships/hyperlink" Id="rId169" Target="https://doi.org/10.48550/arXiv.1810.04805" TargetMode="External" /><Relationship Type="http://schemas.openxmlformats.org/officeDocument/2006/relationships/hyperlink" Id="rId177" Target="https://doi.org/10.5555/ajhb.2007.31.supp.S47" TargetMode="External" /><Relationship Type="http://schemas.openxmlformats.org/officeDocument/2006/relationships/hyperlink" Id="rId179" Target="https://doi.org/10.7326/M14-0295" TargetMode="External" /><Relationship Type="http://schemas.openxmlformats.org/officeDocument/2006/relationships/hyperlink" Id="rId191" Target="https://doi.org/10/gfsjzg" TargetMode="External" /><Relationship Type="http://schemas.openxmlformats.org/officeDocument/2006/relationships/hyperlink" Id="rId12" Target="https://jjcurtin.github.io/study_lag/" TargetMode="External" /><Relationship Type="http://schemas.openxmlformats.org/officeDocument/2006/relationships/hyperlink" Id="rId9" Target="https://jjcurtin.github.io/study_lag/index.qmd.html" TargetMode="External" /><Relationship Type="http://schemas.openxmlformats.org/officeDocument/2006/relationships/hyperlink" Id="rId68" Target="https://jjcurtin.github.io/study_lag/notebooks\mak_figures-preview.html#cell-fig-4" TargetMode="External" /><Relationship Type="http://schemas.openxmlformats.org/officeDocument/2006/relationships/hyperlink" Id="rId62" Target="https://jjcurtin.github.io/study_lag/notebooks\mak_figures-preview.html#cell-fig-cal" TargetMode="External" /><Relationship Type="http://schemas.openxmlformats.org/officeDocument/2006/relationships/hyperlink" Id="rId24" Target="https://jjcurtin.github.io/study_lag/notebooks\mak_figures-preview.html#cell-fig-method" TargetMode="External" /><Relationship Type="http://schemas.openxmlformats.org/officeDocument/2006/relationships/hyperlink" Id="rId44" Target="https://jjcurtin.github.io/study_lag/notebooks\mak_figures-preview.html#cell-fig-pp" TargetMode="External" /><Relationship Type="http://schemas.openxmlformats.org/officeDocument/2006/relationships/hyperlink" Id="rId50" Target="https://jjcurtin.github.io/study_lag/notebooks\mak_figures-preview.html#cell-fig-sens" TargetMode="External" /><Relationship Type="http://schemas.openxmlformats.org/officeDocument/2006/relationships/hyperlink" Id="rId38" Target="https://jjcurtin.github.io/study_lag/notebooks\mak_tables-preview.html#cell-tbl-demohtml" TargetMode="External" /><Relationship Type="http://schemas.openxmlformats.org/officeDocument/2006/relationships/hyperlink" Id="rId56" Target="https://jjcurtin.github.io/study_lag/notebooks\mak_tables-preview.html#cell-tbl-fairness" TargetMode="External" /><Relationship Type="http://schemas.openxmlformats.org/officeDocument/2006/relationships/hyperlink" Id="rId53" Target="https://jjcurtin.github.io/study_lag/notebooks\mak_tables-preview.html#cell-tbl-model" TargetMode="External" /><Relationship Type="http://schemas.openxmlformats.org/officeDocument/2006/relationships/hyperlink" Id="rId11" Target="https://osf.io/xta67/" TargetMode="External" /><Relationship Type="http://schemas.openxmlformats.org/officeDocument/2006/relationships/hyperlink" Id="rId81" Target="https://www.ncbi.nlm.nih.gov/pmc/articles/PMC2797101" TargetMode="External" /><Relationship Type="http://schemas.openxmlformats.org/officeDocument/2006/relationships/hyperlink" Id="rId131" Target="https://www.ncbi.nlm.nih.gov/pubmed/1219983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Forecasting Alcohol Lapse Risk up to Two Weeks in Advance using Time-lagged Machine Learning Models</dc:title>
  <dc:creator>Kendra Wyant; Gaylen E. Fronk; Jiachen Yu; Claire E. Punturieri; John J. Curtin</dc:creator>
  <cp:keywords>Substance use disorders, Precision mental health</cp:keywords>
  <dcterms:created xsi:type="dcterms:W3CDTF">2026-05-20T12:41:01Z</dcterms:created>
  <dcterms:modified xsi:type="dcterms:W3CDTF">2026-05-20T12:41:01Z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is a chronic, relapsing condition. Individuals must monitor risk and take proactive steps to manage and reduce it indefinitely to prevent lapse. Smartphone sensing and machine learning offer promise as scalable tools for automating risk monitoring and delivering personalized support during recovery. Research has demonstrated that machine learning models using ecological momentary assessment can generate highly accurate predictions of immediate lapse risk (e.g., within the next hour or day). However, many risks require supports that are not immediately available. These supports may need to be planned or involve coordination with others. In such cases, individuals may benefit from advance warning about changes in their lapse risk and the contributing factors.To meet this need, we developed machine learning models to predict future alcohol lapses within 24-hour prediction windows, lagged by 1 day, 3 days, 1 week, and 2 weeks from the prediction timepoint. We engineered features from 4x daily ecological momentary from individuals (N = 151; 51% male; mean age = 41; 87% non-Hispanic White) in early recovery (≤ 8 weeks of abstinence) from alcohol use disorder over a three-month period. We trained and evaluated models using nested cross-validation. Median posterior auROC values were high (0.85–0.89) across models, though performance decreased modestly with longer lag time. Models performed worse for non-advantaged groups (non-White and/or Hispanic, income below federal poverty line, female) compared to advantaged groups (non-Hispanic White, income above federal poverty line, male). Past alcohol use, abstinence self-efficacy, and craving were the most important features, with the magnitude of their importance varying meaningfully by lag time.These findings demonstrate the feasibility of predicting alcohol lapses up to two weeks in advance. Embedding these models within a recovery monitoring and support system could enable adaptive, personalized care with enough warning to implement recovery supports not immediately available. Improving model fairness and optimizing the delivery of model feedback to sustain engagement remain critical next steps.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2026-05-20</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grants from the National Institute on Alcohol Abuse and Alcoholism (NIAAA; R01 AA024391 to John J. Curtin) and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