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9.png" ContentType="image/pn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2024-08-02</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4"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43"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lapse-labels"/>
    <w:p>
      <w:pPr>
        <w:pStyle w:val="Heading3"/>
      </w:pPr>
      <w:r>
        <w:t xml:space="preserve">Lapse Labels</w:t>
      </w:r>
    </w:p>
    <w:p>
      <w:pPr>
        <w:pStyle w:val="FirstParagraph"/>
      </w:pPr>
      <w:r>
        <w:t xml:space="preserve">We predicted lapses occurring in one week windows (</w:t>
      </w:r>
      <w:hyperlink w:anchor="fig-methods">
        <w:r>
          <w:rPr>
            <w:rStyle w:val="Hyperlink"/>
          </w:rPr>
          <w:t xml:space="preserve">Figure 1</w:t>
        </w:r>
      </w:hyperlink>
      <w:r>
        <w:t xml:space="preserve">).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5027532"/>
                  <wp:effectExtent b="0" l="0" r="0" t="0"/>
                  <wp:docPr descr="" title="" id="30" name="Picture"/>
                  <a:graphic>
                    <a:graphicData uri="http://schemas.openxmlformats.org/drawingml/2006/picture">
                      <pic:pic>
                        <pic:nvPicPr>
                          <pic:cNvPr descr="index_files/figure-docx/notebooks-methods_figure-fig-methods-output-1.jpeg" id="31" name="Picture"/>
                          <pic:cNvPicPr>
                            <a:picLocks noChangeArrowheads="1" noChangeAspect="1"/>
                          </pic:cNvPicPr>
                        </pic:nvPicPr>
                        <pic:blipFill>
                          <a:blip r:embed="rId29"/>
                          <a:stretch>
                            <a:fillRect/>
                          </a:stretch>
                        </pic:blipFill>
                        <pic:spPr bwMode="auto">
                          <a:xfrm>
                            <a:off x="0" y="0"/>
                            <a:ext cx="5334000" cy="50275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Read in Methods Figure</w:t>
        </w:r>
      </w:hyperlink>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4"/>
    <w:bookmarkStart w:id="35"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5"/>
    <w:bookmarkStart w:id="42" w:name="model-training-and-evaluation"/>
    <w:p>
      <w:pPr>
        <w:pStyle w:val="Heading3"/>
      </w:pPr>
      <w:r>
        <w:t xml:space="preserve">Model Training and Evaluation</w:t>
      </w:r>
    </w:p>
    <w:bookmarkStart w:id="36"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6"/>
    <w:bookmarkStart w:id="37"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7"/>
    <w:bookmarkStart w:id="38" w:name="X974bf4ee3860cae555b77181ab37299cca415d9"/>
    <w:p>
      <w:pPr>
        <w:pStyle w:val="Heading4"/>
      </w:pPr>
      <w:r>
        <w:t xml:space="preserve">Bayesian Model Evaluation and Comparisons</w:t>
      </w:r>
    </w:p>
    <w:p>
      <w:pPr>
        <w:pStyle w:val="FirstParagraph"/>
      </w:pPr>
      <w:r>
        <w:t xml:space="preserve">Bayesian analyses were accomplished using the tidyposterior</w:t>
      </w:r>
      <w:r>
        <w:t xml:space="preserve"> </w:t>
      </w:r>
      <w:r>
        <w:t xml:space="preserve">(</w:t>
      </w:r>
      <w:r>
        <w:rPr>
          <w:b/>
          <w:bCs/>
        </w:rPr>
        <w:t xml:space="preserve">kuhnTidyposteriorBayesianAnalysis2022?</w:t>
      </w:r>
      <w:r>
        <w:t xml:space="preserve">)</w:t>
      </w:r>
      <w:r>
        <w:t xml:space="preserve"> </w:t>
      </w:r>
      <w:r>
        <w:t xml:space="preserve">and rstanarm</w:t>
      </w:r>
      <w:r>
        <w:t xml:space="preserve"> </w:t>
      </w:r>
      <w:r>
        <w:t xml:space="preserve">(</w:t>
      </w:r>
      <w:r>
        <w:rPr>
          <w:b/>
          <w:bCs/>
        </w:rPr>
        <w:t xml:space="preserve">goodrichRstanarmBayesianApplied2023?</w:t>
      </w:r>
      <w:r>
        <w:t xml:space="preserve">)</w:t>
      </w:r>
      <w:r>
        <w:t xml:space="preserve"> </w:t>
      </w:r>
      <w:r>
        <w:t xml:space="preserve">packages in R. Following recommendations from the rstanarm team and others</w:t>
      </w:r>
      <w:r>
        <w:t xml:space="preserve"> </w:t>
      </w:r>
      <w:r>
        <w:t xml:space="preserve">(</w:t>
      </w:r>
      <w:r>
        <w:rPr>
          <w:b/>
          <w:bCs/>
        </w:rPr>
        <w:t xml:space="preserve">rstudioteamRStudioIntegratedDevelopment2020?</w:t>
      </w:r>
      <w:r>
        <w:t xml:space="preserve">;</w:t>
      </w:r>
      <w:r>
        <w:t xml:space="preserve"> </w:t>
      </w:r>
      <w:r>
        <w:rPr>
          <w:b/>
          <w:bCs/>
        </w:rPr>
        <w:t xml:space="preserve">gabryPriorDistributionsRstanarm2023?</w:t>
      </w:r>
      <w:r>
        <w:t xml:space="preserve">)</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p>
      <w:pPr>
        <w:pStyle w:val="BodyText"/>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8"/>
    <w:bookmarkStart w:id="40"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39"/>
      </w:r>
    </w:p>
    <w:bookmarkEnd w:id="40"/>
    <w:bookmarkStart w:id="41"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1"/>
    <w:bookmarkEnd w:id="42"/>
    <w:bookmarkEnd w:id="43"/>
    <w:bookmarkEnd w:id="44"/>
    <w:bookmarkStart w:id="105" w:name="results"/>
    <w:p>
      <w:pPr>
        <w:pStyle w:val="Heading1"/>
      </w:pPr>
      <w:r>
        <w:t xml:space="preserve">Results</w:t>
      </w:r>
    </w:p>
    <w:bookmarkStart w:id="47"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5"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54"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48"/>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2" w:name="fig-1"/>
          <w:p>
            <w:pPr>
              <w:pStyle w:val="Compact"/>
              <w:jc w:val="center"/>
            </w:pPr>
            <w:r>
              <w:drawing>
                <wp:inline>
                  <wp:extent cx="5334000" cy="3810000"/>
                  <wp:effectExtent b="0" l="0" r="0" t="0"/>
                  <wp:docPr descr="" title="" id="50" name="Picture"/>
                  <a:graphic>
                    <a:graphicData uri="http://schemas.openxmlformats.org/drawingml/2006/picture">
                      <pic:pic>
                        <pic:nvPicPr>
                          <pic:cNvPr descr="index_files/figure-docx/notebooks-mak_figures-fig-1-output-1.png" id="51" name="Picture"/>
                          <pic:cNvPicPr>
                            <a:picLocks noChangeArrowheads="1" noChangeAspect="1"/>
                          </pic:cNvPicPr>
                        </pic:nvPicPr>
                        <pic:blipFill>
                          <a:blip r:embed="rId4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Make All Figures for Main Manuscript</w:t>
        </w:r>
      </w:hyperlink>
    </w:p>
    <w:bookmarkEnd w:id="54"/>
    <w:bookmarkStart w:id="57" w:name="model-comparisons"/>
    <w:p>
      <w:pPr>
        <w:pStyle w:val="Heading2"/>
      </w:pPr>
      <w:r>
        <w:t xml:space="preserve">Model Comparisons</w:t>
      </w:r>
    </w:p>
    <w:bookmarkStart w:id="55"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5"/>
    <w:bookmarkStart w:id="56"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6"/>
    <w:bookmarkEnd w:id="57"/>
    <w:bookmarkStart w:id="58"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m:oMath>
        <m:r>
          <m:t>N</m:t>
        </m:r>
        <m:r>
          <m:rPr>
            <m:sty m:val="p"/>
          </m:rPr>
          <m:t>=</m:t>
        </m:r>
        <m:r>
          <m:t>20</m:t>
        </m:r>
      </m:oMath>
      <w:r>
        <w:t xml:space="preserve"> </w:t>
      </w:r>
      <w:r>
        <w:t xml:space="preserve">vs. Non-Hispanic White;</w:t>
      </w:r>
      <w:r>
        <w:t xml:space="preserve"> </w:t>
      </w:r>
      <m:oMath>
        <m:r>
          <m:t>N</m:t>
        </m:r>
        <m:r>
          <m:rPr>
            <m:sty m:val="p"/>
          </m:rPr>
          <m:t>=</m:t>
        </m:r>
        <m:r>
          <m:t>131</m:t>
        </m:r>
      </m:oMath>
      <w:r>
        <w:t xml:space="preserve">), sex at birth (female;</w:t>
      </w:r>
      <w:r>
        <w:t xml:space="preserve"> </w:t>
      </w:r>
      <m:oMath>
        <m:r>
          <m:t>N</m:t>
        </m:r>
        <m:r>
          <m:rPr>
            <m:sty m:val="p"/>
          </m:rPr>
          <m:t>=</m:t>
        </m:r>
        <m:r>
          <m:t>74</m:t>
        </m:r>
      </m:oMath>
      <w:r>
        <w:t xml:space="preserve"> </w:t>
      </w:r>
      <w:r>
        <w:t xml:space="preserve">vs. Male;</w:t>
      </w:r>
      <w:r>
        <w:t xml:space="preserve"> </w:t>
      </w:r>
      <m:oMath>
        <m:r>
          <m:t>N</m:t>
        </m:r>
        <m:r>
          <m:rPr>
            <m:sty m:val="p"/>
          </m:rPr>
          <m:t>=</m:t>
        </m:r>
        <m:r>
          <m:t>77</m:t>
        </m:r>
      </m:oMath>
      <w:r>
        <w:t xml:space="preserve">), and income (below poverty;</w:t>
      </w:r>
      <w:r>
        <w:t xml:space="preserve"> </w:t>
      </w:r>
      <m:oMath>
        <m:r>
          <m:t>N</m:t>
        </m:r>
        <m:r>
          <m:rPr>
            <m:sty m:val="p"/>
          </m:rPr>
          <m:t>=</m:t>
        </m:r>
        <m:r>
          <m:t>18</m:t>
        </m:r>
      </m:oMath>
      <w:r>
        <w:t xml:space="preserve"> </w:t>
      </w:r>
      <w:r>
        <w:t xml:space="preserve">vs. above poverty;</w:t>
      </w:r>
      <w:r>
        <w:t xml:space="preserve"> </w:t>
      </w:r>
      <m:oMath>
        <m:r>
          <m:t>N</m:t>
        </m:r>
        <m:r>
          <m:rPr>
            <m:sty m:val="p"/>
          </m:rPr>
          <m:t>=</m:t>
        </m:r>
        <m:r>
          <m:t>133</m:t>
        </m:r>
      </m:oMath>
      <w:r>
        <w:t xml:space="preserve">).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58"/>
    <w:bookmarkStart w:id="64"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craving, and future risky situations were also globally important across models. Income was the only demographic feature that emerged as having high global importance for lapse prediction. Overall, the contribution of a feature category to model performance did not appear to differ across models.</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top five features by model.</w:t>
      </w:r>
    </w:p>
    <w:tbl>
      <w:tblPr>
        <w:tblStyle w:val="Table"/>
        <w:tblW w:type="pct" w:w="5000"/>
        <w:tblLayout w:type="fixed"/>
        <w:tblLook w:firstRow="0" w:lastRow="0" w:firstColumn="0" w:lastColumn="0" w:noHBand="0" w:noVBand="0" w:val="0000"/>
      </w:tblPr>
      <w:tblGrid>
        <w:gridCol w:w="7920"/>
      </w:tblGrid>
      <w:tr>
        <w:tc>
          <w:tcPr/>
          <w:bookmarkStart w:id="62" w:name="fig-shap"/>
          <w:p>
            <w:pPr>
              <w:pStyle w:val="Compact"/>
              <w:jc w:val="center"/>
            </w:pPr>
            <w:r>
              <w:drawing>
                <wp:inline>
                  <wp:extent cx="5334000" cy="4191000"/>
                  <wp:effectExtent b="0" l="0" r="0" t="0"/>
                  <wp:docPr descr="" title="" id="60" name="Picture"/>
                  <a:graphic>
                    <a:graphicData uri="http://schemas.openxmlformats.org/drawingml/2006/picture">
                      <pic:pic>
                        <pic:nvPicPr>
                          <pic:cNvPr descr="index_files/figure-docx/notebooks-mak_figures-fig-shap-output-1.png" id="61" name="Picture"/>
                          <pic:cNvPicPr>
                            <a:picLocks noChangeArrowheads="1" noChangeAspect="1"/>
                          </pic:cNvPicPr>
                        </pic:nvPicPr>
                        <pic:blipFill>
                          <a:blip r:embed="rId59"/>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All Figures for Main Manuscript</w:t>
        </w:r>
      </w:hyperlink>
    </w:p>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low N in disparity groups for model comparisons - causing wide CIs?</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48">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29" Target="media/rId29.jp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6"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6"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2024-08-02T21:26:58Z</dcterms:created>
  <dcterms:modified xsi:type="dcterms:W3CDTF">2024-08-02T21:26:58Z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